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8.xml" ContentType="application/vnd.openxmlformats-officedocument.wordprocessingml.header+xml"/>
  <Override PartName="/word/footer34.xml" ContentType="application/vnd.openxmlformats-officedocument.wordprocessingml.footer+xml"/>
  <Override PartName="/word/header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0.xml" ContentType="application/vnd.openxmlformats-officedocument.wordprocessingml.header+xml"/>
  <Override PartName="/word/footer37.xml" ContentType="application/vnd.openxmlformats-officedocument.wordprocessingml.footer+xml"/>
  <Override PartName="/word/header1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0.xml" ContentType="application/vnd.openxmlformats-officedocument.wordprocessingml.header+xml"/>
  <Override PartName="/word/footer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DA" w:rsidRDefault="007D72B3">
      <w:pPr>
        <w:framePr w:h="11198" w:wrap="notBeside" w:vAnchor="text" w:hAnchor="text" w:xAlign="center" w:y="1"/>
        <w:jc w:val="center"/>
        <w:rPr>
          <w:sz w:val="2"/>
          <w:szCs w:val="2"/>
        </w:rPr>
      </w:pPr>
      <w:r>
        <w:fldChar w:fldCharType="begin"/>
      </w:r>
      <w:r>
        <w:instrText xml:space="preserve"> </w:instrText>
      </w:r>
      <w:r>
        <w:instrText>INCLUDEPICTURE  "X:\\sk\\NextUpload116\\Webserver\\german\\RogerLiebi\\media\\image1.jpeg"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560.25pt">
            <v:imagedata r:id="rId8" r:href="rId9"/>
          </v:shape>
        </w:pict>
      </w:r>
      <w:r>
        <w:fldChar w:fldCharType="end"/>
      </w:r>
    </w:p>
    <w:p w:rsidR="00BB7EDA" w:rsidRDefault="00BB7EDA">
      <w:pPr>
        <w:rPr>
          <w:sz w:val="2"/>
          <w:szCs w:val="2"/>
        </w:rPr>
      </w:pPr>
    </w:p>
    <w:p w:rsidR="00BB7EDA" w:rsidRDefault="007D72B3">
      <w:pPr>
        <w:rPr>
          <w:sz w:val="2"/>
          <w:szCs w:val="2"/>
        </w:rPr>
        <w:sectPr w:rsidR="00BB7EDA">
          <w:pgSz w:w="7266" w:h="11422"/>
          <w:pgMar w:top="72" w:right="71" w:bottom="72" w:left="71" w:header="0" w:footer="3" w:gutter="0"/>
          <w:cols w:space="720"/>
          <w:noEndnote/>
          <w:docGrid w:linePitch="360"/>
        </w:sectPr>
      </w:pPr>
      <w:r>
        <w:br w:type="page"/>
      </w:r>
    </w:p>
    <w:p w:rsidR="00BB7EDA" w:rsidRDefault="007D72B3">
      <w:pPr>
        <w:pStyle w:val="Bodytext40"/>
        <w:shd w:val="clear" w:color="auto" w:fill="auto"/>
        <w:spacing w:after="314" w:line="240" w:lineRule="exact"/>
        <w:ind w:right="20"/>
      </w:pPr>
      <w:r>
        <w:lastRenderedPageBreak/>
        <w:t>Roger Liebi</w:t>
      </w:r>
    </w:p>
    <w:p w:rsidR="00BB7EDA" w:rsidRDefault="007D72B3">
      <w:pPr>
        <w:pStyle w:val="Heading10"/>
        <w:keepNext/>
        <w:keepLines/>
        <w:shd w:val="clear" w:color="auto" w:fill="auto"/>
        <w:spacing w:before="0" w:after="436"/>
        <w:ind w:right="20"/>
      </w:pPr>
      <w:bookmarkStart w:id="0" w:name="bookmark0"/>
      <w:r>
        <w:t>Herkunft</w:t>
      </w:r>
      <w:r>
        <w:br/>
        <w:t>und Entwicklung</w:t>
      </w:r>
      <w:r>
        <w:br/>
        <w:t>der Sprachen</w:t>
      </w:r>
      <w:bookmarkEnd w:id="0"/>
    </w:p>
    <w:p w:rsidR="00BB7EDA" w:rsidRPr="007D72B3" w:rsidRDefault="007D72B3">
      <w:pPr>
        <w:pStyle w:val="Bodytext50"/>
        <w:shd w:val="clear" w:color="auto" w:fill="auto"/>
        <w:spacing w:before="0"/>
        <w:ind w:right="20"/>
        <w:rPr>
          <w:lang w:val="en-US"/>
        </w:rPr>
        <w:sectPr w:rsidR="00BB7EDA" w:rsidRPr="007D72B3">
          <w:pgSz w:w="7266" w:h="11422"/>
          <w:pgMar w:top="791" w:right="1735" w:bottom="791" w:left="1701" w:header="0" w:footer="3" w:gutter="0"/>
          <w:cols w:space="720"/>
          <w:noEndnote/>
          <w:docGrid w:linePitch="360"/>
        </w:sectPr>
      </w:pPr>
      <w:r w:rsidRPr="007D72B3">
        <w:rPr>
          <w:lang w:val="en-US"/>
        </w:rPr>
        <w:t>Linguistik contra</w:t>
      </w:r>
      <w:r w:rsidRPr="007D72B3">
        <w:rPr>
          <w:lang w:val="en-US"/>
        </w:rPr>
        <w:br/>
        <w:t>Evolution</w:t>
      </w:r>
    </w:p>
    <w:p w:rsidR="00BB7EDA" w:rsidRPr="007D72B3" w:rsidRDefault="007D72B3">
      <w:pPr>
        <w:pStyle w:val="Bodytext60"/>
        <w:shd w:val="clear" w:color="auto" w:fill="auto"/>
        <w:ind w:right="2540"/>
        <w:rPr>
          <w:lang w:val="en-US"/>
        </w:rPr>
      </w:pPr>
      <w:r w:rsidRPr="007D72B3">
        <w:rPr>
          <w:lang w:val="en-US"/>
        </w:rPr>
        <w:lastRenderedPageBreak/>
        <w:t xml:space="preserve">ISBN </w:t>
      </w:r>
      <w:r w:rsidRPr="007D72B3">
        <w:rPr>
          <w:lang w:val="en-US"/>
        </w:rPr>
        <w:t>3-7751-4030-1 Best.-Nr. 394.030</w:t>
      </w:r>
    </w:p>
    <w:p w:rsidR="00BB7EDA" w:rsidRDefault="007D72B3">
      <w:pPr>
        <w:pStyle w:val="Bodytext60"/>
        <w:numPr>
          <w:ilvl w:val="0"/>
          <w:numId w:val="3"/>
        </w:numPr>
        <w:shd w:val="clear" w:color="auto" w:fill="auto"/>
        <w:tabs>
          <w:tab w:val="left" w:pos="241"/>
        </w:tabs>
        <w:jc w:val="both"/>
      </w:pPr>
      <w:r>
        <w:t>Auflage 2003</w:t>
      </w:r>
    </w:p>
    <w:p w:rsidR="00BB7EDA" w:rsidRDefault="007D72B3">
      <w:pPr>
        <w:pStyle w:val="Bodytext60"/>
        <w:shd w:val="clear" w:color="auto" w:fill="auto"/>
      </w:pPr>
      <w:r>
        <w:t>Herausgegeben von der Studiengemeinschaft Wort und Wissen e. V.</w:t>
      </w:r>
    </w:p>
    <w:p w:rsidR="00BB7EDA" w:rsidRDefault="007D72B3">
      <w:pPr>
        <w:pStyle w:val="Bodytext60"/>
        <w:shd w:val="clear" w:color="auto" w:fill="auto"/>
      </w:pPr>
      <w:r>
        <w:t>© Copyright 2003 by Hänssler-Verlag Holzgerlingen Satz: Studiengemeinschaft Wort und Wissen Titelbild: Johannes Weiss, CH-Stäfa Printed in Germany</w:t>
      </w:r>
    </w:p>
    <w:p w:rsidR="00BB7EDA" w:rsidRDefault="007D72B3">
      <w:pPr>
        <w:pStyle w:val="Bodytext40"/>
        <w:shd w:val="clear" w:color="auto" w:fill="auto"/>
        <w:spacing w:after="260" w:line="240" w:lineRule="exact"/>
      </w:pPr>
      <w:r>
        <w:t>Für Haniel Menachem</w:t>
      </w:r>
    </w:p>
    <w:p w:rsidR="00BB7EDA" w:rsidRDefault="007D72B3">
      <w:pPr>
        <w:pStyle w:val="Bodytext40"/>
        <w:shd w:val="clear" w:color="auto" w:fill="auto"/>
        <w:spacing w:after="0" w:line="288" w:lineRule="exact"/>
        <w:sectPr w:rsidR="00BB7EDA">
          <w:pgSz w:w="7266" w:h="11422"/>
          <w:pgMar w:top="5478" w:right="1634" w:bottom="4053" w:left="1605" w:header="0" w:footer="3" w:gutter="0"/>
          <w:cols w:space="720"/>
          <w:noEndnote/>
          <w:docGrid w:linePitch="360"/>
        </w:sectPr>
      </w:pPr>
      <w:r>
        <w:lastRenderedPageBreak/>
        <w:t>Als ich dieses Buch schrieb,</w:t>
      </w:r>
      <w:r>
        <w:br/>
        <w:t>hast Du mich oft erfreut</w:t>
      </w:r>
      <w:r>
        <w:br/>
        <w:t>durch Deine Fortschritte</w:t>
      </w:r>
      <w:r>
        <w:br/>
        <w:t>im Sprechen.</w:t>
      </w:r>
      <w:r>
        <w:br w:type="page"/>
      </w:r>
    </w:p>
    <w:p w:rsidR="00BB7EDA" w:rsidRDefault="007D72B3">
      <w:pPr>
        <w:pStyle w:val="Heading30"/>
        <w:keepNext/>
        <w:keepLines/>
        <w:shd w:val="clear" w:color="auto" w:fill="auto"/>
        <w:spacing w:after="383" w:line="260" w:lineRule="exact"/>
      </w:pPr>
      <w:bookmarkStart w:id="1" w:name="bookmark1"/>
      <w:r>
        <w:lastRenderedPageBreak/>
        <w:t>Inhalt</w:t>
      </w:r>
      <w:bookmarkEnd w:id="1"/>
    </w:p>
    <w:p w:rsidR="00BB7EDA" w:rsidRDefault="007D72B3">
      <w:pPr>
        <w:pStyle w:val="Bodytext20"/>
        <w:shd w:val="clear" w:color="auto" w:fill="auto"/>
        <w:spacing w:before="0"/>
      </w:pPr>
      <w:bookmarkStart w:id="2" w:name="_GoBack"/>
      <w:r>
        <w:t>Abkürzungen, bibliographische Hinweise</w:t>
      </w:r>
    </w:p>
    <w:p w:rsidR="00BB7EDA" w:rsidRDefault="007D72B3">
      <w:pPr>
        <w:pStyle w:val="Verzeichnis4"/>
        <w:shd w:val="clear" w:color="auto" w:fill="auto"/>
        <w:tabs>
          <w:tab w:val="right" w:leader="dot" w:pos="5586"/>
        </w:tabs>
        <w:ind w:firstLine="0"/>
      </w:pPr>
      <w:r>
        <w:fldChar w:fldCharType="begin"/>
      </w:r>
      <w:r>
        <w:instrText xml:space="preserve"> TOC \o "1-5" \h \z </w:instrText>
      </w:r>
      <w:r>
        <w:fldChar w:fldCharType="separate"/>
      </w:r>
      <w:hyperlink w:anchor="bookmark5" w:tooltip="Current Document">
        <w:r>
          <w:rPr>
            <w:rStyle w:val="Verzeichnis3Zchn"/>
          </w:rPr>
          <w:t>und Transkriptionen</w:t>
        </w:r>
        <w:r>
          <w:rPr>
            <w:rStyle w:val="Verzeichnis3Zchn"/>
          </w:rPr>
          <w:tab/>
          <w:t>19</w:t>
        </w:r>
      </w:hyperlink>
    </w:p>
    <w:p w:rsidR="00BB7EDA" w:rsidRDefault="007D72B3">
      <w:pPr>
        <w:pStyle w:val="Verzeichnis3"/>
        <w:shd w:val="clear" w:color="auto" w:fill="auto"/>
        <w:tabs>
          <w:tab w:val="right" w:leader="dot" w:pos="5586"/>
        </w:tabs>
        <w:ind w:left="380" w:firstLine="0"/>
      </w:pPr>
      <w:r>
        <w:t>Abkürzungen der Bibelbücher</w:t>
      </w:r>
      <w:r>
        <w:tab/>
        <w:t>19</w:t>
      </w:r>
    </w:p>
    <w:p w:rsidR="00BB7EDA" w:rsidRDefault="007D72B3">
      <w:pPr>
        <w:pStyle w:val="Tableofcontents0"/>
        <w:shd w:val="clear" w:color="auto" w:fill="auto"/>
        <w:tabs>
          <w:tab w:val="right" w:leader="dot" w:pos="5586"/>
        </w:tabs>
        <w:ind w:left="380"/>
      </w:pPr>
      <w:r>
        <w:t>Altes Testament</w:t>
      </w:r>
      <w:r>
        <w:rPr>
          <w:rStyle w:val="TableofcontentsNotItalic"/>
        </w:rPr>
        <w:tab/>
        <w:t xml:space="preserve"> 19</w:t>
      </w:r>
    </w:p>
    <w:p w:rsidR="00BB7EDA" w:rsidRDefault="007D72B3">
      <w:pPr>
        <w:pStyle w:val="Tableofcontents0"/>
        <w:shd w:val="clear" w:color="auto" w:fill="auto"/>
        <w:tabs>
          <w:tab w:val="right" w:leader="dot" w:pos="5586"/>
        </w:tabs>
        <w:ind w:left="380"/>
      </w:pPr>
      <w:r>
        <w:t>Neues Testament</w:t>
      </w:r>
      <w:r>
        <w:rPr>
          <w:rStyle w:val="TableofcontentsNotItalic"/>
        </w:rPr>
        <w:tab/>
        <w:t>19</w:t>
      </w:r>
    </w:p>
    <w:p w:rsidR="00BB7EDA" w:rsidRDefault="007D72B3">
      <w:pPr>
        <w:pStyle w:val="Verzeichnis3"/>
        <w:shd w:val="clear" w:color="auto" w:fill="auto"/>
        <w:tabs>
          <w:tab w:val="right" w:leader="dot" w:pos="5586"/>
        </w:tabs>
        <w:ind w:firstLine="0"/>
      </w:pPr>
      <w:r>
        <w:t>Allgemeine Abkürzungen</w:t>
      </w:r>
      <w:r>
        <w:tab/>
        <w:t>20</w:t>
      </w:r>
    </w:p>
    <w:p w:rsidR="00BB7EDA" w:rsidRDefault="007D72B3">
      <w:pPr>
        <w:pStyle w:val="Verzeichnis4"/>
        <w:shd w:val="clear" w:color="auto" w:fill="auto"/>
        <w:tabs>
          <w:tab w:val="right" w:leader="dot" w:pos="5586"/>
        </w:tabs>
        <w:ind w:firstLine="0"/>
      </w:pPr>
      <w:hyperlink w:anchor="bookmark3" w:tooltip="Current Document">
        <w:r>
          <w:rPr>
            <w:rStyle w:val="Verzeichnis3Zchn"/>
          </w:rPr>
          <w:t>Bibliographische Hinweise</w:t>
        </w:r>
        <w:r>
          <w:rPr>
            <w:rStyle w:val="Verzeichnis3Zchn"/>
          </w:rPr>
          <w:tab/>
          <w:t>21</w:t>
        </w:r>
      </w:hyperlink>
    </w:p>
    <w:p w:rsidR="00BB7EDA" w:rsidRDefault="007D72B3">
      <w:pPr>
        <w:pStyle w:val="Verzeichnis4"/>
        <w:shd w:val="clear" w:color="auto" w:fill="auto"/>
        <w:tabs>
          <w:tab w:val="right" w:leader="dot" w:pos="5586"/>
        </w:tabs>
        <w:ind w:firstLine="0"/>
      </w:pPr>
      <w:hyperlink w:anchor="bookmark4" w:tooltip="Current Document">
        <w:r>
          <w:rPr>
            <w:rStyle w:val="Verzeichnis3Zchn"/>
          </w:rPr>
          <w:t xml:space="preserve">Bibelzitate </w:t>
        </w:r>
        <w:r>
          <w:rPr>
            <w:rStyle w:val="Verzeichnis3Zchn"/>
          </w:rPr>
          <w:tab/>
          <w:t>21</w:t>
        </w:r>
      </w:hyperlink>
    </w:p>
    <w:p w:rsidR="00BB7EDA" w:rsidRDefault="007D72B3">
      <w:pPr>
        <w:pStyle w:val="Verzeichnis3"/>
        <w:shd w:val="clear" w:color="auto" w:fill="auto"/>
        <w:tabs>
          <w:tab w:val="right" w:leader="dot" w:pos="5586"/>
        </w:tabs>
        <w:ind w:firstLine="0"/>
      </w:pPr>
      <w:r>
        <w:t>Transkriptionen</w:t>
      </w:r>
      <w:r>
        <w:tab/>
        <w:t>21</w:t>
      </w:r>
    </w:p>
    <w:p w:rsidR="00BB7EDA" w:rsidRDefault="007D72B3">
      <w:pPr>
        <w:pStyle w:val="Verzeichnis5"/>
        <w:shd w:val="clear" w:color="auto" w:fill="auto"/>
        <w:tabs>
          <w:tab w:val="right" w:leader="dot" w:pos="5586"/>
        </w:tabs>
        <w:ind w:left="380" w:firstLine="0"/>
      </w:pPr>
      <w:hyperlink w:anchor="bookmark6" w:tooltip="Current Document">
        <w:r>
          <w:rPr>
            <w:rStyle w:val="Verzeichnis3Zchn"/>
          </w:rPr>
          <w:t>Hebräisch und Aramäisch</w:t>
        </w:r>
        <w:r>
          <w:rPr>
            <w:rStyle w:val="Verzeichnis3Zchn"/>
          </w:rPr>
          <w:tab/>
          <w:t>21</w:t>
        </w:r>
      </w:hyperlink>
    </w:p>
    <w:p w:rsidR="00BB7EDA" w:rsidRDefault="007D72B3">
      <w:pPr>
        <w:pStyle w:val="Verzeichnis5"/>
        <w:shd w:val="clear" w:color="auto" w:fill="auto"/>
        <w:tabs>
          <w:tab w:val="right" w:leader="dot" w:pos="5586"/>
        </w:tabs>
        <w:ind w:left="380" w:firstLine="0"/>
      </w:pPr>
      <w:hyperlink w:anchor="bookmark7" w:tooltip="Current Document">
        <w:r>
          <w:rPr>
            <w:rStyle w:val="Verzeichnis3Zchn"/>
          </w:rPr>
          <w:t xml:space="preserve">Griechisch </w:t>
        </w:r>
        <w:r>
          <w:rPr>
            <w:rStyle w:val="Verzeichnis3Zchn"/>
          </w:rPr>
          <w:tab/>
          <w:t>23</w:t>
        </w:r>
      </w:hyperlink>
    </w:p>
    <w:p w:rsidR="00BB7EDA" w:rsidRDefault="007D72B3">
      <w:pPr>
        <w:pStyle w:val="Verzeichnis5"/>
        <w:shd w:val="clear" w:color="auto" w:fill="auto"/>
        <w:tabs>
          <w:tab w:val="right" w:leader="dot" w:pos="5586"/>
        </w:tabs>
        <w:spacing w:after="100"/>
        <w:ind w:left="380" w:firstLine="0"/>
      </w:pPr>
      <w:hyperlink w:anchor="bookmark8" w:tooltip="Current Document">
        <w:r>
          <w:rPr>
            <w:rStyle w:val="Verzeichnis3Zchn"/>
          </w:rPr>
          <w:t xml:space="preserve">Sumerisch, </w:t>
        </w:r>
        <w:r>
          <w:rPr>
            <w:rStyle w:val="Verzeichnis3Zchn"/>
          </w:rPr>
          <w:t>Akkadisch, Ägyptisch etc</w:t>
        </w:r>
        <w:r>
          <w:rPr>
            <w:rStyle w:val="Verzeichnis3Zchn"/>
          </w:rPr>
          <w:tab/>
          <w:t>24</w:t>
        </w:r>
      </w:hyperlink>
    </w:p>
    <w:p w:rsidR="00BB7EDA" w:rsidRDefault="007D72B3">
      <w:pPr>
        <w:pStyle w:val="Verzeichnis3"/>
        <w:shd w:val="clear" w:color="auto" w:fill="auto"/>
        <w:tabs>
          <w:tab w:val="right" w:leader="dot" w:pos="5586"/>
        </w:tabs>
        <w:spacing w:after="98" w:line="180" w:lineRule="exact"/>
        <w:ind w:firstLine="0"/>
      </w:pPr>
      <w:hyperlink w:anchor="bookmark9" w:tooltip="Current Document">
        <w:r>
          <w:t>Vorwort</w:t>
        </w:r>
        <w:r>
          <w:tab/>
          <w:t>25</w:t>
        </w:r>
      </w:hyperlink>
    </w:p>
    <w:p w:rsidR="00BB7EDA" w:rsidRDefault="007D72B3">
      <w:pPr>
        <w:pStyle w:val="Verzeichnis3"/>
        <w:numPr>
          <w:ilvl w:val="0"/>
          <w:numId w:val="4"/>
        </w:numPr>
        <w:shd w:val="clear" w:color="auto" w:fill="auto"/>
        <w:tabs>
          <w:tab w:val="left" w:pos="660"/>
          <w:tab w:val="right" w:leader="dot" w:pos="5586"/>
        </w:tabs>
        <w:spacing w:line="226" w:lineRule="exact"/>
        <w:ind w:firstLine="0"/>
      </w:pPr>
      <w:hyperlink w:anchor="bookmark10" w:tooltip="Current Document">
        <w:r>
          <w:t>Einleitung</w:t>
        </w:r>
        <w:r>
          <w:tab/>
          <w:t>27</w:t>
        </w:r>
      </w:hyperlink>
    </w:p>
    <w:p w:rsidR="00BB7EDA" w:rsidRDefault="007D72B3">
      <w:pPr>
        <w:pStyle w:val="Verzeichnis4"/>
        <w:numPr>
          <w:ilvl w:val="1"/>
          <w:numId w:val="4"/>
        </w:numPr>
        <w:shd w:val="clear" w:color="auto" w:fill="auto"/>
        <w:tabs>
          <w:tab w:val="left" w:pos="660"/>
          <w:tab w:val="right" w:leader="dot" w:pos="5586"/>
        </w:tabs>
        <w:spacing w:line="226" w:lineRule="exact"/>
        <w:ind w:firstLine="0"/>
      </w:pPr>
      <w:hyperlink w:anchor="bookmark11" w:tooltip="Current Document">
        <w:r>
          <w:rPr>
            <w:rStyle w:val="Verzeichnis3Zchn"/>
          </w:rPr>
          <w:t>Zur Geschichte des Evolutionismus</w:t>
        </w:r>
        <w:r>
          <w:rPr>
            <w:rStyle w:val="Verzeichnis3Zchn"/>
          </w:rPr>
          <w:tab/>
          <w:t>27</w:t>
        </w:r>
      </w:hyperlink>
    </w:p>
    <w:p w:rsidR="00BB7EDA" w:rsidRDefault="007D72B3">
      <w:pPr>
        <w:pStyle w:val="Verzeichnis5"/>
        <w:numPr>
          <w:ilvl w:val="2"/>
          <w:numId w:val="4"/>
        </w:numPr>
        <w:shd w:val="clear" w:color="auto" w:fill="auto"/>
        <w:tabs>
          <w:tab w:val="left" w:pos="660"/>
          <w:tab w:val="right" w:leader="dot" w:pos="5586"/>
        </w:tabs>
        <w:spacing w:line="226" w:lineRule="exact"/>
        <w:ind w:firstLine="0"/>
      </w:pPr>
      <w:hyperlink w:anchor="bookmark12" w:tooltip="Current Document">
        <w:r>
          <w:rPr>
            <w:rStyle w:val="Tableofcontents2SmallCaps"/>
          </w:rPr>
          <w:t>Darwins</w:t>
        </w:r>
        <w:r>
          <w:rPr>
            <w:rStyle w:val="Verzeichnis3Zchn"/>
          </w:rPr>
          <w:t xml:space="preserve"> Publikationen</w:t>
        </w:r>
        <w:r>
          <w:rPr>
            <w:rStyle w:val="Verzeichnis3Zchn"/>
          </w:rPr>
          <w:tab/>
          <w:t>27</w:t>
        </w:r>
      </w:hyperlink>
    </w:p>
    <w:p w:rsidR="00BB7EDA" w:rsidRDefault="007D72B3">
      <w:pPr>
        <w:pStyle w:val="Verzeichnis3"/>
        <w:numPr>
          <w:ilvl w:val="2"/>
          <w:numId w:val="4"/>
        </w:numPr>
        <w:shd w:val="clear" w:color="auto" w:fill="auto"/>
        <w:tabs>
          <w:tab w:val="left" w:pos="660"/>
        </w:tabs>
        <w:spacing w:line="226" w:lineRule="exact"/>
        <w:ind w:firstLine="0"/>
      </w:pPr>
      <w:r>
        <w:t>Die Evolutionslehre in der Antike und</w:t>
      </w:r>
    </w:p>
    <w:p w:rsidR="00BB7EDA" w:rsidRDefault="007D72B3">
      <w:pPr>
        <w:pStyle w:val="Verzeichnis3"/>
        <w:shd w:val="clear" w:color="auto" w:fill="auto"/>
        <w:tabs>
          <w:tab w:val="right" w:leader="dot" w:pos="5586"/>
        </w:tabs>
        <w:spacing w:line="226" w:lineRule="exact"/>
        <w:ind w:left="720" w:firstLine="0"/>
      </w:pPr>
      <w:r>
        <w:t>in der Frühgeschichte</w:t>
      </w:r>
      <w:r>
        <w:tab/>
        <w:t>27</w:t>
      </w:r>
    </w:p>
    <w:p w:rsidR="00BB7EDA" w:rsidRDefault="007D72B3">
      <w:pPr>
        <w:pStyle w:val="Verzeichnis5"/>
        <w:numPr>
          <w:ilvl w:val="2"/>
          <w:numId w:val="4"/>
        </w:numPr>
        <w:shd w:val="clear" w:color="auto" w:fill="auto"/>
        <w:tabs>
          <w:tab w:val="left" w:pos="660"/>
          <w:tab w:val="right" w:leader="dot" w:pos="5586"/>
        </w:tabs>
        <w:spacing w:line="226" w:lineRule="exact"/>
        <w:ind w:firstLine="0"/>
      </w:pPr>
      <w:hyperlink w:anchor="bookmark14" w:tooltip="Current Document">
        <w:r>
          <w:rPr>
            <w:rStyle w:val="Tableofcontents2SmallCaps"/>
          </w:rPr>
          <w:t>Darwin</w:t>
        </w:r>
        <w:r>
          <w:rPr>
            <w:rStyle w:val="Verzeichnis3Zchn"/>
          </w:rPr>
          <w:t xml:space="preserve"> und das 20. Jahrhundert</w:t>
        </w:r>
        <w:r>
          <w:rPr>
            <w:rStyle w:val="Verzeichnis3Zchn"/>
          </w:rPr>
          <w:tab/>
          <w:t>28</w:t>
        </w:r>
      </w:hyperlink>
    </w:p>
    <w:p w:rsidR="00BB7EDA" w:rsidRDefault="007D72B3">
      <w:pPr>
        <w:pStyle w:val="Verzeichnis3"/>
        <w:numPr>
          <w:ilvl w:val="2"/>
          <w:numId w:val="4"/>
        </w:numPr>
        <w:shd w:val="clear" w:color="auto" w:fill="auto"/>
        <w:tabs>
          <w:tab w:val="left" w:pos="660"/>
          <w:tab w:val="right" w:leader="dot" w:pos="5586"/>
        </w:tabs>
        <w:spacing w:line="226" w:lineRule="exact"/>
        <w:ind w:firstLine="0"/>
      </w:pPr>
      <w:r>
        <w:rPr>
          <w:rStyle w:val="Tableofcontents2SmallCaps"/>
        </w:rPr>
        <w:t>Darwin</w:t>
      </w:r>
      <w:r>
        <w:t xml:space="preserve"> und die Aufklärung</w:t>
      </w:r>
      <w:r>
        <w:tab/>
      </w:r>
      <w:r>
        <w:t>29</w:t>
      </w:r>
    </w:p>
    <w:p w:rsidR="00BB7EDA" w:rsidRDefault="007D72B3">
      <w:pPr>
        <w:pStyle w:val="Verzeichnis4"/>
        <w:numPr>
          <w:ilvl w:val="1"/>
          <w:numId w:val="4"/>
        </w:numPr>
        <w:shd w:val="clear" w:color="auto" w:fill="auto"/>
        <w:tabs>
          <w:tab w:val="left" w:pos="660"/>
          <w:tab w:val="right" w:leader="dot" w:pos="5586"/>
        </w:tabs>
        <w:spacing w:line="226" w:lineRule="exact"/>
        <w:ind w:firstLine="0"/>
      </w:pPr>
      <w:hyperlink w:anchor="bookmark15" w:tooltip="Current Document">
        <w:r>
          <w:rPr>
            <w:rStyle w:val="Verzeichnis3Zchn"/>
          </w:rPr>
          <w:t>Kritik an der Evolutionslehre</w:t>
        </w:r>
        <w:r>
          <w:rPr>
            <w:rStyle w:val="Verzeichnis3Zchn"/>
          </w:rPr>
          <w:tab/>
          <w:t>30</w:t>
        </w:r>
      </w:hyperlink>
    </w:p>
    <w:p w:rsidR="00BB7EDA" w:rsidRDefault="007D72B3">
      <w:pPr>
        <w:pStyle w:val="Verzeichnis3"/>
        <w:numPr>
          <w:ilvl w:val="2"/>
          <w:numId w:val="4"/>
        </w:numPr>
        <w:shd w:val="clear" w:color="auto" w:fill="auto"/>
        <w:tabs>
          <w:tab w:val="left" w:pos="660"/>
          <w:tab w:val="right" w:leader="dot" w:pos="5586"/>
        </w:tabs>
        <w:spacing w:line="226" w:lineRule="exact"/>
        <w:ind w:firstLine="0"/>
      </w:pPr>
      <w:r>
        <w:t>Psalm 2 und die Emanzipation des Menschen</w:t>
      </w:r>
      <w:r>
        <w:tab/>
        <w:t>30</w:t>
      </w:r>
    </w:p>
    <w:p w:rsidR="00BB7EDA" w:rsidRDefault="007D72B3">
      <w:pPr>
        <w:pStyle w:val="Verzeichnis3"/>
        <w:numPr>
          <w:ilvl w:val="2"/>
          <w:numId w:val="4"/>
        </w:numPr>
        <w:shd w:val="clear" w:color="auto" w:fill="auto"/>
        <w:tabs>
          <w:tab w:val="left" w:pos="660"/>
          <w:tab w:val="right" w:leader="dot" w:pos="5586"/>
        </w:tabs>
        <w:spacing w:line="226" w:lineRule="exact"/>
        <w:ind w:firstLine="0"/>
      </w:pPr>
      <w:r>
        <w:t>Kein nebensächliches Thema</w:t>
      </w:r>
      <w:r>
        <w:tab/>
        <w:t>31</w:t>
      </w:r>
    </w:p>
    <w:p w:rsidR="00BB7EDA" w:rsidRDefault="007D72B3">
      <w:pPr>
        <w:pStyle w:val="Verzeichnis3"/>
        <w:numPr>
          <w:ilvl w:val="2"/>
          <w:numId w:val="4"/>
        </w:numPr>
        <w:shd w:val="clear" w:color="auto" w:fill="auto"/>
        <w:tabs>
          <w:tab w:val="left" w:pos="660"/>
          <w:tab w:val="right" w:leader="dot" w:pos="5586"/>
        </w:tabs>
        <w:spacing w:line="226" w:lineRule="exact"/>
        <w:ind w:firstLine="0"/>
      </w:pPr>
      <w:r>
        <w:t>Woher? Wohin? Wo?</w:t>
      </w:r>
      <w:r>
        <w:tab/>
        <w:t>31</w:t>
      </w:r>
    </w:p>
    <w:p w:rsidR="00BB7EDA" w:rsidRDefault="007D72B3">
      <w:pPr>
        <w:pStyle w:val="Verzeichnis3"/>
        <w:numPr>
          <w:ilvl w:val="2"/>
          <w:numId w:val="4"/>
        </w:numPr>
        <w:shd w:val="clear" w:color="auto" w:fill="auto"/>
        <w:tabs>
          <w:tab w:val="left" w:pos="660"/>
        </w:tabs>
        <w:spacing w:line="226" w:lineRule="exact"/>
        <w:ind w:firstLine="0"/>
      </w:pPr>
      <w:r>
        <w:t>Der Evolutionismus und die geistige Krise des</w:t>
      </w:r>
    </w:p>
    <w:p w:rsidR="00BB7EDA" w:rsidRDefault="007D72B3">
      <w:pPr>
        <w:pStyle w:val="Verzeichnis3"/>
        <w:shd w:val="clear" w:color="auto" w:fill="auto"/>
        <w:tabs>
          <w:tab w:val="right" w:leader="dot" w:pos="5586"/>
        </w:tabs>
        <w:spacing w:line="226" w:lineRule="exact"/>
        <w:ind w:left="720" w:firstLine="0"/>
      </w:pPr>
      <w:r>
        <w:t>20. Jahrhunderts</w:t>
      </w:r>
      <w:r>
        <w:tab/>
        <w:t>32</w:t>
      </w:r>
    </w:p>
    <w:p w:rsidR="00BB7EDA" w:rsidRDefault="007D72B3">
      <w:pPr>
        <w:pStyle w:val="Verzeichnis5"/>
        <w:numPr>
          <w:ilvl w:val="2"/>
          <w:numId w:val="4"/>
        </w:numPr>
        <w:shd w:val="clear" w:color="auto" w:fill="auto"/>
        <w:tabs>
          <w:tab w:val="left" w:pos="660"/>
          <w:tab w:val="right" w:leader="dot" w:pos="5586"/>
        </w:tabs>
        <w:spacing w:line="226" w:lineRule="exact"/>
        <w:ind w:firstLine="0"/>
      </w:pPr>
      <w:hyperlink w:anchor="bookmark17" w:tooltip="Current Document">
        <w:r>
          <w:rPr>
            <w:rStyle w:val="Verzeichnis3Zchn"/>
          </w:rPr>
          <w:t>Wissenschaftliche Evolutionskritik</w:t>
        </w:r>
        <w:r>
          <w:rPr>
            <w:rStyle w:val="Verzeichnis3Zchn"/>
          </w:rPr>
          <w:tab/>
          <w:t>33</w:t>
        </w:r>
      </w:hyperlink>
    </w:p>
    <w:p w:rsidR="00BB7EDA" w:rsidRDefault="007D72B3">
      <w:pPr>
        <w:pStyle w:val="Verzeichnis3"/>
        <w:numPr>
          <w:ilvl w:val="2"/>
          <w:numId w:val="4"/>
        </w:numPr>
        <w:shd w:val="clear" w:color="auto" w:fill="auto"/>
        <w:tabs>
          <w:tab w:val="left" w:pos="660"/>
          <w:tab w:val="right" w:leader="dot" w:pos="5586"/>
        </w:tabs>
        <w:spacing w:after="180" w:line="226" w:lineRule="exact"/>
        <w:ind w:firstLine="0"/>
      </w:pPr>
      <w:r>
        <w:t>Die Hauptthese der vorliegenden Arbeit</w:t>
      </w:r>
      <w:r>
        <w:tab/>
        <w:t>35</w:t>
      </w:r>
    </w:p>
    <w:p w:rsidR="00BB7EDA" w:rsidRDefault="007D72B3">
      <w:pPr>
        <w:pStyle w:val="Verzeichnis3"/>
        <w:numPr>
          <w:ilvl w:val="0"/>
          <w:numId w:val="4"/>
        </w:numPr>
        <w:shd w:val="clear" w:color="auto" w:fill="auto"/>
        <w:tabs>
          <w:tab w:val="left" w:pos="660"/>
        </w:tabs>
        <w:spacing w:line="226" w:lineRule="exact"/>
        <w:ind w:firstLine="0"/>
      </w:pPr>
      <w:r>
        <w:t>Einführung in das Phänomen der menschlichen</w:t>
      </w:r>
    </w:p>
    <w:p w:rsidR="00BB7EDA" w:rsidRDefault="007D72B3">
      <w:pPr>
        <w:pStyle w:val="Verzeichnis3"/>
        <w:shd w:val="clear" w:color="auto" w:fill="auto"/>
        <w:tabs>
          <w:tab w:val="right" w:leader="dot" w:pos="5586"/>
        </w:tabs>
        <w:spacing w:line="226" w:lineRule="exact"/>
        <w:ind w:left="720" w:firstLine="0"/>
      </w:pPr>
      <w:r>
        <w:t xml:space="preserve">Sprachen </w:t>
      </w:r>
      <w:r>
        <w:tab/>
        <w:t>37</w:t>
      </w:r>
    </w:p>
    <w:p w:rsidR="00BB7EDA" w:rsidRDefault="007D72B3">
      <w:pPr>
        <w:pStyle w:val="Verzeichnis5"/>
        <w:numPr>
          <w:ilvl w:val="1"/>
          <w:numId w:val="4"/>
        </w:numPr>
        <w:shd w:val="clear" w:color="auto" w:fill="auto"/>
        <w:tabs>
          <w:tab w:val="left" w:pos="660"/>
          <w:tab w:val="right" w:leader="dot" w:pos="5586"/>
        </w:tabs>
        <w:spacing w:line="226" w:lineRule="exact"/>
        <w:ind w:firstLine="0"/>
      </w:pPr>
      <w:hyperlink w:anchor="bookmark19" w:tooltip="Current Document">
        <w:r>
          <w:rPr>
            <w:rStyle w:val="Verzeichnis3Zchn"/>
          </w:rPr>
          <w:t xml:space="preserve">Sprache und </w:t>
        </w:r>
        <w:r>
          <w:rPr>
            <w:rStyle w:val="Verzeichnis3Zchn"/>
          </w:rPr>
          <w:t>Linguistik</w:t>
        </w:r>
        <w:r>
          <w:rPr>
            <w:rStyle w:val="Verzeichnis3Zchn"/>
          </w:rPr>
          <w:tab/>
          <w:t>37</w:t>
        </w:r>
      </w:hyperlink>
    </w:p>
    <w:p w:rsidR="00BB7EDA" w:rsidRDefault="007D72B3">
      <w:pPr>
        <w:pStyle w:val="Verzeichnis5"/>
        <w:numPr>
          <w:ilvl w:val="0"/>
          <w:numId w:val="5"/>
        </w:numPr>
        <w:shd w:val="clear" w:color="auto" w:fill="auto"/>
        <w:tabs>
          <w:tab w:val="left" w:pos="660"/>
          <w:tab w:val="right" w:leader="dot" w:pos="5586"/>
        </w:tabs>
        <w:spacing w:line="226" w:lineRule="exact"/>
        <w:ind w:firstLine="0"/>
      </w:pPr>
      <w:hyperlink w:anchor="bookmark20" w:tooltip="Current Document">
        <w:r>
          <w:rPr>
            <w:rStyle w:val="Verzeichnis3Zchn"/>
          </w:rPr>
          <w:t>Code-Systeme</w:t>
        </w:r>
        <w:r>
          <w:rPr>
            <w:rStyle w:val="Verzeichnis3Zchn"/>
          </w:rPr>
          <w:tab/>
          <w:t>37</w:t>
        </w:r>
      </w:hyperlink>
    </w:p>
    <w:p w:rsidR="00BB7EDA" w:rsidRDefault="007D72B3">
      <w:pPr>
        <w:pStyle w:val="Verzeichnis5"/>
        <w:numPr>
          <w:ilvl w:val="0"/>
          <w:numId w:val="5"/>
        </w:numPr>
        <w:shd w:val="clear" w:color="auto" w:fill="auto"/>
        <w:tabs>
          <w:tab w:val="left" w:pos="660"/>
          <w:tab w:val="right" w:leader="dot" w:pos="5586"/>
        </w:tabs>
        <w:spacing w:line="226" w:lineRule="exact"/>
        <w:ind w:firstLine="0"/>
      </w:pPr>
      <w:hyperlink w:anchor="bookmark21" w:tooltip="Current Document">
        <w:r>
          <w:rPr>
            <w:rStyle w:val="Verzeichnis3Zchn"/>
          </w:rPr>
          <w:t>Was ist Linguistik?</w:t>
        </w:r>
        <w:r>
          <w:rPr>
            <w:rStyle w:val="Verzeichnis3Zchn"/>
          </w:rPr>
          <w:tab/>
          <w:t>38</w:t>
        </w:r>
      </w:hyperlink>
    </w:p>
    <w:p w:rsidR="00BB7EDA" w:rsidRDefault="007D72B3">
      <w:pPr>
        <w:pStyle w:val="Verzeichnis5"/>
        <w:numPr>
          <w:ilvl w:val="0"/>
          <w:numId w:val="5"/>
        </w:numPr>
        <w:shd w:val="clear" w:color="auto" w:fill="auto"/>
        <w:tabs>
          <w:tab w:val="left" w:pos="660"/>
          <w:tab w:val="right" w:leader="dot" w:pos="5586"/>
        </w:tabs>
        <w:spacing w:line="226" w:lineRule="exact"/>
        <w:ind w:firstLine="0"/>
      </w:pPr>
      <w:hyperlink w:anchor="bookmark22" w:tooltip="Current Document">
        <w:r>
          <w:rPr>
            <w:rStyle w:val="Verzeichnis3Zchn"/>
          </w:rPr>
          <w:t>Die synchrone Methode</w:t>
        </w:r>
        <w:r>
          <w:rPr>
            <w:rStyle w:val="Verzeichnis3Zchn"/>
          </w:rPr>
          <w:tab/>
          <w:t>39</w:t>
        </w:r>
      </w:hyperlink>
    </w:p>
    <w:p w:rsidR="00BB7EDA" w:rsidRDefault="007D72B3">
      <w:pPr>
        <w:pStyle w:val="Verzeichnis5"/>
        <w:numPr>
          <w:ilvl w:val="0"/>
          <w:numId w:val="5"/>
        </w:numPr>
        <w:shd w:val="clear" w:color="auto" w:fill="auto"/>
        <w:tabs>
          <w:tab w:val="left" w:pos="660"/>
          <w:tab w:val="right" w:leader="dot" w:pos="5586"/>
        </w:tabs>
        <w:spacing w:line="226" w:lineRule="exact"/>
        <w:ind w:firstLine="0"/>
      </w:pPr>
      <w:hyperlink w:anchor="bookmark23" w:tooltip="Current Document">
        <w:r>
          <w:rPr>
            <w:rStyle w:val="Verzeichnis3Zchn"/>
          </w:rPr>
          <w:t>Die diachrone Methode</w:t>
        </w:r>
        <w:r>
          <w:rPr>
            <w:rStyle w:val="Verzeichnis3Zchn"/>
          </w:rPr>
          <w:tab/>
          <w:t>39</w:t>
        </w:r>
      </w:hyperlink>
    </w:p>
    <w:p w:rsidR="00BB7EDA" w:rsidRDefault="007D72B3">
      <w:pPr>
        <w:pStyle w:val="Verzeichnis5"/>
        <w:numPr>
          <w:ilvl w:val="0"/>
          <w:numId w:val="5"/>
        </w:numPr>
        <w:shd w:val="clear" w:color="auto" w:fill="auto"/>
        <w:tabs>
          <w:tab w:val="left" w:pos="660"/>
          <w:tab w:val="right" w:leader="dot" w:pos="5586"/>
        </w:tabs>
        <w:spacing w:line="226" w:lineRule="exact"/>
        <w:ind w:firstLine="0"/>
      </w:pPr>
      <w:hyperlink w:anchor="bookmark24" w:tooltip="Current Document">
        <w:r>
          <w:rPr>
            <w:rStyle w:val="Verzeichnis3Zchn"/>
          </w:rPr>
          <w:t>Die komparative Methode</w:t>
        </w:r>
        <w:r>
          <w:rPr>
            <w:rStyle w:val="Verzeichnis3Zchn"/>
          </w:rPr>
          <w:tab/>
          <w:t>39</w:t>
        </w:r>
      </w:hyperlink>
      <w:r>
        <w:br w:type="page"/>
      </w:r>
    </w:p>
    <w:p w:rsidR="00BB7EDA" w:rsidRDefault="007D72B3">
      <w:pPr>
        <w:pStyle w:val="Tableofcontents0"/>
        <w:numPr>
          <w:ilvl w:val="0"/>
          <w:numId w:val="6"/>
        </w:numPr>
        <w:shd w:val="clear" w:color="auto" w:fill="auto"/>
        <w:tabs>
          <w:tab w:val="left" w:pos="1380"/>
          <w:tab w:val="right" w:leader="dot" w:pos="5558"/>
        </w:tabs>
        <w:spacing w:line="226" w:lineRule="exact"/>
        <w:ind w:left="700"/>
      </w:pPr>
      <w:r>
        <w:lastRenderedPageBreak/>
        <w:t>Sprachversuche mit Primaten</w:t>
      </w:r>
      <w:r>
        <w:rPr>
          <w:rStyle w:val="TableofcontentsNotItalic"/>
        </w:rPr>
        <w:t xml:space="preserve"> </w:t>
      </w:r>
      <w:r>
        <w:rPr>
          <w:rStyle w:val="TableofcontentsNotItalic"/>
        </w:rPr>
        <w:tab/>
        <w:t>40</w:t>
      </w:r>
    </w:p>
    <w:p w:rsidR="00BB7EDA" w:rsidRDefault="007D72B3">
      <w:pPr>
        <w:pStyle w:val="Tableofcontents0"/>
        <w:numPr>
          <w:ilvl w:val="0"/>
          <w:numId w:val="6"/>
        </w:numPr>
        <w:shd w:val="clear" w:color="auto" w:fill="auto"/>
        <w:tabs>
          <w:tab w:val="left" w:pos="1399"/>
          <w:tab w:val="right" w:leader="dot" w:pos="5558"/>
        </w:tabs>
        <w:spacing w:line="226" w:lineRule="exact"/>
        <w:ind w:left="700"/>
      </w:pPr>
      <w:r>
        <w:pict>
          <v:shapetype id="_x0000_t202" coordsize="21600,21600" o:spt="202" path="m,l,21600r21600,l21600,xe">
            <v:stroke joinstyle="miter"/>
            <v:path gradientshapeok="t" o:connecttype="rect"/>
          </v:shapetype>
          <v:shape id="_x0000_s1027" type="#_x0000_t202" style="position:absolute;left:0;text-align:left;margin-left:-1.15pt;margin-top:-24.5pt;width:279.35pt;height:12.5pt;z-index:-125829376;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2.1.7 Zur Einzigartigkeit der menschlichen Kommunikation .. 40</w:t>
                  </w:r>
                </w:p>
              </w:txbxContent>
            </v:textbox>
            <w10:wrap type="topAndBottom" anchorx="margin"/>
          </v:shape>
        </w:pict>
      </w:r>
      <w:r>
        <w:t xml:space="preserve">Das Urteil von </w:t>
      </w:r>
      <w:r>
        <w:rPr>
          <w:rStyle w:val="TableofcontentsSmallCaps"/>
          <w:i/>
          <w:iCs/>
        </w:rPr>
        <w:t>Chomsky</w:t>
      </w:r>
      <w:r>
        <w:rPr>
          <w:rStyle w:val="TableofcontentsNotItalic"/>
        </w:rPr>
        <w:tab/>
        <w:t>41</w:t>
      </w:r>
    </w:p>
    <w:p w:rsidR="00BB7EDA" w:rsidRDefault="007D72B3">
      <w:pPr>
        <w:pStyle w:val="Tableofcontents0"/>
        <w:numPr>
          <w:ilvl w:val="0"/>
          <w:numId w:val="6"/>
        </w:numPr>
        <w:shd w:val="clear" w:color="auto" w:fill="auto"/>
        <w:tabs>
          <w:tab w:val="left" w:pos="1399"/>
          <w:tab w:val="left" w:leader="dot" w:pos="5317"/>
        </w:tabs>
        <w:spacing w:line="226" w:lineRule="exact"/>
        <w:ind w:left="700"/>
      </w:pPr>
      <w:r>
        <w:t>Überbrückung der Kluft durch Evolution?</w:t>
      </w:r>
      <w:r>
        <w:rPr>
          <w:rStyle w:val="TableofcontentsNotItalic"/>
        </w:rPr>
        <w:tab/>
        <w:t>42</w:t>
      </w:r>
    </w:p>
    <w:p w:rsidR="00BB7EDA" w:rsidRDefault="007D72B3">
      <w:pPr>
        <w:pStyle w:val="Tableofcontents0"/>
        <w:numPr>
          <w:ilvl w:val="0"/>
          <w:numId w:val="6"/>
        </w:numPr>
        <w:shd w:val="clear" w:color="auto" w:fill="auto"/>
        <w:tabs>
          <w:tab w:val="left" w:pos="1399"/>
          <w:tab w:val="right" w:leader="dot" w:pos="5558"/>
        </w:tabs>
        <w:spacing w:line="226" w:lineRule="exact"/>
        <w:ind w:left="700"/>
      </w:pPr>
      <w:r>
        <w:t>Fehlende neurobiologische Grundlagen</w:t>
      </w:r>
      <w:r>
        <w:rPr>
          <w:rStyle w:val="TableofcontentsNotItalic"/>
        </w:rPr>
        <w:tab/>
        <w:t>43</w:t>
      </w:r>
    </w:p>
    <w:p w:rsidR="00BB7EDA" w:rsidRDefault="007D72B3">
      <w:pPr>
        <w:pStyle w:val="Verzeichnis3"/>
        <w:numPr>
          <w:ilvl w:val="0"/>
          <w:numId w:val="7"/>
        </w:numPr>
        <w:shd w:val="clear" w:color="auto" w:fill="auto"/>
        <w:tabs>
          <w:tab w:val="left" w:pos="662"/>
          <w:tab w:val="right" w:leader="dot" w:pos="5558"/>
        </w:tabs>
        <w:spacing w:line="226" w:lineRule="exact"/>
        <w:ind w:firstLine="0"/>
      </w:pPr>
      <w:r>
        <w:t xml:space="preserve">Sprache und Denken </w:t>
      </w:r>
      <w:r>
        <w:tab/>
        <w:t>46</w:t>
      </w:r>
    </w:p>
    <w:p w:rsidR="00BB7EDA" w:rsidRDefault="007D72B3">
      <w:pPr>
        <w:pStyle w:val="Tableofcontents0"/>
        <w:numPr>
          <w:ilvl w:val="0"/>
          <w:numId w:val="8"/>
        </w:numPr>
        <w:shd w:val="clear" w:color="auto" w:fill="auto"/>
        <w:tabs>
          <w:tab w:val="left" w:pos="1385"/>
          <w:tab w:val="right" w:leader="dot" w:pos="5558"/>
        </w:tabs>
        <w:spacing w:line="226" w:lineRule="exact"/>
        <w:ind w:left="700"/>
      </w:pPr>
      <w:r>
        <w:t>Was ist Denken?</w:t>
      </w:r>
      <w:r>
        <w:rPr>
          <w:rStyle w:val="TableofcontentsNotItalic"/>
        </w:rPr>
        <w:t xml:space="preserve"> </w:t>
      </w:r>
      <w:r>
        <w:rPr>
          <w:rStyle w:val="TableofcontentsNotItalic"/>
        </w:rPr>
        <w:tab/>
        <w:t>46</w:t>
      </w:r>
    </w:p>
    <w:p w:rsidR="00BB7EDA" w:rsidRDefault="007D72B3">
      <w:pPr>
        <w:pStyle w:val="Tableofcontents0"/>
        <w:numPr>
          <w:ilvl w:val="0"/>
          <w:numId w:val="8"/>
        </w:numPr>
        <w:shd w:val="clear" w:color="auto" w:fill="auto"/>
        <w:tabs>
          <w:tab w:val="left" w:pos="1394"/>
        </w:tabs>
        <w:spacing w:line="226" w:lineRule="exact"/>
        <w:ind w:left="700"/>
      </w:pPr>
      <w:r>
        <w:t>Unzertrennliche Verzahnung zwischen</w:t>
      </w:r>
    </w:p>
    <w:p w:rsidR="00BB7EDA" w:rsidRDefault="007D72B3">
      <w:pPr>
        <w:pStyle w:val="Tableofcontents0"/>
        <w:shd w:val="clear" w:color="auto" w:fill="auto"/>
        <w:tabs>
          <w:tab w:val="right" w:leader="dot" w:pos="5558"/>
        </w:tabs>
        <w:spacing w:line="226" w:lineRule="exact"/>
        <w:ind w:left="1380"/>
      </w:pPr>
      <w:r>
        <w:t>Denken und Sprache</w:t>
      </w:r>
      <w:r>
        <w:rPr>
          <w:rStyle w:val="TableofcontentsNotItalic"/>
        </w:rPr>
        <w:t xml:space="preserve"> </w:t>
      </w:r>
      <w:r>
        <w:rPr>
          <w:rStyle w:val="TableofcontentsNotItalic"/>
        </w:rPr>
        <w:tab/>
        <w:t>46</w:t>
      </w:r>
    </w:p>
    <w:p w:rsidR="00BB7EDA" w:rsidRDefault="007D72B3">
      <w:pPr>
        <w:pStyle w:val="Tableofcontents0"/>
        <w:numPr>
          <w:ilvl w:val="0"/>
          <w:numId w:val="8"/>
        </w:numPr>
        <w:shd w:val="clear" w:color="auto" w:fill="auto"/>
        <w:tabs>
          <w:tab w:val="left" w:pos="1399"/>
          <w:tab w:val="right" w:leader="dot" w:pos="5558"/>
        </w:tabs>
        <w:spacing w:line="226" w:lineRule="exact"/>
        <w:ind w:left="700"/>
      </w:pPr>
      <w:r>
        <w:t>Das Süssmilch'sehe Paradoxon</w:t>
      </w:r>
      <w:r>
        <w:rPr>
          <w:rStyle w:val="TableofcontentsNotItalic"/>
        </w:rPr>
        <w:tab/>
        <w:t>48</w:t>
      </w:r>
    </w:p>
    <w:p w:rsidR="00BB7EDA" w:rsidRDefault="007D72B3">
      <w:pPr>
        <w:pStyle w:val="Verzeichnis3"/>
        <w:numPr>
          <w:ilvl w:val="0"/>
          <w:numId w:val="7"/>
        </w:numPr>
        <w:shd w:val="clear" w:color="auto" w:fill="auto"/>
        <w:tabs>
          <w:tab w:val="left" w:pos="662"/>
          <w:tab w:val="right" w:leader="dot" w:pos="5558"/>
        </w:tabs>
        <w:spacing w:line="226" w:lineRule="exact"/>
        <w:ind w:firstLine="0"/>
      </w:pPr>
      <w:r>
        <w:t xml:space="preserve">Über 6.800 </w:t>
      </w:r>
      <w:r>
        <w:t>Sprachen</w:t>
      </w:r>
      <w:r>
        <w:tab/>
        <w:t>49</w:t>
      </w:r>
    </w:p>
    <w:p w:rsidR="00BB7EDA" w:rsidRDefault="007D72B3">
      <w:pPr>
        <w:pStyle w:val="Verzeichnis3"/>
        <w:numPr>
          <w:ilvl w:val="0"/>
          <w:numId w:val="7"/>
        </w:numPr>
        <w:shd w:val="clear" w:color="auto" w:fill="auto"/>
        <w:tabs>
          <w:tab w:val="left" w:pos="662"/>
          <w:tab w:val="right" w:leader="dot" w:pos="5558"/>
        </w:tabs>
        <w:spacing w:line="226" w:lineRule="exact"/>
        <w:ind w:firstLine="0"/>
      </w:pPr>
      <w:r>
        <w:t>Kein Problem für Kleinkinder</w:t>
      </w:r>
      <w:r>
        <w:tab/>
        <w:t>49</w:t>
      </w:r>
    </w:p>
    <w:p w:rsidR="00BB7EDA" w:rsidRDefault="007D72B3">
      <w:pPr>
        <w:pStyle w:val="Tableofcontents30"/>
        <w:numPr>
          <w:ilvl w:val="1"/>
          <w:numId w:val="4"/>
        </w:numPr>
        <w:shd w:val="clear" w:color="auto" w:fill="auto"/>
        <w:tabs>
          <w:tab w:val="left" w:pos="662"/>
          <w:tab w:val="right" w:leader="dot" w:pos="5558"/>
        </w:tabs>
      </w:pPr>
      <w:hyperlink w:anchor="bookmark26" w:tooltip="Current Document">
        <w:r>
          <w:t>Grammatik, Semantik und Graphemik</w:t>
        </w:r>
        <w:r>
          <w:tab/>
          <w:t>49</w:t>
        </w:r>
      </w:hyperlink>
    </w:p>
    <w:p w:rsidR="00BB7EDA" w:rsidRDefault="007D72B3">
      <w:pPr>
        <w:pStyle w:val="Verzeichnis3"/>
        <w:numPr>
          <w:ilvl w:val="2"/>
          <w:numId w:val="4"/>
        </w:numPr>
        <w:shd w:val="clear" w:color="auto" w:fill="auto"/>
        <w:tabs>
          <w:tab w:val="left" w:pos="662"/>
          <w:tab w:val="right" w:leader="dot" w:pos="5558"/>
        </w:tabs>
        <w:spacing w:line="226" w:lineRule="exact"/>
        <w:ind w:firstLine="0"/>
      </w:pPr>
      <w:r>
        <w:t>Phonologie</w:t>
      </w:r>
      <w:r>
        <w:tab/>
        <w:t>50</w:t>
      </w:r>
    </w:p>
    <w:p w:rsidR="00BB7EDA" w:rsidRDefault="007D72B3">
      <w:pPr>
        <w:pStyle w:val="Tableofcontents0"/>
        <w:numPr>
          <w:ilvl w:val="3"/>
          <w:numId w:val="4"/>
        </w:numPr>
        <w:shd w:val="clear" w:color="auto" w:fill="auto"/>
        <w:tabs>
          <w:tab w:val="left" w:pos="1385"/>
          <w:tab w:val="left" w:leader="dot" w:pos="5317"/>
        </w:tabs>
        <w:spacing w:line="226" w:lineRule="exact"/>
        <w:ind w:left="700"/>
      </w:pPr>
      <w:r>
        <w:t>Zur Vielfalt der Phone und der Phoneme</w:t>
      </w:r>
      <w:r>
        <w:rPr>
          <w:rStyle w:val="TableofcontentsNotItalic"/>
        </w:rPr>
        <w:tab/>
        <w:t>50</w:t>
      </w:r>
    </w:p>
    <w:p w:rsidR="00BB7EDA" w:rsidRDefault="007D72B3">
      <w:pPr>
        <w:pStyle w:val="Tableofcontents0"/>
        <w:numPr>
          <w:ilvl w:val="3"/>
          <w:numId w:val="4"/>
        </w:numPr>
        <w:shd w:val="clear" w:color="auto" w:fill="auto"/>
        <w:tabs>
          <w:tab w:val="left" w:pos="1399"/>
        </w:tabs>
        <w:spacing w:line="226" w:lineRule="exact"/>
        <w:ind w:left="700"/>
      </w:pPr>
      <w:r w:rsidRPr="007D72B3">
        <w:rPr>
          <w:lang w:val="en-US"/>
        </w:rPr>
        <w:t>Verlust an Phonemen: Evolution oder Devolution?..</w:t>
      </w:r>
      <w:r w:rsidRPr="007D72B3">
        <w:rPr>
          <w:rStyle w:val="TableofcontentsNotItalic"/>
          <w:lang w:val="en-US"/>
        </w:rPr>
        <w:t xml:space="preserve"> </w:t>
      </w:r>
      <w:r>
        <w:rPr>
          <w:rStyle w:val="TableofcontentsNotItalic"/>
        </w:rPr>
        <w:t>51</w:t>
      </w:r>
    </w:p>
    <w:p w:rsidR="00BB7EDA" w:rsidRDefault="007D72B3">
      <w:pPr>
        <w:pStyle w:val="Tableofcontents0"/>
        <w:numPr>
          <w:ilvl w:val="3"/>
          <w:numId w:val="4"/>
        </w:numPr>
        <w:shd w:val="clear" w:color="auto" w:fill="auto"/>
        <w:tabs>
          <w:tab w:val="left" w:pos="1399"/>
          <w:tab w:val="right" w:leader="dot" w:pos="5558"/>
        </w:tabs>
        <w:spacing w:line="226" w:lineRule="exact"/>
        <w:ind w:left="700"/>
      </w:pPr>
      <w:r>
        <w:t>Zur Klassif</w:t>
      </w:r>
      <w:r>
        <w:t>izierung der Phoneme</w:t>
      </w:r>
      <w:r>
        <w:rPr>
          <w:rStyle w:val="TableofcontentsNotItalic"/>
        </w:rPr>
        <w:tab/>
        <w:t>52</w:t>
      </w:r>
    </w:p>
    <w:p w:rsidR="00BB7EDA" w:rsidRDefault="007D72B3">
      <w:pPr>
        <w:pStyle w:val="Tableofcontents0"/>
        <w:numPr>
          <w:ilvl w:val="3"/>
          <w:numId w:val="4"/>
        </w:numPr>
        <w:shd w:val="clear" w:color="auto" w:fill="auto"/>
        <w:tabs>
          <w:tab w:val="left" w:pos="1404"/>
          <w:tab w:val="left" w:leader="dot" w:pos="5317"/>
        </w:tabs>
        <w:spacing w:line="226" w:lineRule="exact"/>
        <w:ind w:left="700"/>
      </w:pPr>
      <w:r>
        <w:t>Zur Bandbreite des Laut-Inventars der Sprachen</w:t>
      </w:r>
      <w:r>
        <w:rPr>
          <w:rStyle w:val="TableofcontentsNotItalic"/>
        </w:rPr>
        <w:tab/>
        <w:t>52</w:t>
      </w:r>
    </w:p>
    <w:p w:rsidR="00BB7EDA" w:rsidRDefault="007D72B3">
      <w:pPr>
        <w:pStyle w:val="Tableofcontents0"/>
        <w:numPr>
          <w:ilvl w:val="3"/>
          <w:numId w:val="4"/>
        </w:numPr>
        <w:shd w:val="clear" w:color="auto" w:fill="auto"/>
        <w:tabs>
          <w:tab w:val="left" w:pos="1409"/>
          <w:tab w:val="right" w:leader="dot" w:pos="5558"/>
        </w:tabs>
        <w:spacing w:line="226" w:lineRule="exact"/>
        <w:ind w:left="700"/>
      </w:pPr>
      <w:r>
        <w:t>Phonem-Wahrnehmung</w:t>
      </w:r>
      <w:r>
        <w:rPr>
          <w:rStyle w:val="TableofcontentsNotItalic"/>
        </w:rPr>
        <w:tab/>
        <w:t>53</w:t>
      </w:r>
    </w:p>
    <w:p w:rsidR="00BB7EDA" w:rsidRDefault="007D72B3">
      <w:pPr>
        <w:pStyle w:val="Tableofcontents0"/>
        <w:numPr>
          <w:ilvl w:val="3"/>
          <w:numId w:val="4"/>
        </w:numPr>
        <w:shd w:val="clear" w:color="auto" w:fill="auto"/>
        <w:tabs>
          <w:tab w:val="left" w:pos="1409"/>
          <w:tab w:val="right" w:leader="dot" w:pos="5558"/>
        </w:tabs>
        <w:spacing w:line="226" w:lineRule="exact"/>
        <w:ind w:left="700"/>
      </w:pPr>
      <w:r>
        <w:t>Zum Phänomen der Tonsprachen</w:t>
      </w:r>
      <w:r>
        <w:rPr>
          <w:rStyle w:val="TableofcontentsNotItalic"/>
        </w:rPr>
        <w:t xml:space="preserve"> </w:t>
      </w:r>
      <w:r>
        <w:rPr>
          <w:rStyle w:val="TableofcontentsNotItalic"/>
        </w:rPr>
        <w:tab/>
        <w:t>54</w:t>
      </w:r>
    </w:p>
    <w:p w:rsidR="00BB7EDA" w:rsidRDefault="007D72B3">
      <w:pPr>
        <w:pStyle w:val="Tableofcontents0"/>
        <w:numPr>
          <w:ilvl w:val="3"/>
          <w:numId w:val="4"/>
        </w:numPr>
        <w:shd w:val="clear" w:color="auto" w:fill="auto"/>
        <w:tabs>
          <w:tab w:val="left" w:pos="1409"/>
          <w:tab w:val="left" w:leader="dot" w:pos="5317"/>
        </w:tabs>
        <w:spacing w:line="226" w:lineRule="exact"/>
        <w:ind w:left="700"/>
      </w:pPr>
      <w:r>
        <w:t>Schwierigkeiten im Umgang mit Tonsprachen</w:t>
      </w:r>
      <w:r>
        <w:rPr>
          <w:rStyle w:val="TableofcontentsNotItalic"/>
        </w:rPr>
        <w:tab/>
        <w:t>55</w:t>
      </w:r>
    </w:p>
    <w:p w:rsidR="00BB7EDA" w:rsidRDefault="007D72B3">
      <w:pPr>
        <w:pStyle w:val="Tableofcontents0"/>
        <w:numPr>
          <w:ilvl w:val="3"/>
          <w:numId w:val="4"/>
        </w:numPr>
        <w:shd w:val="clear" w:color="auto" w:fill="auto"/>
        <w:tabs>
          <w:tab w:val="left" w:pos="1409"/>
          <w:tab w:val="left" w:leader="dot" w:pos="5317"/>
        </w:tabs>
        <w:spacing w:line="226" w:lineRule="exact"/>
        <w:ind w:left="700"/>
      </w:pPr>
      <w:r>
        <w:t>Laute und die Sprachentwicklung bei Babi/s</w:t>
      </w:r>
      <w:r>
        <w:rPr>
          <w:rStyle w:val="TableofcontentsNotItalic"/>
        </w:rPr>
        <w:tab/>
        <w:t>56</w:t>
      </w:r>
    </w:p>
    <w:p w:rsidR="00BB7EDA" w:rsidRDefault="007D72B3">
      <w:pPr>
        <w:pStyle w:val="Verzeichnis3"/>
        <w:numPr>
          <w:ilvl w:val="2"/>
          <w:numId w:val="4"/>
        </w:numPr>
        <w:shd w:val="clear" w:color="auto" w:fill="auto"/>
        <w:tabs>
          <w:tab w:val="left" w:pos="662"/>
          <w:tab w:val="right" w:leader="dot" w:pos="5558"/>
        </w:tabs>
        <w:spacing w:line="226" w:lineRule="exact"/>
        <w:ind w:firstLine="0"/>
      </w:pPr>
      <w:r>
        <w:t xml:space="preserve">Morphologie </w:t>
      </w:r>
      <w:r>
        <w:tab/>
        <w:t>56</w:t>
      </w:r>
    </w:p>
    <w:p w:rsidR="00BB7EDA" w:rsidRDefault="007D72B3">
      <w:pPr>
        <w:pStyle w:val="Tableofcontents0"/>
        <w:numPr>
          <w:ilvl w:val="3"/>
          <w:numId w:val="4"/>
        </w:numPr>
        <w:shd w:val="clear" w:color="auto" w:fill="auto"/>
        <w:tabs>
          <w:tab w:val="left" w:pos="1385"/>
          <w:tab w:val="right" w:leader="dot" w:pos="5558"/>
        </w:tabs>
        <w:spacing w:line="226" w:lineRule="exact"/>
        <w:ind w:left="700"/>
      </w:pPr>
      <w:r>
        <w:t xml:space="preserve">Zum Begriff der </w:t>
      </w:r>
      <w:r>
        <w:t>Morpheme</w:t>
      </w:r>
      <w:r>
        <w:rPr>
          <w:rStyle w:val="TableofcontentsNotItalic"/>
        </w:rPr>
        <w:tab/>
        <w:t>56</w:t>
      </w:r>
    </w:p>
    <w:p w:rsidR="00BB7EDA" w:rsidRDefault="007D72B3">
      <w:pPr>
        <w:pStyle w:val="Tableofcontents0"/>
        <w:numPr>
          <w:ilvl w:val="3"/>
          <w:numId w:val="4"/>
        </w:numPr>
        <w:shd w:val="clear" w:color="auto" w:fill="auto"/>
        <w:tabs>
          <w:tab w:val="left" w:pos="1399"/>
          <w:tab w:val="right" w:leader="dot" w:pos="5558"/>
        </w:tabs>
        <w:spacing w:line="226" w:lineRule="exact"/>
        <w:ind w:left="700"/>
      </w:pPr>
      <w:r>
        <w:t>Einfache und komplexe Wörter</w:t>
      </w:r>
      <w:r>
        <w:rPr>
          <w:rStyle w:val="TableofcontentsNotItalic"/>
        </w:rPr>
        <w:tab/>
        <w:t>57</w:t>
      </w:r>
    </w:p>
    <w:p w:rsidR="00BB7EDA" w:rsidRDefault="007D72B3">
      <w:pPr>
        <w:pStyle w:val="Tableofcontents0"/>
        <w:numPr>
          <w:ilvl w:val="3"/>
          <w:numId w:val="4"/>
        </w:numPr>
        <w:shd w:val="clear" w:color="auto" w:fill="auto"/>
        <w:tabs>
          <w:tab w:val="left" w:pos="1404"/>
        </w:tabs>
        <w:spacing w:line="226" w:lineRule="exact"/>
        <w:ind w:left="700"/>
      </w:pPr>
      <w:r>
        <w:t>Formenlehre, Flexions- und</w:t>
      </w:r>
    </w:p>
    <w:p w:rsidR="00BB7EDA" w:rsidRDefault="007D72B3">
      <w:pPr>
        <w:pStyle w:val="Tableofcontents0"/>
        <w:shd w:val="clear" w:color="auto" w:fill="auto"/>
        <w:tabs>
          <w:tab w:val="right" w:leader="dot" w:pos="5558"/>
        </w:tabs>
        <w:spacing w:line="226" w:lineRule="exact"/>
        <w:ind w:left="1380"/>
      </w:pPr>
      <w:r>
        <w:t>Agglutinationsmorpheme</w:t>
      </w:r>
      <w:r>
        <w:rPr>
          <w:rStyle w:val="TableofcontentsNotItalic"/>
        </w:rPr>
        <w:tab/>
        <w:t>57</w:t>
      </w:r>
    </w:p>
    <w:p w:rsidR="00BB7EDA" w:rsidRDefault="007D72B3">
      <w:pPr>
        <w:pStyle w:val="Tableofcontents0"/>
        <w:numPr>
          <w:ilvl w:val="3"/>
          <w:numId w:val="4"/>
        </w:numPr>
        <w:shd w:val="clear" w:color="auto" w:fill="auto"/>
        <w:tabs>
          <w:tab w:val="left" w:pos="1404"/>
          <w:tab w:val="right" w:leader="dot" w:pos="5558"/>
        </w:tabs>
        <w:spacing w:line="226" w:lineRule="exact"/>
        <w:ind w:left="700"/>
      </w:pPr>
      <w:r>
        <w:t>Der Ablaut</w:t>
      </w:r>
      <w:r>
        <w:rPr>
          <w:rStyle w:val="TableofcontentsNotItalic"/>
        </w:rPr>
        <w:tab/>
      </w:r>
      <w:r>
        <w:t>58</w:t>
      </w:r>
    </w:p>
    <w:p w:rsidR="00BB7EDA" w:rsidRDefault="007D72B3">
      <w:pPr>
        <w:pStyle w:val="Tableofcontents0"/>
        <w:numPr>
          <w:ilvl w:val="3"/>
          <w:numId w:val="4"/>
        </w:numPr>
        <w:shd w:val="clear" w:color="auto" w:fill="auto"/>
        <w:tabs>
          <w:tab w:val="left" w:pos="1409"/>
          <w:tab w:val="right" w:leader="dot" w:pos="5558"/>
        </w:tabs>
        <w:spacing w:line="226" w:lineRule="exact"/>
        <w:ind w:left="700"/>
      </w:pPr>
      <w:r>
        <w:t>Was ist ein „Wort"?</w:t>
      </w:r>
      <w:r>
        <w:rPr>
          <w:rStyle w:val="TableofcontentsNotItalic"/>
        </w:rPr>
        <w:tab/>
        <w:t>58</w:t>
      </w:r>
    </w:p>
    <w:p w:rsidR="00BB7EDA" w:rsidRDefault="007D72B3">
      <w:pPr>
        <w:pStyle w:val="Tableofcontents0"/>
        <w:numPr>
          <w:ilvl w:val="3"/>
          <w:numId w:val="4"/>
        </w:numPr>
        <w:shd w:val="clear" w:color="auto" w:fill="auto"/>
        <w:tabs>
          <w:tab w:val="left" w:pos="1409"/>
          <w:tab w:val="right" w:leader="dot" w:pos="5558"/>
        </w:tabs>
        <w:spacing w:line="226" w:lineRule="exact"/>
        <w:ind w:left="700"/>
      </w:pPr>
      <w:r>
        <w:t>Freie und gebundene Morpheme</w:t>
      </w:r>
      <w:r>
        <w:rPr>
          <w:rStyle w:val="TableofcontentsNotItalic"/>
        </w:rPr>
        <w:tab/>
        <w:t>59</w:t>
      </w:r>
    </w:p>
    <w:p w:rsidR="00BB7EDA" w:rsidRDefault="007D72B3">
      <w:pPr>
        <w:pStyle w:val="Tableofcontents0"/>
        <w:numPr>
          <w:ilvl w:val="3"/>
          <w:numId w:val="4"/>
        </w:numPr>
        <w:shd w:val="clear" w:color="auto" w:fill="auto"/>
        <w:tabs>
          <w:tab w:val="left" w:pos="1409"/>
          <w:tab w:val="right" w:leader="dot" w:pos="5558"/>
        </w:tabs>
        <w:spacing w:line="226" w:lineRule="exact"/>
        <w:ind w:left="700"/>
      </w:pPr>
      <w:r>
        <w:t>Diskontinuierliche Morpheme</w:t>
      </w:r>
      <w:r>
        <w:rPr>
          <w:rStyle w:val="TableofcontentsNotItalic"/>
        </w:rPr>
        <w:tab/>
        <w:t>59</w:t>
      </w:r>
    </w:p>
    <w:p w:rsidR="00BB7EDA" w:rsidRDefault="007D72B3">
      <w:pPr>
        <w:pStyle w:val="Tableofcontents0"/>
        <w:numPr>
          <w:ilvl w:val="3"/>
          <w:numId w:val="4"/>
        </w:numPr>
        <w:shd w:val="clear" w:color="auto" w:fill="auto"/>
        <w:tabs>
          <w:tab w:val="left" w:pos="1409"/>
          <w:tab w:val="right" w:leader="dot" w:pos="5558"/>
        </w:tabs>
        <w:spacing w:line="226" w:lineRule="exact"/>
        <w:ind w:left="700"/>
      </w:pPr>
      <w:r>
        <w:t>Morphologie und Sprachkreativität</w:t>
      </w:r>
      <w:r>
        <w:rPr>
          <w:rStyle w:val="TableofcontentsNotItalic"/>
        </w:rPr>
        <w:tab/>
        <w:t>60</w:t>
      </w:r>
    </w:p>
    <w:p w:rsidR="00BB7EDA" w:rsidRDefault="007D72B3">
      <w:pPr>
        <w:pStyle w:val="Verzeichnis3"/>
        <w:numPr>
          <w:ilvl w:val="2"/>
          <w:numId w:val="4"/>
        </w:numPr>
        <w:shd w:val="clear" w:color="auto" w:fill="auto"/>
        <w:tabs>
          <w:tab w:val="left" w:pos="662"/>
          <w:tab w:val="right" w:leader="dot" w:pos="5558"/>
        </w:tabs>
        <w:spacing w:line="226" w:lineRule="exact"/>
        <w:ind w:firstLine="0"/>
      </w:pPr>
      <w:r>
        <w:t xml:space="preserve">Syntax </w:t>
      </w:r>
      <w:r>
        <w:tab/>
        <w:t>61</w:t>
      </w:r>
    </w:p>
    <w:p w:rsidR="00BB7EDA" w:rsidRDefault="007D72B3">
      <w:pPr>
        <w:pStyle w:val="Tableofcontents0"/>
        <w:numPr>
          <w:ilvl w:val="3"/>
          <w:numId w:val="4"/>
        </w:numPr>
        <w:shd w:val="clear" w:color="auto" w:fill="auto"/>
        <w:tabs>
          <w:tab w:val="left" w:pos="1385"/>
          <w:tab w:val="right" w:leader="dot" w:pos="5558"/>
        </w:tabs>
        <w:spacing w:line="226" w:lineRule="exact"/>
        <w:ind w:left="700"/>
      </w:pPr>
      <w:r>
        <w:t>Vom Morphem</w:t>
      </w:r>
      <w:r>
        <w:t xml:space="preserve"> zum Satzverband</w:t>
      </w:r>
      <w:r>
        <w:rPr>
          <w:rStyle w:val="TableofcontentsNotItalic"/>
        </w:rPr>
        <w:tab/>
        <w:t>61</w:t>
      </w:r>
    </w:p>
    <w:p w:rsidR="00BB7EDA" w:rsidRDefault="007D72B3">
      <w:pPr>
        <w:pStyle w:val="Tableofcontents0"/>
        <w:numPr>
          <w:ilvl w:val="3"/>
          <w:numId w:val="4"/>
        </w:numPr>
        <w:shd w:val="clear" w:color="auto" w:fill="auto"/>
        <w:tabs>
          <w:tab w:val="left" w:pos="1399"/>
          <w:tab w:val="right" w:leader="dot" w:pos="5558"/>
        </w:tabs>
        <w:spacing w:line="226" w:lineRule="exact"/>
        <w:ind w:left="700"/>
      </w:pPr>
      <w:r>
        <w:t>Tiefen- und Oberflächenstruktur</w:t>
      </w:r>
      <w:r>
        <w:rPr>
          <w:rStyle w:val="TableofcontentsNotItalic"/>
        </w:rPr>
        <w:tab/>
        <w:t>62</w:t>
      </w:r>
    </w:p>
    <w:p w:rsidR="00BB7EDA" w:rsidRDefault="007D72B3">
      <w:pPr>
        <w:pStyle w:val="Tableofcontents0"/>
        <w:numPr>
          <w:ilvl w:val="3"/>
          <w:numId w:val="4"/>
        </w:numPr>
        <w:shd w:val="clear" w:color="auto" w:fill="auto"/>
        <w:tabs>
          <w:tab w:val="left" w:pos="1399"/>
          <w:tab w:val="right" w:leader="dot" w:pos="5558"/>
        </w:tabs>
        <w:spacing w:line="226" w:lineRule="exact"/>
        <w:ind w:left="700"/>
      </w:pPr>
      <w:r>
        <w:t>Zum Geheimnis des Sprachenverbs</w:t>
      </w:r>
      <w:r>
        <w:rPr>
          <w:rStyle w:val="TableofcontentsNotItalic"/>
        </w:rPr>
        <w:tab/>
        <w:t>63</w:t>
      </w:r>
    </w:p>
    <w:p w:rsidR="00BB7EDA" w:rsidRDefault="007D72B3">
      <w:pPr>
        <w:pStyle w:val="Tableofcontents0"/>
        <w:numPr>
          <w:ilvl w:val="3"/>
          <w:numId w:val="4"/>
        </w:numPr>
        <w:shd w:val="clear" w:color="auto" w:fill="auto"/>
        <w:tabs>
          <w:tab w:val="left" w:pos="1399"/>
          <w:tab w:val="right" w:leader="dot" w:pos="5558"/>
        </w:tabs>
        <w:spacing w:line="226" w:lineRule="exact"/>
        <w:ind w:left="700"/>
      </w:pPr>
      <w:r>
        <w:t>Wolfskinder</w:t>
      </w:r>
      <w:r>
        <w:rPr>
          <w:rStyle w:val="TableofcontentsNotItalic"/>
        </w:rPr>
        <w:tab/>
        <w:t>66</w:t>
      </w:r>
    </w:p>
    <w:p w:rsidR="00BB7EDA" w:rsidRDefault="007D72B3">
      <w:pPr>
        <w:pStyle w:val="Tableofcontents0"/>
        <w:numPr>
          <w:ilvl w:val="3"/>
          <w:numId w:val="4"/>
        </w:numPr>
        <w:shd w:val="clear" w:color="auto" w:fill="auto"/>
        <w:tabs>
          <w:tab w:val="left" w:pos="1404"/>
          <w:tab w:val="right" w:leader="dot" w:pos="5558"/>
        </w:tabs>
        <w:spacing w:line="226" w:lineRule="exact"/>
        <w:ind w:left="700"/>
      </w:pPr>
      <w:r>
        <w:t>Kreol-Sprachen</w:t>
      </w:r>
      <w:r>
        <w:rPr>
          <w:rStyle w:val="TableofcontentsNotItalic"/>
        </w:rPr>
        <w:tab/>
        <w:t>69</w:t>
      </w:r>
    </w:p>
    <w:p w:rsidR="00BB7EDA" w:rsidRDefault="007D72B3">
      <w:pPr>
        <w:pStyle w:val="Verzeichnis3"/>
        <w:numPr>
          <w:ilvl w:val="2"/>
          <w:numId w:val="4"/>
        </w:numPr>
        <w:shd w:val="clear" w:color="auto" w:fill="auto"/>
        <w:tabs>
          <w:tab w:val="left" w:pos="662"/>
          <w:tab w:val="right" w:leader="dot" w:pos="5558"/>
        </w:tabs>
        <w:spacing w:line="226" w:lineRule="exact"/>
        <w:ind w:firstLine="0"/>
      </w:pPr>
      <w:r>
        <w:t>Semantik</w:t>
      </w:r>
      <w:r>
        <w:tab/>
        <w:t>71</w:t>
      </w:r>
    </w:p>
    <w:p w:rsidR="00BB7EDA" w:rsidRDefault="007D72B3">
      <w:pPr>
        <w:pStyle w:val="Tableofcontents0"/>
        <w:numPr>
          <w:ilvl w:val="3"/>
          <w:numId w:val="4"/>
        </w:numPr>
        <w:shd w:val="clear" w:color="auto" w:fill="auto"/>
        <w:tabs>
          <w:tab w:val="left" w:pos="1385"/>
          <w:tab w:val="right" w:leader="dot" w:pos="5558"/>
        </w:tabs>
        <w:spacing w:line="226" w:lineRule="exact"/>
        <w:ind w:left="700"/>
      </w:pPr>
      <w:r>
        <w:t>Grammatik und Semantik</w:t>
      </w:r>
      <w:r>
        <w:rPr>
          <w:rStyle w:val="TableofcontentsNotItalic"/>
        </w:rPr>
        <w:tab/>
        <w:t>71</w:t>
      </w:r>
    </w:p>
    <w:p w:rsidR="00BB7EDA" w:rsidRDefault="007D72B3">
      <w:pPr>
        <w:pStyle w:val="Tableofcontents0"/>
        <w:numPr>
          <w:ilvl w:val="3"/>
          <w:numId w:val="4"/>
        </w:numPr>
        <w:shd w:val="clear" w:color="auto" w:fill="auto"/>
        <w:tabs>
          <w:tab w:val="left" w:pos="1394"/>
          <w:tab w:val="right" w:leader="dot" w:pos="5558"/>
        </w:tabs>
        <w:spacing w:line="226" w:lineRule="exact"/>
        <w:ind w:left="700"/>
      </w:pPr>
      <w:r>
        <w:t>Homophonie</w:t>
      </w:r>
      <w:r>
        <w:rPr>
          <w:rStyle w:val="TableofcontentsNotItalic"/>
        </w:rPr>
        <w:tab/>
        <w:t>71</w:t>
      </w:r>
      <w:r>
        <w:br w:type="page"/>
      </w:r>
    </w:p>
    <w:p w:rsidR="00BB7EDA" w:rsidRDefault="007D72B3">
      <w:pPr>
        <w:pStyle w:val="Tableofcontents0"/>
        <w:numPr>
          <w:ilvl w:val="3"/>
          <w:numId w:val="4"/>
        </w:numPr>
        <w:shd w:val="clear" w:color="auto" w:fill="auto"/>
        <w:tabs>
          <w:tab w:val="left" w:pos="1424"/>
          <w:tab w:val="right" w:leader="dot" w:pos="5568"/>
        </w:tabs>
        <w:spacing w:line="226" w:lineRule="exact"/>
        <w:ind w:left="720"/>
      </w:pPr>
      <w:r>
        <w:lastRenderedPageBreak/>
        <w:t>Information und deren Übermittlung</w:t>
      </w:r>
      <w:r>
        <w:rPr>
          <w:rStyle w:val="TableofcontentsNotItalic"/>
        </w:rPr>
        <w:tab/>
        <w:t>72</w:t>
      </w:r>
    </w:p>
    <w:p w:rsidR="00BB7EDA" w:rsidRDefault="007D72B3">
      <w:pPr>
        <w:pStyle w:val="Verzeichnis5"/>
        <w:numPr>
          <w:ilvl w:val="2"/>
          <w:numId w:val="4"/>
        </w:numPr>
        <w:shd w:val="clear" w:color="auto" w:fill="auto"/>
        <w:tabs>
          <w:tab w:val="left" w:pos="660"/>
          <w:tab w:val="right" w:leader="dot" w:pos="5568"/>
        </w:tabs>
        <w:spacing w:line="226" w:lineRule="exact"/>
        <w:ind w:firstLine="0"/>
      </w:pPr>
      <w:hyperlink w:anchor="bookmark27" w:tooltip="Current Document">
        <w:r>
          <w:rPr>
            <w:rStyle w:val="Verzeichnis3Zchn"/>
          </w:rPr>
          <w:t>Graphemik</w:t>
        </w:r>
        <w:r>
          <w:rPr>
            <w:rStyle w:val="Verzeichnis3Zchn"/>
          </w:rPr>
          <w:tab/>
          <w:t>73</w:t>
        </w:r>
      </w:hyperlink>
    </w:p>
    <w:p w:rsidR="00BB7EDA" w:rsidRDefault="007D72B3">
      <w:pPr>
        <w:pStyle w:val="Tableofcontents0"/>
        <w:numPr>
          <w:ilvl w:val="0"/>
          <w:numId w:val="9"/>
        </w:numPr>
        <w:shd w:val="clear" w:color="auto" w:fill="auto"/>
        <w:tabs>
          <w:tab w:val="left" w:pos="1410"/>
          <w:tab w:val="right" w:leader="dot" w:pos="5568"/>
        </w:tabs>
        <w:spacing w:line="226" w:lineRule="exact"/>
        <w:ind w:left="720"/>
      </w:pPr>
      <w:r>
        <w:t>Sprache und Schrift</w:t>
      </w:r>
      <w:r>
        <w:rPr>
          <w:rStyle w:val="TableofcontentsNotItalic"/>
        </w:rPr>
        <w:tab/>
        <w:t>73</w:t>
      </w:r>
    </w:p>
    <w:p w:rsidR="00BB7EDA" w:rsidRDefault="007D72B3">
      <w:pPr>
        <w:pStyle w:val="Tableofcontents0"/>
        <w:numPr>
          <w:ilvl w:val="0"/>
          <w:numId w:val="10"/>
        </w:numPr>
        <w:shd w:val="clear" w:color="auto" w:fill="auto"/>
        <w:tabs>
          <w:tab w:val="left" w:pos="1424"/>
          <w:tab w:val="right" w:leader="dot" w:pos="5568"/>
        </w:tabs>
        <w:spacing w:line="226" w:lineRule="exact"/>
        <w:ind w:left="720"/>
      </w:pPr>
      <w:r>
        <w:t>Zur Geschichte der Schrift</w:t>
      </w:r>
      <w:r>
        <w:rPr>
          <w:rStyle w:val="TableofcontentsNotItalic"/>
        </w:rPr>
        <w:tab/>
        <w:t>74</w:t>
      </w:r>
    </w:p>
    <w:p w:rsidR="00BB7EDA" w:rsidRDefault="007D72B3">
      <w:pPr>
        <w:pStyle w:val="Tableofcontents30"/>
        <w:numPr>
          <w:ilvl w:val="1"/>
          <w:numId w:val="10"/>
        </w:numPr>
        <w:shd w:val="clear" w:color="auto" w:fill="auto"/>
        <w:tabs>
          <w:tab w:val="left" w:pos="660"/>
          <w:tab w:val="right" w:leader="dot" w:pos="5568"/>
        </w:tabs>
      </w:pPr>
      <w:hyperlink w:anchor="bookmark28" w:tooltip="Current Document">
        <w:r>
          <w:t>Zur Einteilung der Sprachen</w:t>
        </w:r>
        <w:r>
          <w:tab/>
          <w:t>76</w:t>
        </w:r>
      </w:hyperlink>
    </w:p>
    <w:p w:rsidR="00BB7EDA" w:rsidRDefault="007D72B3">
      <w:pPr>
        <w:pStyle w:val="Verzeichnis5"/>
        <w:numPr>
          <w:ilvl w:val="2"/>
          <w:numId w:val="10"/>
        </w:numPr>
        <w:shd w:val="clear" w:color="auto" w:fill="auto"/>
        <w:tabs>
          <w:tab w:val="left" w:pos="660"/>
          <w:tab w:val="right" w:leader="dot" w:pos="5568"/>
        </w:tabs>
        <w:spacing w:line="226" w:lineRule="exact"/>
        <w:ind w:firstLine="0"/>
      </w:pPr>
      <w:hyperlink w:anchor="bookmark29" w:tooltip="Current Document">
        <w:r>
          <w:rPr>
            <w:rStyle w:val="Verzeichnis3Zchn"/>
          </w:rPr>
          <w:t>Sprachstämme</w:t>
        </w:r>
        <w:r>
          <w:rPr>
            <w:rStyle w:val="Verzeichnis3Zchn"/>
          </w:rPr>
          <w:tab/>
          <w:t>76</w:t>
        </w:r>
      </w:hyperlink>
    </w:p>
    <w:p w:rsidR="00BB7EDA" w:rsidRDefault="007D72B3">
      <w:pPr>
        <w:pStyle w:val="Tableofcontents0"/>
        <w:numPr>
          <w:ilvl w:val="3"/>
          <w:numId w:val="10"/>
        </w:numPr>
        <w:shd w:val="clear" w:color="auto" w:fill="auto"/>
        <w:tabs>
          <w:tab w:val="left" w:pos="1414"/>
        </w:tabs>
        <w:spacing w:line="226" w:lineRule="exact"/>
        <w:ind w:left="720"/>
      </w:pPr>
      <w:r>
        <w:t>Ähnlichkeit - durch Abstammung oder</w:t>
      </w:r>
    </w:p>
    <w:p w:rsidR="00BB7EDA" w:rsidRDefault="007D72B3">
      <w:pPr>
        <w:pStyle w:val="Tableofcontents0"/>
        <w:shd w:val="clear" w:color="auto" w:fill="auto"/>
        <w:tabs>
          <w:tab w:val="right" w:leader="dot" w:pos="5568"/>
        </w:tabs>
        <w:spacing w:line="226" w:lineRule="exact"/>
        <w:ind w:left="1380"/>
      </w:pPr>
      <w:r>
        <w:t>durch ein gemeinsames Grundkonzept?</w:t>
      </w:r>
      <w:r>
        <w:rPr>
          <w:rStyle w:val="TableofcontentsNotItalic"/>
        </w:rPr>
        <w:tab/>
        <w:t>76</w:t>
      </w:r>
    </w:p>
    <w:p w:rsidR="00BB7EDA" w:rsidRDefault="007D72B3">
      <w:pPr>
        <w:pStyle w:val="Tableofcontents0"/>
        <w:numPr>
          <w:ilvl w:val="3"/>
          <w:numId w:val="10"/>
        </w:numPr>
        <w:shd w:val="clear" w:color="auto" w:fill="auto"/>
        <w:tabs>
          <w:tab w:val="left" w:pos="1424"/>
        </w:tabs>
        <w:spacing w:line="226" w:lineRule="exact"/>
        <w:ind w:left="720"/>
      </w:pPr>
      <w:r>
        <w:t>Sind die Sprachstämme mono- oder</w:t>
      </w:r>
    </w:p>
    <w:p w:rsidR="00BB7EDA" w:rsidRDefault="007D72B3">
      <w:pPr>
        <w:pStyle w:val="Tableofcontents0"/>
        <w:shd w:val="clear" w:color="auto" w:fill="auto"/>
        <w:tabs>
          <w:tab w:val="right" w:leader="dot" w:pos="5568"/>
        </w:tabs>
        <w:spacing w:line="226" w:lineRule="exact"/>
        <w:ind w:left="1380"/>
      </w:pPr>
      <w:r>
        <w:t>polyphyletisch entstanden?</w:t>
      </w:r>
      <w:r>
        <w:rPr>
          <w:rStyle w:val="TableofcontentsNotItalic"/>
        </w:rPr>
        <w:tab/>
        <w:t>77</w:t>
      </w:r>
    </w:p>
    <w:p w:rsidR="00BB7EDA" w:rsidRDefault="007D72B3">
      <w:pPr>
        <w:pStyle w:val="Tableofcontents0"/>
        <w:numPr>
          <w:ilvl w:val="3"/>
          <w:numId w:val="10"/>
        </w:numPr>
        <w:shd w:val="clear" w:color="auto" w:fill="auto"/>
        <w:tabs>
          <w:tab w:val="left" w:pos="1429"/>
        </w:tabs>
        <w:spacing w:line="226" w:lineRule="exact"/>
        <w:ind w:left="720"/>
      </w:pPr>
      <w:r>
        <w:t>Zur monophyletischen Entstehung</w:t>
      </w:r>
    </w:p>
    <w:p w:rsidR="00BB7EDA" w:rsidRDefault="007D72B3">
      <w:pPr>
        <w:pStyle w:val="Tableofcontents0"/>
        <w:shd w:val="clear" w:color="auto" w:fill="auto"/>
        <w:tabs>
          <w:tab w:val="right" w:leader="dot" w:pos="5568"/>
        </w:tabs>
        <w:spacing w:line="226" w:lineRule="exact"/>
        <w:ind w:left="1380"/>
      </w:pPr>
      <w:r>
        <w:t>der romanischen Sprachen</w:t>
      </w:r>
      <w:r>
        <w:rPr>
          <w:rStyle w:val="TableofcontentsNotItalic"/>
        </w:rPr>
        <w:tab/>
        <w:t>78</w:t>
      </w:r>
    </w:p>
    <w:p w:rsidR="00BB7EDA" w:rsidRDefault="007D72B3">
      <w:pPr>
        <w:pStyle w:val="Tableofcontents0"/>
        <w:numPr>
          <w:ilvl w:val="0"/>
          <w:numId w:val="11"/>
        </w:numPr>
        <w:shd w:val="clear" w:color="auto" w:fill="auto"/>
        <w:tabs>
          <w:tab w:val="left" w:pos="1270"/>
          <w:tab w:val="right" w:leader="dot" w:pos="5568"/>
        </w:tabs>
        <w:spacing w:line="226" w:lineRule="exact"/>
        <w:ind w:left="720"/>
      </w:pPr>
      <w:r>
        <w:t>A Kulturelle Sprachverwandtschaft</w:t>
      </w:r>
      <w:r>
        <w:rPr>
          <w:rStyle w:val="TableofcontentsNotItalic"/>
        </w:rPr>
        <w:tab/>
        <w:t>79</w:t>
      </w:r>
    </w:p>
    <w:p w:rsidR="00BB7EDA" w:rsidRDefault="007D72B3">
      <w:pPr>
        <w:pStyle w:val="Tableofcontents0"/>
        <w:numPr>
          <w:ilvl w:val="0"/>
          <w:numId w:val="12"/>
        </w:numPr>
        <w:shd w:val="clear" w:color="auto" w:fill="auto"/>
        <w:tabs>
          <w:tab w:val="left" w:pos="1434"/>
        </w:tabs>
        <w:spacing w:line="226" w:lineRule="exact"/>
        <w:ind w:left="720"/>
      </w:pPr>
      <w:r>
        <w:t>Vokabular-Ähnlichkeiten - kein Beweis</w:t>
      </w:r>
    </w:p>
    <w:p w:rsidR="00BB7EDA" w:rsidRDefault="007D72B3">
      <w:pPr>
        <w:pStyle w:val="Tableofcontents0"/>
        <w:shd w:val="clear" w:color="auto" w:fill="auto"/>
        <w:tabs>
          <w:tab w:val="right" w:leader="dot" w:pos="5568"/>
        </w:tabs>
        <w:spacing w:line="226" w:lineRule="exact"/>
        <w:ind w:left="1380"/>
      </w:pPr>
      <w:r>
        <w:t>für gemeinsame Abstammung</w:t>
      </w:r>
      <w:r>
        <w:rPr>
          <w:rStyle w:val="TableofcontentsNotItalic"/>
        </w:rPr>
        <w:tab/>
        <w:t>81</w:t>
      </w:r>
    </w:p>
    <w:p w:rsidR="00BB7EDA" w:rsidRDefault="007D72B3">
      <w:pPr>
        <w:pStyle w:val="Tableofcontents0"/>
        <w:numPr>
          <w:ilvl w:val="0"/>
          <w:numId w:val="12"/>
        </w:numPr>
        <w:shd w:val="clear" w:color="auto" w:fill="auto"/>
        <w:tabs>
          <w:tab w:val="left" w:pos="1434"/>
          <w:tab w:val="right" w:leader="dot" w:pos="5568"/>
        </w:tabs>
        <w:spacing w:line="226" w:lineRule="exact"/>
        <w:ind w:left="720"/>
      </w:pPr>
      <w:r>
        <w:t>Zur Größe der Sprachstämme</w:t>
      </w:r>
      <w:r>
        <w:rPr>
          <w:rStyle w:val="TableofcontentsNotItalic"/>
        </w:rPr>
        <w:tab/>
        <w:t>82</w:t>
      </w:r>
    </w:p>
    <w:p w:rsidR="00BB7EDA" w:rsidRDefault="007D72B3">
      <w:pPr>
        <w:pStyle w:val="Tableofcontents0"/>
        <w:numPr>
          <w:ilvl w:val="0"/>
          <w:numId w:val="12"/>
        </w:numPr>
        <w:shd w:val="clear" w:color="auto" w:fill="auto"/>
        <w:tabs>
          <w:tab w:val="left" w:pos="1438"/>
          <w:tab w:val="right" w:leader="dot" w:pos="5568"/>
        </w:tabs>
        <w:spacing w:line="226" w:lineRule="exact"/>
        <w:ind w:left="720"/>
      </w:pPr>
      <w:r>
        <w:t>Die Theorie der Monogenese</w:t>
      </w:r>
      <w:r>
        <w:rPr>
          <w:rStyle w:val="TableofcontentsNotItalic"/>
        </w:rPr>
        <w:tab/>
        <w:t>82</w:t>
      </w:r>
    </w:p>
    <w:p w:rsidR="00BB7EDA" w:rsidRDefault="007D72B3">
      <w:pPr>
        <w:pStyle w:val="Tableofcontents0"/>
        <w:numPr>
          <w:ilvl w:val="0"/>
          <w:numId w:val="12"/>
        </w:numPr>
        <w:shd w:val="clear" w:color="auto" w:fill="auto"/>
        <w:tabs>
          <w:tab w:val="left" w:pos="1438"/>
          <w:tab w:val="right" w:leader="dot" w:pos="5568"/>
        </w:tabs>
        <w:spacing w:line="226" w:lineRule="exact"/>
        <w:ind w:left="720"/>
      </w:pPr>
      <w:r>
        <w:t>Gibt es „Supersprachstämme"?</w:t>
      </w:r>
      <w:r>
        <w:rPr>
          <w:rStyle w:val="TableofcontentsNotItalic"/>
        </w:rPr>
        <w:tab/>
        <w:t>84</w:t>
      </w:r>
    </w:p>
    <w:p w:rsidR="00BB7EDA" w:rsidRDefault="007D72B3">
      <w:pPr>
        <w:pStyle w:val="Tableofcontents0"/>
        <w:numPr>
          <w:ilvl w:val="0"/>
          <w:numId w:val="12"/>
        </w:numPr>
        <w:shd w:val="clear" w:color="auto" w:fill="auto"/>
        <w:tabs>
          <w:tab w:val="left" w:pos="1438"/>
          <w:tab w:val="right" w:leader="dot" w:pos="5568"/>
        </w:tabs>
        <w:spacing w:line="226" w:lineRule="exact"/>
        <w:ind w:left="720"/>
      </w:pPr>
      <w:r>
        <w:t>Sprachfamilien</w:t>
      </w:r>
      <w:r>
        <w:rPr>
          <w:rStyle w:val="TableofcontentsNotItalic"/>
        </w:rPr>
        <w:tab/>
        <w:t>86</w:t>
      </w:r>
    </w:p>
    <w:p w:rsidR="00BB7EDA" w:rsidRDefault="007D72B3">
      <w:pPr>
        <w:pStyle w:val="Verzeichnis5"/>
        <w:numPr>
          <w:ilvl w:val="0"/>
          <w:numId w:val="11"/>
        </w:numPr>
        <w:shd w:val="clear" w:color="auto" w:fill="auto"/>
        <w:tabs>
          <w:tab w:val="left" w:pos="660"/>
          <w:tab w:val="right" w:leader="dot" w:pos="5568"/>
        </w:tabs>
        <w:spacing w:line="226" w:lineRule="exact"/>
        <w:ind w:firstLine="0"/>
      </w:pPr>
      <w:hyperlink w:anchor="bookmark30" w:tooltip="Current Document">
        <w:r>
          <w:rPr>
            <w:rStyle w:val="Verzeichnis3Zchn"/>
          </w:rPr>
          <w:t xml:space="preserve">Liste der wichtigsten </w:t>
        </w:r>
        <w:r>
          <w:rPr>
            <w:rStyle w:val="Verzeichnis3Zchn"/>
          </w:rPr>
          <w:t>Sprachstämme</w:t>
        </w:r>
        <w:r>
          <w:rPr>
            <w:rStyle w:val="Verzeichnis3Zchn"/>
          </w:rPr>
          <w:tab/>
          <w:t>86</w:t>
        </w:r>
      </w:hyperlink>
    </w:p>
    <w:p w:rsidR="00BB7EDA" w:rsidRDefault="007D72B3">
      <w:pPr>
        <w:pStyle w:val="Verzeichnis5"/>
        <w:numPr>
          <w:ilvl w:val="0"/>
          <w:numId w:val="11"/>
        </w:numPr>
        <w:shd w:val="clear" w:color="auto" w:fill="auto"/>
        <w:tabs>
          <w:tab w:val="left" w:pos="660"/>
          <w:tab w:val="right" w:leader="dot" w:pos="5568"/>
        </w:tabs>
        <w:spacing w:line="226" w:lineRule="exact"/>
        <w:ind w:firstLine="0"/>
      </w:pPr>
      <w:hyperlink w:anchor="bookmark31" w:tooltip="Current Document">
        <w:r>
          <w:rPr>
            <w:rStyle w:val="Verzeichnis3Zchn"/>
          </w:rPr>
          <w:t>Sprachtypologie</w:t>
        </w:r>
        <w:r>
          <w:rPr>
            <w:rStyle w:val="Verzeichnis3Zchn"/>
          </w:rPr>
          <w:tab/>
          <w:t>89</w:t>
        </w:r>
      </w:hyperlink>
    </w:p>
    <w:p w:rsidR="00BB7EDA" w:rsidRDefault="007D72B3">
      <w:pPr>
        <w:pStyle w:val="Tableofcontents0"/>
        <w:numPr>
          <w:ilvl w:val="0"/>
          <w:numId w:val="13"/>
        </w:numPr>
        <w:shd w:val="clear" w:color="auto" w:fill="auto"/>
        <w:tabs>
          <w:tab w:val="left" w:pos="1414"/>
          <w:tab w:val="right" w:leader="dot" w:pos="5568"/>
        </w:tabs>
        <w:spacing w:line="226" w:lineRule="exact"/>
        <w:ind w:left="720"/>
      </w:pPr>
      <w:r>
        <w:t>Isolierende Sprachen</w:t>
      </w:r>
      <w:r>
        <w:rPr>
          <w:rStyle w:val="TableofcontentsNotItalic"/>
        </w:rPr>
        <w:tab/>
        <w:t>90</w:t>
      </w:r>
    </w:p>
    <w:p w:rsidR="00BB7EDA" w:rsidRDefault="007D72B3">
      <w:pPr>
        <w:pStyle w:val="Tableofcontents0"/>
        <w:numPr>
          <w:ilvl w:val="0"/>
          <w:numId w:val="13"/>
        </w:numPr>
        <w:shd w:val="clear" w:color="auto" w:fill="auto"/>
        <w:tabs>
          <w:tab w:val="left" w:pos="1424"/>
          <w:tab w:val="right" w:leader="dot" w:pos="5568"/>
        </w:tabs>
        <w:spacing w:line="226" w:lineRule="exact"/>
        <w:ind w:left="720"/>
      </w:pPr>
      <w:r>
        <w:t>Polysynthetische Sprachen</w:t>
      </w:r>
      <w:r>
        <w:rPr>
          <w:rStyle w:val="TableofcontentsNotItalic"/>
        </w:rPr>
        <w:tab/>
        <w:t>90</w:t>
      </w:r>
    </w:p>
    <w:p w:rsidR="00BB7EDA" w:rsidRDefault="007D72B3">
      <w:pPr>
        <w:pStyle w:val="Tableofcontents0"/>
        <w:numPr>
          <w:ilvl w:val="0"/>
          <w:numId w:val="13"/>
        </w:numPr>
        <w:shd w:val="clear" w:color="auto" w:fill="auto"/>
        <w:tabs>
          <w:tab w:val="left" w:pos="1429"/>
          <w:tab w:val="right" w:leader="dot" w:pos="5568"/>
        </w:tabs>
        <w:spacing w:line="226" w:lineRule="exact"/>
        <w:ind w:left="720"/>
      </w:pPr>
      <w:r>
        <w:t>Agglutinierende Sprachen</w:t>
      </w:r>
      <w:r>
        <w:rPr>
          <w:rStyle w:val="TableofcontentsNotItalic"/>
        </w:rPr>
        <w:tab/>
        <w:t>90</w:t>
      </w:r>
    </w:p>
    <w:p w:rsidR="00BB7EDA" w:rsidRDefault="007D72B3">
      <w:pPr>
        <w:pStyle w:val="Tableofcontents0"/>
        <w:shd w:val="clear" w:color="auto" w:fill="auto"/>
        <w:tabs>
          <w:tab w:val="right" w:leader="dot" w:pos="5568"/>
        </w:tabs>
        <w:spacing w:after="180" w:line="226" w:lineRule="exact"/>
        <w:ind w:left="720"/>
      </w:pPr>
      <w:r>
        <w:t>2.3.3A Flektierende Sprachen</w:t>
      </w:r>
      <w:r>
        <w:rPr>
          <w:rStyle w:val="TableofcontentsNotItalic"/>
        </w:rPr>
        <w:tab/>
        <w:t>90</w:t>
      </w:r>
    </w:p>
    <w:p w:rsidR="00BB7EDA" w:rsidRDefault="007D72B3">
      <w:pPr>
        <w:pStyle w:val="Tableofcontents30"/>
        <w:numPr>
          <w:ilvl w:val="0"/>
          <w:numId w:val="4"/>
        </w:numPr>
        <w:shd w:val="clear" w:color="auto" w:fill="auto"/>
        <w:tabs>
          <w:tab w:val="left" w:pos="660"/>
        </w:tabs>
      </w:pPr>
      <w:r>
        <w:t>Der Ursprung der Sprachen</w:t>
      </w:r>
    </w:p>
    <w:p w:rsidR="00BB7EDA" w:rsidRDefault="007D72B3">
      <w:pPr>
        <w:pStyle w:val="Tableofcontents30"/>
        <w:shd w:val="clear" w:color="auto" w:fill="auto"/>
        <w:tabs>
          <w:tab w:val="right" w:leader="dot" w:pos="5568"/>
        </w:tabs>
        <w:ind w:left="720"/>
      </w:pPr>
      <w:r>
        <w:t xml:space="preserve">aus der Sicht der </w:t>
      </w:r>
      <w:r>
        <w:t>Evolutionslehre</w:t>
      </w:r>
      <w:r>
        <w:tab/>
        <w:t>91</w:t>
      </w:r>
    </w:p>
    <w:p w:rsidR="00BB7EDA" w:rsidRDefault="007D72B3">
      <w:pPr>
        <w:pStyle w:val="Tableofcontents30"/>
        <w:numPr>
          <w:ilvl w:val="1"/>
          <w:numId w:val="4"/>
        </w:numPr>
        <w:shd w:val="clear" w:color="auto" w:fill="auto"/>
        <w:tabs>
          <w:tab w:val="left" w:pos="660"/>
          <w:tab w:val="right" w:leader="dot" w:pos="5568"/>
        </w:tabs>
      </w:pPr>
      <w:hyperlink w:anchor="bookmark33" w:tooltip="Current Document">
        <w:r>
          <w:t>Evolutionistischer Pluralismus</w:t>
        </w:r>
        <w:r>
          <w:tab/>
          <w:t>91</w:t>
        </w:r>
      </w:hyperlink>
    </w:p>
    <w:p w:rsidR="00BB7EDA" w:rsidRDefault="007D72B3">
      <w:pPr>
        <w:pStyle w:val="Verzeichnis5"/>
        <w:numPr>
          <w:ilvl w:val="2"/>
          <w:numId w:val="4"/>
        </w:numPr>
        <w:shd w:val="clear" w:color="auto" w:fill="auto"/>
        <w:tabs>
          <w:tab w:val="left" w:pos="660"/>
          <w:tab w:val="right" w:leader="dot" w:pos="5568"/>
        </w:tabs>
        <w:spacing w:line="226" w:lineRule="exact"/>
        <w:ind w:firstLine="0"/>
      </w:pPr>
      <w:hyperlink w:anchor="bookmark34" w:tooltip="Current Document">
        <w:r>
          <w:rPr>
            <w:rStyle w:val="Verzeichnis3Zchn"/>
          </w:rPr>
          <w:t>Zwei grundsätzlich verschiedene Thesen</w:t>
        </w:r>
        <w:r>
          <w:rPr>
            <w:rStyle w:val="Verzeichnis3Zchn"/>
          </w:rPr>
          <w:tab/>
          <w:t>91</w:t>
        </w:r>
      </w:hyperlink>
    </w:p>
    <w:p w:rsidR="00BB7EDA" w:rsidRDefault="007D72B3">
      <w:pPr>
        <w:pStyle w:val="Verzeichnis5"/>
        <w:numPr>
          <w:ilvl w:val="2"/>
          <w:numId w:val="4"/>
        </w:numPr>
        <w:shd w:val="clear" w:color="auto" w:fill="auto"/>
        <w:tabs>
          <w:tab w:val="left" w:pos="660"/>
          <w:tab w:val="right" w:leader="dot" w:pos="5568"/>
        </w:tabs>
        <w:spacing w:line="226" w:lineRule="exact"/>
        <w:ind w:firstLine="0"/>
      </w:pPr>
      <w:hyperlink w:anchor="bookmark35" w:tooltip="Current Document">
        <w:r>
          <w:rPr>
            <w:rStyle w:val="Verzeichnis3Zchn"/>
          </w:rPr>
          <w:t>Zur Kontinuitätsthese</w:t>
        </w:r>
        <w:r>
          <w:rPr>
            <w:rStyle w:val="Verzeichnis3Zchn"/>
          </w:rPr>
          <w:tab/>
          <w:t>91</w:t>
        </w:r>
      </w:hyperlink>
    </w:p>
    <w:p w:rsidR="00BB7EDA" w:rsidRDefault="007D72B3">
      <w:pPr>
        <w:pStyle w:val="Verzeichnis5"/>
        <w:numPr>
          <w:ilvl w:val="2"/>
          <w:numId w:val="4"/>
        </w:numPr>
        <w:shd w:val="clear" w:color="auto" w:fill="auto"/>
        <w:tabs>
          <w:tab w:val="left" w:pos="660"/>
          <w:tab w:val="right" w:leader="dot" w:pos="5568"/>
        </w:tabs>
        <w:spacing w:line="226" w:lineRule="exact"/>
        <w:ind w:firstLine="0"/>
      </w:pPr>
      <w:hyperlink w:anchor="bookmark36" w:tooltip="Current Document">
        <w:r>
          <w:rPr>
            <w:rStyle w:val="Verzeichnis3Zchn"/>
          </w:rPr>
          <w:t>Zur Diskontinuitätsthese</w:t>
        </w:r>
        <w:r>
          <w:rPr>
            <w:rStyle w:val="Verzeichnis3Zchn"/>
          </w:rPr>
          <w:tab/>
          <w:t>92</w:t>
        </w:r>
      </w:hyperlink>
    </w:p>
    <w:p w:rsidR="00BB7EDA" w:rsidRDefault="007D72B3">
      <w:pPr>
        <w:pStyle w:val="Tableofcontents0"/>
        <w:numPr>
          <w:ilvl w:val="3"/>
          <w:numId w:val="4"/>
        </w:numPr>
        <w:shd w:val="clear" w:color="auto" w:fill="auto"/>
        <w:tabs>
          <w:tab w:val="left" w:pos="1414"/>
          <w:tab w:val="right" w:leader="dot" w:pos="5568"/>
        </w:tabs>
        <w:spacing w:line="226" w:lineRule="exact"/>
        <w:ind w:left="720"/>
      </w:pPr>
      <w:r>
        <w:t>Zur biologischen Diskontinuitätsthese</w:t>
      </w:r>
      <w:r>
        <w:rPr>
          <w:rStyle w:val="TableofcontentsNotItalic"/>
        </w:rPr>
        <w:tab/>
        <w:t>92</w:t>
      </w:r>
    </w:p>
    <w:p w:rsidR="00BB7EDA" w:rsidRDefault="007D72B3">
      <w:pPr>
        <w:pStyle w:val="Tableofcontents0"/>
        <w:numPr>
          <w:ilvl w:val="3"/>
          <w:numId w:val="4"/>
        </w:numPr>
        <w:shd w:val="clear" w:color="auto" w:fill="auto"/>
        <w:tabs>
          <w:tab w:val="left" w:pos="1424"/>
          <w:tab w:val="right" w:leader="dot" w:pos="5568"/>
        </w:tabs>
        <w:spacing w:line="226" w:lineRule="exact"/>
        <w:ind w:left="720"/>
      </w:pPr>
      <w:r>
        <w:t>Zur linguistischen Diskontinuitätsthese</w:t>
      </w:r>
      <w:r>
        <w:rPr>
          <w:rStyle w:val="TableofcontentsNotItalic"/>
        </w:rPr>
        <w:tab/>
        <w:t>93</w:t>
      </w:r>
    </w:p>
    <w:p w:rsidR="00BB7EDA" w:rsidRDefault="007D72B3">
      <w:pPr>
        <w:pStyle w:val="Tableofcontents0"/>
        <w:numPr>
          <w:ilvl w:val="3"/>
          <w:numId w:val="4"/>
        </w:numPr>
        <w:shd w:val="clear" w:color="auto" w:fill="auto"/>
        <w:tabs>
          <w:tab w:val="left" w:pos="1429"/>
          <w:tab w:val="right" w:leader="dot" w:pos="5568"/>
        </w:tabs>
        <w:spacing w:line="226" w:lineRule="exact"/>
        <w:ind w:left="720"/>
      </w:pPr>
      <w:r>
        <w:t>Evolutionisten kritisieren Evolutionisten</w:t>
      </w:r>
      <w:r>
        <w:rPr>
          <w:rStyle w:val="TableofcontentsNotItalic"/>
        </w:rPr>
        <w:tab/>
        <w:t>94</w:t>
      </w:r>
    </w:p>
    <w:p w:rsidR="00BB7EDA" w:rsidRDefault="007D72B3">
      <w:pPr>
        <w:pStyle w:val="Tableofcontents0"/>
        <w:numPr>
          <w:ilvl w:val="3"/>
          <w:numId w:val="4"/>
        </w:numPr>
        <w:shd w:val="clear" w:color="auto" w:fill="auto"/>
        <w:tabs>
          <w:tab w:val="left" w:pos="1429"/>
        </w:tabs>
        <w:spacing w:line="226" w:lineRule="exact"/>
        <w:ind w:left="720"/>
      </w:pPr>
      <w:r>
        <w:t xml:space="preserve">Mutationen und </w:t>
      </w:r>
      <w:r>
        <w:t>mathematische Wahrscheinlichkeit</w:t>
      </w:r>
      <w:r>
        <w:rPr>
          <w:rStyle w:val="TableofcontentsNotItalic"/>
        </w:rPr>
        <w:t xml:space="preserve"> 95</w:t>
      </w:r>
    </w:p>
    <w:p w:rsidR="00BB7EDA" w:rsidRDefault="007D72B3">
      <w:pPr>
        <w:pStyle w:val="Tableofcontents0"/>
        <w:numPr>
          <w:ilvl w:val="3"/>
          <w:numId w:val="4"/>
        </w:numPr>
        <w:shd w:val="clear" w:color="auto" w:fill="auto"/>
        <w:tabs>
          <w:tab w:val="left" w:pos="1434"/>
        </w:tabs>
        <w:spacing w:line="226" w:lineRule="exact"/>
        <w:ind w:left="720"/>
      </w:pPr>
      <w:r>
        <w:t>Punktualismus - oder atheistisch an Gott glauben ...</w:t>
      </w:r>
      <w:r>
        <w:rPr>
          <w:rStyle w:val="TableofcontentsNotItalic"/>
        </w:rPr>
        <w:t xml:space="preserve"> 96</w:t>
      </w:r>
    </w:p>
    <w:p w:rsidR="00BB7EDA" w:rsidRDefault="007D72B3">
      <w:pPr>
        <w:pStyle w:val="Verzeichnis5"/>
        <w:numPr>
          <w:ilvl w:val="2"/>
          <w:numId w:val="4"/>
        </w:numPr>
        <w:shd w:val="clear" w:color="auto" w:fill="auto"/>
        <w:tabs>
          <w:tab w:val="left" w:pos="660"/>
          <w:tab w:val="left" w:leader="dot" w:pos="5290"/>
        </w:tabs>
        <w:spacing w:line="226" w:lineRule="exact"/>
        <w:ind w:firstLine="0"/>
      </w:pPr>
      <w:hyperlink w:anchor="bookmark37" w:tooltip="Current Document">
        <w:r>
          <w:rPr>
            <w:rStyle w:val="Verzeichnis3Zchn"/>
          </w:rPr>
          <w:t>Zum monophyletischen Ursprung der Menschheit</w:t>
        </w:r>
        <w:r>
          <w:rPr>
            <w:rStyle w:val="Verzeichnis3Zchn"/>
          </w:rPr>
          <w:tab/>
          <w:t>97</w:t>
        </w:r>
      </w:hyperlink>
    </w:p>
    <w:p w:rsidR="00BB7EDA" w:rsidRDefault="007D72B3">
      <w:pPr>
        <w:pStyle w:val="Verzeichnis3"/>
        <w:numPr>
          <w:ilvl w:val="2"/>
          <w:numId w:val="4"/>
        </w:numPr>
        <w:shd w:val="clear" w:color="auto" w:fill="auto"/>
        <w:tabs>
          <w:tab w:val="left" w:pos="660"/>
        </w:tabs>
        <w:spacing w:line="226" w:lineRule="exact"/>
        <w:ind w:firstLine="0"/>
      </w:pPr>
      <w:r>
        <w:t>Eine einzige Ursprungspopulation</w:t>
      </w:r>
    </w:p>
    <w:p w:rsidR="00BB7EDA" w:rsidRDefault="007D72B3">
      <w:pPr>
        <w:pStyle w:val="Verzeichnis3"/>
        <w:shd w:val="clear" w:color="auto" w:fill="auto"/>
        <w:tabs>
          <w:tab w:val="right" w:leader="dot" w:pos="5568"/>
        </w:tabs>
        <w:spacing w:line="226" w:lineRule="exact"/>
        <w:ind w:left="720" w:firstLine="0"/>
      </w:pPr>
      <w:r>
        <w:t xml:space="preserve">im Nahen Osten oder in </w:t>
      </w:r>
      <w:r>
        <w:t>Afrika</w:t>
      </w:r>
      <w:r>
        <w:tab/>
        <w:t>98</w:t>
      </w:r>
    </w:p>
    <w:p w:rsidR="00BB7EDA" w:rsidRDefault="007D72B3">
      <w:pPr>
        <w:pStyle w:val="Tableofcontents30"/>
        <w:numPr>
          <w:ilvl w:val="1"/>
          <w:numId w:val="4"/>
        </w:numPr>
        <w:shd w:val="clear" w:color="auto" w:fill="auto"/>
        <w:tabs>
          <w:tab w:val="left" w:pos="660"/>
          <w:tab w:val="right" w:leader="dot" w:pos="5568"/>
        </w:tabs>
        <w:sectPr w:rsidR="00BB7EDA">
          <w:footerReference w:type="even" r:id="rId10"/>
          <w:footerReference w:type="default" r:id="rId11"/>
          <w:pgSz w:w="7266" w:h="11422"/>
          <w:pgMar w:top="653" w:right="819" w:bottom="1079" w:left="788" w:header="0" w:footer="3" w:gutter="0"/>
          <w:cols w:space="720"/>
          <w:noEndnote/>
          <w:docGrid w:linePitch="360"/>
        </w:sectPr>
      </w:pPr>
      <w:hyperlink w:anchor="bookmark39" w:tooltip="Current Document">
        <w:r>
          <w:t xml:space="preserve">Evolutionistische </w:t>
        </w:r>
        <w:r>
          <w:t>Sprachentstehungs-Theorien</w:t>
        </w:r>
        <w:r>
          <w:tab/>
          <w:t>99</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40" w:tooltip="Current Document">
        <w:r>
          <w:rPr>
            <w:rStyle w:val="Verzeichnis3Zchn"/>
          </w:rPr>
          <w:t xml:space="preserve">Die „Wau-Wau-Theorie" </w:t>
        </w:r>
        <w:r>
          <w:rPr>
            <w:rStyle w:val="Verzeichnis3Zchn"/>
          </w:rPr>
          <w:tab/>
          <w:t>100</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41" w:tooltip="Current Document">
        <w:r>
          <w:rPr>
            <w:rStyle w:val="Verzeichnis3Zchn"/>
          </w:rPr>
          <w:t>Die „Aua-Theorie"</w:t>
        </w:r>
        <w:r>
          <w:rPr>
            <w:rStyle w:val="Verzeichnis3Zchn"/>
          </w:rPr>
          <w:tab/>
          <w:t>102</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42" w:tooltip="Current Document">
        <w:r>
          <w:rPr>
            <w:rStyle w:val="Verzeichnis3Zchn"/>
          </w:rPr>
          <w:t>Die „Hauruck</w:t>
        </w:r>
        <w:r>
          <w:rPr>
            <w:rStyle w:val="Verzeichnis3Zchn"/>
          </w:rPr>
          <w:t>-Theorie"</w:t>
        </w:r>
        <w:r>
          <w:rPr>
            <w:rStyle w:val="Verzeichnis3Zchn"/>
          </w:rPr>
          <w:tab/>
          <w:t>102</w:t>
        </w:r>
      </w:hyperlink>
    </w:p>
    <w:p w:rsidR="00BB7EDA" w:rsidRDefault="007D72B3">
      <w:pPr>
        <w:pStyle w:val="Verzeichnis3"/>
        <w:numPr>
          <w:ilvl w:val="2"/>
          <w:numId w:val="4"/>
        </w:numPr>
        <w:shd w:val="clear" w:color="auto" w:fill="auto"/>
        <w:tabs>
          <w:tab w:val="left" w:pos="680"/>
          <w:tab w:val="right" w:leader="dot" w:pos="5601"/>
        </w:tabs>
        <w:spacing w:line="226" w:lineRule="exact"/>
        <w:ind w:firstLine="0"/>
      </w:pPr>
      <w:r>
        <w:t>Die „Ding-Dong-Theorie"</w:t>
      </w:r>
      <w:r>
        <w:tab/>
        <w:t>103</w:t>
      </w:r>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43" w:tooltip="Current Document">
        <w:r>
          <w:rPr>
            <w:rStyle w:val="Verzeichnis3Zchn"/>
          </w:rPr>
          <w:t>Die „Tata-Theorie"</w:t>
        </w:r>
        <w:r>
          <w:rPr>
            <w:rStyle w:val="Verzeichnis3Zchn"/>
          </w:rPr>
          <w:tab/>
          <w:t>103</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44" w:tooltip="Current Document">
        <w:r>
          <w:rPr>
            <w:rStyle w:val="Verzeichnis3Zchn"/>
          </w:rPr>
          <w:t>Die „Trarabumm-Theorie"</w:t>
        </w:r>
        <w:r>
          <w:rPr>
            <w:rStyle w:val="Verzeichnis3Zchn"/>
          </w:rPr>
          <w:tab/>
          <w:t>103</w:t>
        </w:r>
      </w:hyperlink>
    </w:p>
    <w:p w:rsidR="00BB7EDA" w:rsidRDefault="007D72B3">
      <w:pPr>
        <w:pStyle w:val="Verzeichnis3"/>
        <w:numPr>
          <w:ilvl w:val="2"/>
          <w:numId w:val="4"/>
        </w:numPr>
        <w:shd w:val="clear" w:color="auto" w:fill="auto"/>
        <w:tabs>
          <w:tab w:val="left" w:pos="680"/>
          <w:tab w:val="right" w:leader="dot" w:pos="5601"/>
        </w:tabs>
        <w:spacing w:line="226" w:lineRule="exact"/>
        <w:ind w:firstLine="0"/>
      </w:pPr>
      <w:r>
        <w:t>Die „Singsang-Theorie"</w:t>
      </w:r>
      <w:r>
        <w:tab/>
        <w:t>104</w:t>
      </w:r>
    </w:p>
    <w:p w:rsidR="00BB7EDA" w:rsidRDefault="007D72B3">
      <w:pPr>
        <w:pStyle w:val="Verzeichnis3"/>
        <w:numPr>
          <w:ilvl w:val="2"/>
          <w:numId w:val="4"/>
        </w:numPr>
        <w:shd w:val="clear" w:color="auto" w:fill="auto"/>
        <w:tabs>
          <w:tab w:val="left" w:pos="680"/>
          <w:tab w:val="left" w:leader="dot" w:pos="5263"/>
        </w:tabs>
        <w:spacing w:line="226" w:lineRule="exact"/>
        <w:ind w:firstLine="0"/>
      </w:pPr>
      <w:r>
        <w:t>Die ontogenetische Theorie</w:t>
      </w:r>
      <w:r>
        <w:t xml:space="preserve"> der Sprachentstehung</w:t>
      </w:r>
      <w:r>
        <w:tab/>
        <w:t>104</w:t>
      </w:r>
    </w:p>
    <w:p w:rsidR="00BB7EDA" w:rsidRDefault="007D72B3">
      <w:pPr>
        <w:pStyle w:val="Verzeichnis5"/>
        <w:numPr>
          <w:ilvl w:val="2"/>
          <w:numId w:val="4"/>
        </w:numPr>
        <w:shd w:val="clear" w:color="auto" w:fill="auto"/>
        <w:tabs>
          <w:tab w:val="left" w:pos="680"/>
          <w:tab w:val="right" w:leader="dot" w:pos="5601"/>
        </w:tabs>
        <w:spacing w:after="180" w:line="226" w:lineRule="exact"/>
        <w:ind w:firstLine="0"/>
      </w:pPr>
      <w:hyperlink w:anchor="bookmark45" w:tooltip="Current Document">
        <w:r>
          <w:rPr>
            <w:rStyle w:val="Verzeichnis3Zchn"/>
          </w:rPr>
          <w:t>Die Theorie der Mutter-Kind-Beziehung</w:t>
        </w:r>
        <w:r>
          <w:rPr>
            <w:rStyle w:val="Verzeichnis3Zchn"/>
          </w:rPr>
          <w:tab/>
          <w:t>105</w:t>
        </w:r>
      </w:hyperlink>
    </w:p>
    <w:p w:rsidR="00BB7EDA" w:rsidRDefault="007D72B3">
      <w:pPr>
        <w:pStyle w:val="Tableofcontents30"/>
        <w:numPr>
          <w:ilvl w:val="0"/>
          <w:numId w:val="4"/>
        </w:numPr>
        <w:shd w:val="clear" w:color="auto" w:fill="auto"/>
        <w:tabs>
          <w:tab w:val="left" w:pos="680"/>
        </w:tabs>
      </w:pPr>
      <w:r>
        <w:t>Der Ursprung der Sprachen aus der Sicht der Bibel.... 107</w:t>
      </w:r>
    </w:p>
    <w:p w:rsidR="00BB7EDA" w:rsidRDefault="007D72B3">
      <w:pPr>
        <w:pStyle w:val="Tableofcontents30"/>
        <w:numPr>
          <w:ilvl w:val="1"/>
          <w:numId w:val="4"/>
        </w:numPr>
        <w:shd w:val="clear" w:color="auto" w:fill="auto"/>
        <w:tabs>
          <w:tab w:val="left" w:pos="680"/>
        </w:tabs>
      </w:pPr>
      <w:r>
        <w:t>Zur Unterscheidung zwischen Bibel,</w:t>
      </w:r>
    </w:p>
    <w:p w:rsidR="00BB7EDA" w:rsidRDefault="007D72B3">
      <w:pPr>
        <w:pStyle w:val="Tableofcontents30"/>
        <w:shd w:val="clear" w:color="auto" w:fill="auto"/>
        <w:tabs>
          <w:tab w:val="right" w:leader="dot" w:pos="5601"/>
        </w:tabs>
        <w:ind w:left="720"/>
      </w:pPr>
      <w:r>
        <w:t>Exegese und Schöpfungsforschung</w:t>
      </w:r>
      <w:r>
        <w:tab/>
        <w:t>107</w:t>
      </w:r>
    </w:p>
    <w:p w:rsidR="00BB7EDA" w:rsidRDefault="007D72B3">
      <w:pPr>
        <w:pStyle w:val="Tableofcontents30"/>
        <w:numPr>
          <w:ilvl w:val="1"/>
          <w:numId w:val="4"/>
        </w:numPr>
        <w:shd w:val="clear" w:color="auto" w:fill="auto"/>
        <w:tabs>
          <w:tab w:val="left" w:pos="680"/>
        </w:tabs>
      </w:pPr>
      <w:r>
        <w:t xml:space="preserve">Das </w:t>
      </w:r>
      <w:r>
        <w:t>Zeugnis des Schöpfungsberichtes</w:t>
      </w:r>
    </w:p>
    <w:p w:rsidR="00BB7EDA" w:rsidRDefault="007D72B3">
      <w:pPr>
        <w:pStyle w:val="Tableofcontents30"/>
        <w:shd w:val="clear" w:color="auto" w:fill="auto"/>
        <w:tabs>
          <w:tab w:val="right" w:leader="dot" w:pos="5601"/>
        </w:tabs>
        <w:ind w:left="720"/>
      </w:pPr>
      <w:r>
        <w:t>(Genesis 1 und 2)</w:t>
      </w:r>
      <w:r>
        <w:tab/>
        <w:t>108</w:t>
      </w:r>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49" w:tooltip="Current Document">
        <w:r>
          <w:rPr>
            <w:rStyle w:val="Verzeichnis3Zchn"/>
          </w:rPr>
          <w:t>Sprachverständnis von allem Anfang an</w:t>
        </w:r>
        <w:r>
          <w:rPr>
            <w:rStyle w:val="Verzeichnis3Zchn"/>
          </w:rPr>
          <w:tab/>
          <w:t>108</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50" w:tooltip="Current Document">
        <w:r>
          <w:rPr>
            <w:rStyle w:val="Verzeichnis3Zchn"/>
          </w:rPr>
          <w:t>Sprechfähigkeit von allem Anfang an</w:t>
        </w:r>
        <w:r>
          <w:rPr>
            <w:rStyle w:val="Verzeichnis3Zchn"/>
          </w:rPr>
          <w:tab/>
          <w:t>109</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51" w:tooltip="Current Document">
        <w:r>
          <w:rPr>
            <w:rStyle w:val="Verzeichnis3Zchn"/>
          </w:rPr>
          <w:t>Befähigung zur Neubildung von Wörtern</w:t>
        </w:r>
        <w:r>
          <w:rPr>
            <w:rStyle w:val="Verzeichnis3Zchn"/>
          </w:rPr>
          <w:tab/>
          <w:t>110</w:t>
        </w:r>
      </w:hyperlink>
    </w:p>
    <w:p w:rsidR="00BB7EDA" w:rsidRDefault="007D72B3">
      <w:pPr>
        <w:pStyle w:val="Tableofcontents0"/>
        <w:numPr>
          <w:ilvl w:val="3"/>
          <w:numId w:val="4"/>
        </w:numPr>
        <w:shd w:val="clear" w:color="auto" w:fill="auto"/>
        <w:tabs>
          <w:tab w:val="left" w:pos="1405"/>
        </w:tabs>
        <w:spacing w:line="226" w:lineRule="exact"/>
        <w:ind w:left="720"/>
      </w:pPr>
      <w:r>
        <w:t>Auf kulturelle Entwicklung hin konzipierte</w:t>
      </w:r>
    </w:p>
    <w:p w:rsidR="00BB7EDA" w:rsidRDefault="007D72B3">
      <w:pPr>
        <w:pStyle w:val="Tableofcontents0"/>
        <w:shd w:val="clear" w:color="auto" w:fill="auto"/>
        <w:tabs>
          <w:tab w:val="right" w:leader="dot" w:pos="5601"/>
        </w:tabs>
        <w:spacing w:line="226" w:lineRule="exact"/>
        <w:ind w:left="1400"/>
      </w:pPr>
      <w:r>
        <w:t>Schöpfergabe</w:t>
      </w:r>
      <w:r>
        <w:rPr>
          <w:rStyle w:val="TableofcontentsNotItalic"/>
        </w:rPr>
        <w:tab/>
        <w:t>110</w:t>
      </w:r>
    </w:p>
    <w:p w:rsidR="00BB7EDA" w:rsidRDefault="007D72B3">
      <w:pPr>
        <w:pStyle w:val="Tableofcontents0"/>
        <w:numPr>
          <w:ilvl w:val="3"/>
          <w:numId w:val="4"/>
        </w:numPr>
        <w:shd w:val="clear" w:color="auto" w:fill="auto"/>
        <w:tabs>
          <w:tab w:val="left" w:pos="1419"/>
          <w:tab w:val="right" w:leader="dot" w:pos="5601"/>
        </w:tabs>
        <w:spacing w:line="226" w:lineRule="exact"/>
        <w:ind w:left="720"/>
      </w:pPr>
      <w:r>
        <w:t>Sprachkultur-Auftrag</w:t>
      </w:r>
      <w:r>
        <w:rPr>
          <w:rStyle w:val="TableofcontentsNotItalic"/>
        </w:rPr>
        <w:tab/>
        <w:t>110</w:t>
      </w:r>
    </w:p>
    <w:p w:rsidR="00BB7EDA" w:rsidRDefault="007D72B3">
      <w:pPr>
        <w:pStyle w:val="Verzeichnis3"/>
        <w:numPr>
          <w:ilvl w:val="2"/>
          <w:numId w:val="4"/>
        </w:numPr>
        <w:shd w:val="clear" w:color="auto" w:fill="auto"/>
        <w:tabs>
          <w:tab w:val="left" w:pos="680"/>
          <w:tab w:val="right" w:leader="dot" w:pos="5601"/>
        </w:tabs>
        <w:spacing w:line="226" w:lineRule="exact"/>
        <w:ind w:firstLine="0"/>
      </w:pPr>
      <w:r>
        <w:t>Dichterische Begabung</w:t>
      </w:r>
      <w:r>
        <w:tab/>
        <w:t>111</w:t>
      </w:r>
    </w:p>
    <w:p w:rsidR="00BB7EDA" w:rsidRDefault="007D72B3">
      <w:pPr>
        <w:pStyle w:val="Tableofcontents0"/>
        <w:numPr>
          <w:ilvl w:val="3"/>
          <w:numId w:val="4"/>
        </w:numPr>
        <w:shd w:val="clear" w:color="auto" w:fill="auto"/>
        <w:tabs>
          <w:tab w:val="left" w:pos="1405"/>
        </w:tabs>
        <w:spacing w:line="226" w:lineRule="exact"/>
        <w:ind w:left="720"/>
      </w:pPr>
      <w:r>
        <w:t>Rekombinatorische Kreativität auf dem Gebiet</w:t>
      </w:r>
    </w:p>
    <w:p w:rsidR="00BB7EDA" w:rsidRDefault="007D72B3">
      <w:pPr>
        <w:pStyle w:val="Tableofcontents0"/>
        <w:shd w:val="clear" w:color="auto" w:fill="auto"/>
        <w:tabs>
          <w:tab w:val="right" w:leader="dot" w:pos="5601"/>
        </w:tabs>
        <w:spacing w:line="226" w:lineRule="exact"/>
        <w:ind w:left="1400"/>
      </w:pPr>
      <w:r>
        <w:t>der Syntax</w:t>
      </w:r>
      <w:r>
        <w:rPr>
          <w:rStyle w:val="TableofcontentsNotItalic"/>
        </w:rPr>
        <w:tab/>
      </w:r>
      <w:r>
        <w:rPr>
          <w:rStyle w:val="TableofcontentsNotItalic"/>
        </w:rPr>
        <w:t>112</w:t>
      </w:r>
    </w:p>
    <w:p w:rsidR="00BB7EDA" w:rsidRDefault="007D72B3">
      <w:pPr>
        <w:pStyle w:val="Tableofcontents0"/>
        <w:numPr>
          <w:ilvl w:val="3"/>
          <w:numId w:val="4"/>
        </w:numPr>
        <w:shd w:val="clear" w:color="auto" w:fill="auto"/>
        <w:tabs>
          <w:tab w:val="left" w:pos="1419"/>
        </w:tabs>
        <w:spacing w:line="226" w:lineRule="exact"/>
        <w:ind w:left="720"/>
      </w:pPr>
      <w:r>
        <w:t>Auftrag und Impuls zur Ausübung von</w:t>
      </w:r>
    </w:p>
    <w:p w:rsidR="00BB7EDA" w:rsidRDefault="007D72B3">
      <w:pPr>
        <w:pStyle w:val="Tableofcontents0"/>
        <w:shd w:val="clear" w:color="auto" w:fill="auto"/>
        <w:tabs>
          <w:tab w:val="right" w:leader="dot" w:pos="5601"/>
        </w:tabs>
        <w:spacing w:line="226" w:lineRule="exact"/>
        <w:ind w:left="1400"/>
      </w:pPr>
      <w:r>
        <w:t>Sprachkreativität</w:t>
      </w:r>
      <w:r>
        <w:rPr>
          <w:rStyle w:val="TableofcontentsNotItalic"/>
        </w:rPr>
        <w:tab/>
        <w:t>112</w:t>
      </w:r>
    </w:p>
    <w:p w:rsidR="00BB7EDA" w:rsidRDefault="007D72B3">
      <w:pPr>
        <w:pStyle w:val="Tableofcontents30"/>
        <w:numPr>
          <w:ilvl w:val="1"/>
          <w:numId w:val="4"/>
        </w:numPr>
        <w:shd w:val="clear" w:color="auto" w:fill="auto"/>
        <w:tabs>
          <w:tab w:val="left" w:pos="680"/>
          <w:tab w:val="right" w:leader="dot" w:pos="5601"/>
        </w:tabs>
      </w:pPr>
      <w:hyperlink w:anchor="bookmark52" w:tooltip="Current Document">
        <w:r>
          <w:t>Das Zeugnis der Turmbau-Erzählung (Genesis 11)</w:t>
        </w:r>
        <w:r>
          <w:tab/>
          <w:t>112</w:t>
        </w:r>
      </w:hyperlink>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53" w:tooltip="Current Document">
        <w:r>
          <w:rPr>
            <w:rStyle w:val="Verzeichnis3Zchn"/>
          </w:rPr>
          <w:t>Nachsintflutliche Kulturexplosion</w:t>
        </w:r>
        <w:r>
          <w:rPr>
            <w:rStyle w:val="Verzeichnis3Zchn"/>
          </w:rPr>
          <w:t xml:space="preserve"> </w:t>
        </w:r>
        <w:r>
          <w:rPr>
            <w:rStyle w:val="Verzeichnis3Zchn"/>
          </w:rPr>
          <w:tab/>
          <w:t>113</w:t>
        </w:r>
      </w:hyperlink>
    </w:p>
    <w:p w:rsidR="00BB7EDA" w:rsidRDefault="007D72B3">
      <w:pPr>
        <w:pStyle w:val="Tableofcontents0"/>
        <w:numPr>
          <w:ilvl w:val="3"/>
          <w:numId w:val="4"/>
        </w:numPr>
        <w:shd w:val="clear" w:color="auto" w:fill="auto"/>
        <w:tabs>
          <w:tab w:val="left" w:pos="1410"/>
          <w:tab w:val="right" w:leader="dot" w:pos="5601"/>
        </w:tabs>
        <w:spacing w:line="226" w:lineRule="exact"/>
        <w:ind w:left="720"/>
      </w:pPr>
      <w:r>
        <w:t>Die Völkertafel</w:t>
      </w:r>
      <w:r>
        <w:rPr>
          <w:rStyle w:val="TableofcontentsNotItalic"/>
        </w:rPr>
        <w:tab/>
        <w:t>113</w:t>
      </w:r>
    </w:p>
    <w:p w:rsidR="00BB7EDA" w:rsidRDefault="007D72B3">
      <w:pPr>
        <w:pStyle w:val="Tableofcontents0"/>
        <w:numPr>
          <w:ilvl w:val="3"/>
          <w:numId w:val="4"/>
        </w:numPr>
        <w:shd w:val="clear" w:color="auto" w:fill="auto"/>
        <w:tabs>
          <w:tab w:val="left" w:pos="1419"/>
          <w:tab w:val="right" w:leader="dot" w:pos="5601"/>
        </w:tabs>
        <w:spacing w:line="226" w:lineRule="exact"/>
        <w:ind w:left="720"/>
      </w:pPr>
      <w:r>
        <w:t>Zum Verhältnis zwischen Gen 10 und 11</w:t>
      </w:r>
      <w:r>
        <w:rPr>
          <w:rStyle w:val="TableofcontentsNotItalic"/>
        </w:rPr>
        <w:tab/>
        <w:t>114</w:t>
      </w:r>
    </w:p>
    <w:p w:rsidR="00BB7EDA" w:rsidRDefault="007D72B3">
      <w:pPr>
        <w:pStyle w:val="Tableofcontents0"/>
        <w:numPr>
          <w:ilvl w:val="3"/>
          <w:numId w:val="4"/>
        </w:numPr>
        <w:shd w:val="clear" w:color="auto" w:fill="auto"/>
        <w:tabs>
          <w:tab w:val="left" w:pos="1419"/>
        </w:tabs>
        <w:spacing w:line="226" w:lineRule="exact"/>
        <w:ind w:left="720"/>
      </w:pPr>
      <w:r>
        <w:t>Sumer - Wiege der ersten Hochkultur nach der</w:t>
      </w:r>
    </w:p>
    <w:p w:rsidR="00BB7EDA" w:rsidRDefault="007D72B3">
      <w:pPr>
        <w:pStyle w:val="Verzeichnis3"/>
        <w:shd w:val="clear" w:color="auto" w:fill="auto"/>
        <w:tabs>
          <w:tab w:val="right" w:leader="dot" w:pos="5601"/>
        </w:tabs>
        <w:spacing w:line="226" w:lineRule="exact"/>
        <w:ind w:left="1400" w:firstLine="0"/>
      </w:pPr>
      <w:r>
        <w:rPr>
          <w:rStyle w:val="Tableofcontents2Italic"/>
        </w:rPr>
        <w:t>Flut</w:t>
      </w:r>
      <w:r>
        <w:t xml:space="preserve"> </w:t>
      </w:r>
      <w:r>
        <w:tab/>
        <w:t>114</w:t>
      </w:r>
    </w:p>
    <w:p w:rsidR="00BB7EDA" w:rsidRDefault="007D72B3">
      <w:pPr>
        <w:pStyle w:val="Verzeichnis5"/>
        <w:numPr>
          <w:ilvl w:val="2"/>
          <w:numId w:val="4"/>
        </w:numPr>
        <w:shd w:val="clear" w:color="auto" w:fill="auto"/>
        <w:tabs>
          <w:tab w:val="left" w:pos="680"/>
          <w:tab w:val="right" w:leader="dot" w:pos="5601"/>
        </w:tabs>
        <w:spacing w:line="226" w:lineRule="exact"/>
        <w:ind w:firstLine="0"/>
      </w:pPr>
      <w:hyperlink w:anchor="bookmark54" w:tooltip="Current Document">
        <w:r>
          <w:rPr>
            <w:rStyle w:val="Verzeichnis3Zchn"/>
          </w:rPr>
          <w:t>Der Turm zu Babel</w:t>
        </w:r>
        <w:r>
          <w:rPr>
            <w:rStyle w:val="Verzeichnis3Zchn"/>
          </w:rPr>
          <w:tab/>
          <w:t>116</w:t>
        </w:r>
      </w:hyperlink>
    </w:p>
    <w:p w:rsidR="00BB7EDA" w:rsidRDefault="007D72B3">
      <w:pPr>
        <w:pStyle w:val="Tableofcontents0"/>
        <w:numPr>
          <w:ilvl w:val="3"/>
          <w:numId w:val="4"/>
        </w:numPr>
        <w:shd w:val="clear" w:color="auto" w:fill="auto"/>
        <w:tabs>
          <w:tab w:val="left" w:pos="1405"/>
          <w:tab w:val="right" w:leader="dot" w:pos="5601"/>
        </w:tabs>
        <w:spacing w:line="226" w:lineRule="exact"/>
        <w:ind w:left="720"/>
      </w:pPr>
      <w:r>
        <w:t>Nimrods Herrschaft</w:t>
      </w:r>
      <w:r>
        <w:rPr>
          <w:rStyle w:val="TableofcontentsNotItalic"/>
        </w:rPr>
        <w:tab/>
        <w:t>116</w:t>
      </w:r>
    </w:p>
    <w:p w:rsidR="00BB7EDA" w:rsidRDefault="007D72B3">
      <w:pPr>
        <w:pStyle w:val="Tableofcontents0"/>
        <w:numPr>
          <w:ilvl w:val="3"/>
          <w:numId w:val="4"/>
        </w:numPr>
        <w:shd w:val="clear" w:color="auto" w:fill="auto"/>
        <w:tabs>
          <w:tab w:val="left" w:pos="1414"/>
          <w:tab w:val="right" w:leader="dot" w:pos="5601"/>
        </w:tabs>
        <w:spacing w:line="226" w:lineRule="exact"/>
        <w:ind w:left="720"/>
      </w:pPr>
      <w:r>
        <w:t xml:space="preserve">Spätere Kopien des Turms von </w:t>
      </w:r>
      <w:r>
        <w:t>Babel</w:t>
      </w:r>
      <w:r>
        <w:rPr>
          <w:rStyle w:val="TableofcontentsNotItalic"/>
        </w:rPr>
        <w:tab/>
        <w:t>116</w:t>
      </w:r>
    </w:p>
    <w:p w:rsidR="00BB7EDA" w:rsidRDefault="007D72B3">
      <w:pPr>
        <w:pStyle w:val="Tableofcontents0"/>
        <w:numPr>
          <w:ilvl w:val="3"/>
          <w:numId w:val="4"/>
        </w:numPr>
        <w:shd w:val="clear" w:color="auto" w:fill="auto"/>
        <w:tabs>
          <w:tab w:val="left" w:pos="1414"/>
        </w:tabs>
        <w:spacing w:line="226" w:lineRule="exact"/>
        <w:ind w:left="720"/>
      </w:pPr>
      <w:r>
        <w:t>Zum Baumaterial der mesopotamischen</w:t>
      </w:r>
    </w:p>
    <w:p w:rsidR="00BB7EDA" w:rsidRDefault="007D72B3">
      <w:pPr>
        <w:pStyle w:val="Tableofcontents0"/>
        <w:shd w:val="clear" w:color="auto" w:fill="auto"/>
        <w:tabs>
          <w:tab w:val="right" w:leader="dot" w:pos="5601"/>
        </w:tabs>
        <w:spacing w:line="226" w:lineRule="exact"/>
        <w:ind w:left="1400"/>
      </w:pPr>
      <w:r>
        <w:t>Stufentürme</w:t>
      </w:r>
      <w:r>
        <w:rPr>
          <w:rStyle w:val="TableofcontentsNotItalic"/>
        </w:rPr>
        <w:tab/>
        <w:t xml:space="preserve"> 116</w:t>
      </w:r>
    </w:p>
    <w:p w:rsidR="00BB7EDA" w:rsidRDefault="007D72B3">
      <w:pPr>
        <w:pStyle w:val="Tableofcontents0"/>
        <w:numPr>
          <w:ilvl w:val="3"/>
          <w:numId w:val="4"/>
        </w:numPr>
        <w:shd w:val="clear" w:color="auto" w:fill="auto"/>
        <w:tabs>
          <w:tab w:val="left" w:pos="1424"/>
          <w:tab w:val="right" w:leader="dot" w:pos="5601"/>
        </w:tabs>
        <w:spacing w:line="226" w:lineRule="exact"/>
        <w:ind w:left="720"/>
      </w:pPr>
      <w:r>
        <w:t>Künstliche Tempelberge</w:t>
      </w:r>
      <w:r>
        <w:rPr>
          <w:rStyle w:val="TableofcontentsNotItalic"/>
        </w:rPr>
        <w:tab/>
        <w:t>116</w:t>
      </w:r>
    </w:p>
    <w:p w:rsidR="00BB7EDA" w:rsidRDefault="007D72B3">
      <w:pPr>
        <w:pStyle w:val="Tableofcontents0"/>
        <w:numPr>
          <w:ilvl w:val="3"/>
          <w:numId w:val="4"/>
        </w:numPr>
        <w:shd w:val="clear" w:color="auto" w:fill="auto"/>
        <w:tabs>
          <w:tab w:val="left" w:pos="1424"/>
          <w:tab w:val="left" w:leader="dot" w:pos="5263"/>
        </w:tabs>
        <w:spacing w:line="226" w:lineRule="exact"/>
        <w:ind w:left="720"/>
      </w:pPr>
      <w:r>
        <w:t>Wo befand sich der Turm von Babel?</w:t>
      </w:r>
      <w:r>
        <w:rPr>
          <w:rStyle w:val="TableofcontentsNotItalic"/>
        </w:rPr>
        <w:tab/>
        <w:t xml:space="preserve"> 118</w:t>
      </w:r>
    </w:p>
    <w:p w:rsidR="00BB7EDA" w:rsidRDefault="007D72B3">
      <w:pPr>
        <w:pStyle w:val="Tableofcontents0"/>
        <w:numPr>
          <w:ilvl w:val="3"/>
          <w:numId w:val="4"/>
        </w:numPr>
        <w:shd w:val="clear" w:color="auto" w:fill="auto"/>
        <w:tabs>
          <w:tab w:val="left" w:pos="1424"/>
          <w:tab w:val="right" w:leader="dot" w:pos="5601"/>
        </w:tabs>
        <w:spacing w:line="226" w:lineRule="exact"/>
        <w:ind w:left="720"/>
      </w:pPr>
      <w:r>
        <w:t>Zur Geschichte des Turmes von Babel</w:t>
      </w:r>
      <w:r>
        <w:rPr>
          <w:rStyle w:val="TableofcontentsNotItalic"/>
        </w:rPr>
        <w:tab/>
        <w:t>119</w:t>
      </w:r>
      <w:r>
        <w:fldChar w:fldCharType="end"/>
      </w:r>
    </w:p>
    <w:p w:rsidR="00BB7EDA" w:rsidRDefault="007D72B3">
      <w:pPr>
        <w:pStyle w:val="Bodytext20"/>
        <w:numPr>
          <w:ilvl w:val="2"/>
          <w:numId w:val="4"/>
        </w:numPr>
        <w:shd w:val="clear" w:color="auto" w:fill="auto"/>
        <w:tabs>
          <w:tab w:val="left" w:pos="680"/>
        </w:tabs>
        <w:spacing w:before="0" w:line="226" w:lineRule="exact"/>
      </w:pPr>
      <w:r>
        <w:t>Zur Bedeutung und Etymologie des Namens „Babel" .. 120</w:t>
      </w:r>
    </w:p>
    <w:p w:rsidR="00BB7EDA" w:rsidRDefault="007D72B3">
      <w:pPr>
        <w:pStyle w:val="Tableofcontents0"/>
        <w:numPr>
          <w:ilvl w:val="0"/>
          <w:numId w:val="14"/>
        </w:numPr>
        <w:shd w:val="clear" w:color="auto" w:fill="auto"/>
        <w:tabs>
          <w:tab w:val="left" w:pos="1400"/>
          <w:tab w:val="left" w:leader="dot" w:pos="5255"/>
        </w:tabs>
        <w:spacing w:line="226" w:lineRule="exact"/>
        <w:ind w:left="720"/>
      </w:pPr>
      <w:r>
        <w:fldChar w:fldCharType="begin"/>
      </w:r>
      <w:r>
        <w:instrText xml:space="preserve"> TOC \o "1-5" \h \z </w:instrText>
      </w:r>
      <w:r>
        <w:fldChar w:fldCharType="separate"/>
      </w:r>
      <w:r>
        <w:t xml:space="preserve">„Babel" </w:t>
      </w:r>
      <w:r>
        <w:t>- weder sumerisch noch akkadtsch</w:t>
      </w:r>
      <w:r>
        <w:rPr>
          <w:rStyle w:val="TableofcontentsNotItalic"/>
        </w:rPr>
        <w:tab/>
        <w:t>120</w:t>
      </w:r>
    </w:p>
    <w:p w:rsidR="00BB7EDA" w:rsidRDefault="007D72B3">
      <w:pPr>
        <w:pStyle w:val="Tableofcontents0"/>
        <w:numPr>
          <w:ilvl w:val="0"/>
          <w:numId w:val="15"/>
        </w:numPr>
        <w:shd w:val="clear" w:color="auto" w:fill="auto"/>
        <w:tabs>
          <w:tab w:val="left" w:pos="1410"/>
          <w:tab w:val="right" w:leader="dot" w:pos="5585"/>
        </w:tabs>
        <w:spacing w:line="226" w:lineRule="exact"/>
        <w:ind w:left="720"/>
      </w:pPr>
      <w:r>
        <w:t>Die Deutung in der Genesis</w:t>
      </w:r>
      <w:r>
        <w:rPr>
          <w:rStyle w:val="TableofcontentsNotItalic"/>
        </w:rPr>
        <w:tab/>
        <w:t>121</w:t>
      </w:r>
    </w:p>
    <w:p w:rsidR="00BB7EDA" w:rsidRDefault="007D72B3">
      <w:pPr>
        <w:pStyle w:val="Tableofcontents0"/>
        <w:shd w:val="clear" w:color="auto" w:fill="auto"/>
        <w:tabs>
          <w:tab w:val="left" w:pos="1410"/>
          <w:tab w:val="right" w:leader="dot" w:pos="5585"/>
        </w:tabs>
        <w:spacing w:line="226" w:lineRule="exact"/>
        <w:ind w:left="720"/>
      </w:pPr>
      <w:r>
        <w:t>4.3.33</w:t>
      </w:r>
      <w:r>
        <w:tab/>
        <w:t>Die Wortwurzel „balal"</w:t>
      </w:r>
      <w:r>
        <w:rPr>
          <w:rStyle w:val="TableofcontentsNotItalic"/>
        </w:rPr>
        <w:tab/>
        <w:t>121</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Was heißt „Sprachenverwirrung"?</w:t>
      </w:r>
      <w:r>
        <w:tab/>
        <w:t>123</w:t>
      </w:r>
    </w:p>
    <w:p w:rsidR="00BB7EDA" w:rsidRDefault="007D72B3">
      <w:pPr>
        <w:pStyle w:val="Tableofcontents0"/>
        <w:numPr>
          <w:ilvl w:val="0"/>
          <w:numId w:val="16"/>
        </w:numPr>
        <w:shd w:val="clear" w:color="auto" w:fill="auto"/>
        <w:tabs>
          <w:tab w:val="left" w:pos="1400"/>
          <w:tab w:val="left" w:leader="dot" w:pos="5255"/>
        </w:tabs>
        <w:spacing w:line="226" w:lineRule="exact"/>
        <w:ind w:left="720"/>
      </w:pPr>
      <w:r>
        <w:t>Zur polyphyletischen Entstehung der Sprachen</w:t>
      </w:r>
      <w:r>
        <w:rPr>
          <w:rStyle w:val="TableofcontentsNotItalic"/>
        </w:rPr>
        <w:tab/>
        <w:t>123</w:t>
      </w:r>
    </w:p>
    <w:p w:rsidR="00BB7EDA" w:rsidRDefault="007D72B3">
      <w:pPr>
        <w:pStyle w:val="Tableofcontents0"/>
        <w:numPr>
          <w:ilvl w:val="0"/>
          <w:numId w:val="16"/>
        </w:numPr>
        <w:shd w:val="clear" w:color="auto" w:fill="auto"/>
        <w:tabs>
          <w:tab w:val="left" w:pos="1405"/>
          <w:tab w:val="right" w:leader="dot" w:pos="5585"/>
        </w:tabs>
        <w:spacing w:line="226" w:lineRule="exact"/>
        <w:ind w:left="720"/>
      </w:pPr>
      <w:r>
        <w:t>Die Sprachen im Querstand</w:t>
      </w:r>
      <w:r>
        <w:rPr>
          <w:rStyle w:val="TableofcontentsNotItalic"/>
        </w:rPr>
        <w:tab/>
        <w:t>123</w:t>
      </w:r>
    </w:p>
    <w:p w:rsidR="00BB7EDA" w:rsidRDefault="007D72B3">
      <w:pPr>
        <w:pStyle w:val="Tableofcontents0"/>
        <w:numPr>
          <w:ilvl w:val="0"/>
          <w:numId w:val="16"/>
        </w:numPr>
        <w:shd w:val="clear" w:color="auto" w:fill="auto"/>
        <w:tabs>
          <w:tab w:val="left" w:pos="1405"/>
        </w:tabs>
        <w:spacing w:line="226" w:lineRule="exact"/>
        <w:ind w:left="720"/>
      </w:pPr>
      <w:r>
        <w:t xml:space="preserve">„Oberflächenstruktur" verwirrt - </w:t>
      </w:r>
      <w:r>
        <w:t>„Tiefenstruktur"</w:t>
      </w:r>
    </w:p>
    <w:p w:rsidR="00BB7EDA" w:rsidRDefault="007D72B3">
      <w:pPr>
        <w:pStyle w:val="Tableofcontents0"/>
        <w:shd w:val="clear" w:color="auto" w:fill="auto"/>
        <w:tabs>
          <w:tab w:val="right" w:leader="dot" w:pos="5585"/>
        </w:tabs>
        <w:spacing w:line="226" w:lineRule="exact"/>
        <w:ind w:left="1400"/>
      </w:pPr>
      <w:r>
        <w:t>intakt</w:t>
      </w:r>
      <w:r>
        <w:rPr>
          <w:rStyle w:val="TableofcontentsNotItalic"/>
        </w:rPr>
        <w:tab/>
        <w:t>125</w:t>
      </w:r>
    </w:p>
    <w:p w:rsidR="00BB7EDA" w:rsidRDefault="007D72B3">
      <w:pPr>
        <w:pStyle w:val="Verzeichnis3"/>
        <w:numPr>
          <w:ilvl w:val="2"/>
          <w:numId w:val="4"/>
        </w:numPr>
        <w:shd w:val="clear" w:color="auto" w:fill="auto"/>
        <w:tabs>
          <w:tab w:val="left" w:pos="677"/>
        </w:tabs>
        <w:spacing w:line="226" w:lineRule="exact"/>
        <w:ind w:firstLine="0"/>
      </w:pPr>
      <w:r>
        <w:t>Welche Sprache wurde vor der Verwirrung</w:t>
      </w:r>
    </w:p>
    <w:p w:rsidR="00BB7EDA" w:rsidRDefault="007D72B3">
      <w:pPr>
        <w:pStyle w:val="Verzeichnis3"/>
        <w:shd w:val="clear" w:color="auto" w:fill="auto"/>
        <w:tabs>
          <w:tab w:val="right" w:leader="dot" w:pos="5585"/>
        </w:tabs>
        <w:spacing w:line="226" w:lineRule="exact"/>
        <w:ind w:left="720" w:firstLine="0"/>
      </w:pPr>
      <w:r>
        <w:t xml:space="preserve">gesprochen? </w:t>
      </w:r>
      <w:r>
        <w:tab/>
        <w:t>126</w:t>
      </w:r>
    </w:p>
    <w:p w:rsidR="00BB7EDA" w:rsidRDefault="007D72B3">
      <w:pPr>
        <w:pStyle w:val="Tableofcontents0"/>
        <w:numPr>
          <w:ilvl w:val="0"/>
          <w:numId w:val="17"/>
        </w:numPr>
        <w:shd w:val="clear" w:color="auto" w:fill="auto"/>
        <w:tabs>
          <w:tab w:val="left" w:pos="1400"/>
          <w:tab w:val="right" w:leader="dot" w:pos="5585"/>
        </w:tabs>
        <w:spacing w:line="226" w:lineRule="exact"/>
        <w:ind w:left="720"/>
      </w:pPr>
      <w:r>
        <w:t>Semitische Eigennamen</w:t>
      </w:r>
      <w:r>
        <w:rPr>
          <w:rStyle w:val="TableofcontentsNotItalic"/>
        </w:rPr>
        <w:tab/>
        <w:t>126</w:t>
      </w:r>
    </w:p>
    <w:p w:rsidR="00BB7EDA" w:rsidRDefault="007D72B3">
      <w:pPr>
        <w:pStyle w:val="Tableofcontents0"/>
        <w:numPr>
          <w:ilvl w:val="0"/>
          <w:numId w:val="17"/>
        </w:numPr>
        <w:shd w:val="clear" w:color="auto" w:fill="auto"/>
        <w:tabs>
          <w:tab w:val="left" w:pos="1410"/>
          <w:tab w:val="left" w:leader="dot" w:pos="5255"/>
        </w:tabs>
        <w:spacing w:line="226" w:lineRule="exact"/>
        <w:ind w:left="720"/>
      </w:pPr>
      <w:r>
        <w:t>Die Namen der zehn Patriarchen vor der Flut</w:t>
      </w:r>
      <w:r>
        <w:rPr>
          <w:rStyle w:val="TableofcontentsNotItalic"/>
        </w:rPr>
        <w:tab/>
        <w:t>126</w:t>
      </w:r>
    </w:p>
    <w:p w:rsidR="00BB7EDA" w:rsidRDefault="007D72B3">
      <w:pPr>
        <w:pStyle w:val="Tableofcontents0"/>
        <w:numPr>
          <w:ilvl w:val="0"/>
          <w:numId w:val="17"/>
        </w:numPr>
        <w:shd w:val="clear" w:color="auto" w:fill="auto"/>
        <w:tabs>
          <w:tab w:val="left" w:pos="1410"/>
          <w:tab w:val="right" w:leader="dot" w:pos="5585"/>
        </w:tabs>
        <w:spacing w:line="226" w:lineRule="exact"/>
        <w:ind w:left="720"/>
      </w:pPr>
      <w:r>
        <w:t>Zur Evangeliums-Botschaft der Namen</w:t>
      </w:r>
      <w:r>
        <w:rPr>
          <w:rStyle w:val="TableofcontentsNotItalic"/>
        </w:rPr>
        <w:tab/>
        <w:t>128</w:t>
      </w:r>
    </w:p>
    <w:p w:rsidR="00BB7EDA" w:rsidRDefault="007D72B3">
      <w:pPr>
        <w:pStyle w:val="Tableofcontents0"/>
        <w:numPr>
          <w:ilvl w:val="0"/>
          <w:numId w:val="17"/>
        </w:numPr>
        <w:shd w:val="clear" w:color="auto" w:fill="auto"/>
        <w:tabs>
          <w:tab w:val="left" w:pos="1414"/>
          <w:tab w:val="left" w:leader="dot" w:pos="5255"/>
        </w:tabs>
        <w:spacing w:line="226" w:lineRule="exact"/>
        <w:ind w:left="720"/>
      </w:pPr>
      <w:r>
        <w:t>Wortspiele in den ersten Kapiteln der Genesis</w:t>
      </w:r>
      <w:r>
        <w:rPr>
          <w:rStyle w:val="TableofcontentsNotItalic"/>
        </w:rPr>
        <w:tab/>
        <w:t>129</w:t>
      </w:r>
    </w:p>
    <w:p w:rsidR="00BB7EDA" w:rsidRDefault="007D72B3">
      <w:pPr>
        <w:pStyle w:val="Tableofcontents0"/>
        <w:numPr>
          <w:ilvl w:val="0"/>
          <w:numId w:val="17"/>
        </w:numPr>
        <w:shd w:val="clear" w:color="auto" w:fill="auto"/>
        <w:tabs>
          <w:tab w:val="left" w:pos="1419"/>
        </w:tabs>
        <w:spacing w:line="226" w:lineRule="exact"/>
        <w:ind w:left="720"/>
      </w:pPr>
      <w:r>
        <w:t xml:space="preserve">Sind </w:t>
      </w:r>
      <w:r>
        <w:t>die hebräischen Namen in</w:t>
      </w:r>
    </w:p>
    <w:p w:rsidR="00BB7EDA" w:rsidRDefault="007D72B3">
      <w:pPr>
        <w:pStyle w:val="Tableofcontents0"/>
        <w:shd w:val="clear" w:color="auto" w:fill="auto"/>
        <w:spacing w:line="226" w:lineRule="exact"/>
        <w:ind w:left="1400"/>
      </w:pPr>
      <w:r>
        <w:t>den frühen Kapiteln der Genesis ursprünglich?</w:t>
      </w:r>
      <w:r>
        <w:rPr>
          <w:rStyle w:val="TableofcontentsNotItalic"/>
        </w:rPr>
        <w:t xml:space="preserve"> 130</w:t>
      </w:r>
    </w:p>
    <w:p w:rsidR="00BB7EDA" w:rsidRDefault="007D72B3">
      <w:pPr>
        <w:pStyle w:val="Verzeichnis3"/>
        <w:numPr>
          <w:ilvl w:val="2"/>
          <w:numId w:val="4"/>
        </w:numPr>
        <w:shd w:val="clear" w:color="auto" w:fill="auto"/>
        <w:tabs>
          <w:tab w:val="left" w:pos="677"/>
          <w:tab w:val="left" w:leader="dot" w:pos="5255"/>
        </w:tabs>
        <w:spacing w:line="226" w:lineRule="exact"/>
        <w:ind w:firstLine="0"/>
      </w:pPr>
      <w:r>
        <w:t>Die ersten Völkerwanderungen der Geschichte</w:t>
      </w:r>
      <w:r>
        <w:tab/>
        <w:t>131</w:t>
      </w:r>
    </w:p>
    <w:p w:rsidR="00BB7EDA" w:rsidRDefault="007D72B3">
      <w:pPr>
        <w:pStyle w:val="Tableofcontents0"/>
        <w:numPr>
          <w:ilvl w:val="0"/>
          <w:numId w:val="18"/>
        </w:numPr>
        <w:shd w:val="clear" w:color="auto" w:fill="auto"/>
        <w:tabs>
          <w:tab w:val="left" w:pos="1400"/>
        </w:tabs>
        <w:spacing w:line="226" w:lineRule="exact"/>
        <w:ind w:left="720"/>
      </w:pPr>
      <w:r>
        <w:t>Ausgangslage: Der Knotenpunkt von Europa,</w:t>
      </w:r>
    </w:p>
    <w:p w:rsidR="00BB7EDA" w:rsidRDefault="007D72B3">
      <w:pPr>
        <w:pStyle w:val="Tableofcontents0"/>
        <w:shd w:val="clear" w:color="auto" w:fill="auto"/>
        <w:tabs>
          <w:tab w:val="right" w:leader="dot" w:pos="5585"/>
        </w:tabs>
        <w:spacing w:line="226" w:lineRule="exact"/>
        <w:ind w:left="1400"/>
      </w:pPr>
      <w:r>
        <w:t>Asien und Afrika</w:t>
      </w:r>
      <w:r>
        <w:rPr>
          <w:rStyle w:val="TableofcontentsNotItalic"/>
        </w:rPr>
        <w:tab/>
        <w:t>131</w:t>
      </w:r>
    </w:p>
    <w:p w:rsidR="00BB7EDA" w:rsidRDefault="007D72B3">
      <w:pPr>
        <w:pStyle w:val="Tableofcontents0"/>
        <w:numPr>
          <w:ilvl w:val="0"/>
          <w:numId w:val="18"/>
        </w:numPr>
        <w:shd w:val="clear" w:color="auto" w:fill="auto"/>
        <w:tabs>
          <w:tab w:val="left" w:pos="1414"/>
          <w:tab w:val="right" w:leader="dot" w:pos="5585"/>
        </w:tabs>
        <w:spacing w:line="226" w:lineRule="exact"/>
        <w:ind w:left="720"/>
      </w:pPr>
      <w:r>
        <w:t>Japhetiten, Hamiten und Semiten</w:t>
      </w:r>
      <w:r>
        <w:rPr>
          <w:rStyle w:val="TableofcontentsNotItalic"/>
        </w:rPr>
        <w:t xml:space="preserve"> </w:t>
      </w:r>
      <w:r>
        <w:rPr>
          <w:rStyle w:val="TableofcontentsNotItalic"/>
        </w:rPr>
        <w:tab/>
        <w:t>131</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 xml:space="preserve">Babel und die verschiedenen </w:t>
      </w:r>
      <w:r>
        <w:t>Rassen</w:t>
      </w:r>
      <w:r>
        <w:tab/>
        <w:t>132</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Gene, Völker und Sprachen</w:t>
      </w:r>
      <w:r>
        <w:tab/>
        <w:t>133</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Noah und die heutige Erdbevölkerung</w:t>
      </w:r>
      <w:r>
        <w:tab/>
        <w:t>134</w:t>
      </w:r>
    </w:p>
    <w:p w:rsidR="00BB7EDA" w:rsidRDefault="007D72B3">
      <w:pPr>
        <w:pStyle w:val="Verzeichnis3"/>
        <w:numPr>
          <w:ilvl w:val="1"/>
          <w:numId w:val="4"/>
        </w:numPr>
        <w:shd w:val="clear" w:color="auto" w:fill="auto"/>
        <w:tabs>
          <w:tab w:val="left" w:pos="677"/>
        </w:tabs>
        <w:spacing w:line="226" w:lineRule="exact"/>
        <w:ind w:firstLine="0"/>
      </w:pPr>
      <w:r>
        <w:t>Genesis 11 im Vergleich mit den Sprachenver-</w:t>
      </w:r>
    </w:p>
    <w:p w:rsidR="00BB7EDA" w:rsidRDefault="007D72B3">
      <w:pPr>
        <w:pStyle w:val="Verzeichnis3"/>
        <w:shd w:val="clear" w:color="auto" w:fill="auto"/>
        <w:spacing w:line="226" w:lineRule="exact"/>
        <w:ind w:left="720" w:firstLine="0"/>
      </w:pPr>
      <w:r>
        <w:t>wirrungs- und Turmbau-Erzählungen aus aller Welt. 135</w:t>
      </w:r>
    </w:p>
    <w:p w:rsidR="00BB7EDA" w:rsidRDefault="007D72B3">
      <w:pPr>
        <w:pStyle w:val="Verzeichnis5"/>
        <w:numPr>
          <w:ilvl w:val="2"/>
          <w:numId w:val="4"/>
        </w:numPr>
        <w:shd w:val="clear" w:color="auto" w:fill="auto"/>
        <w:tabs>
          <w:tab w:val="left" w:pos="677"/>
          <w:tab w:val="right" w:leader="dot" w:pos="5585"/>
        </w:tabs>
        <w:spacing w:line="226" w:lineRule="exact"/>
        <w:ind w:firstLine="0"/>
      </w:pPr>
      <w:hyperlink w:anchor="bookmark57" w:tooltip="Current Document">
        <w:r>
          <w:rPr>
            <w:rStyle w:val="Verzeichnis3Zchn"/>
          </w:rPr>
          <w:t xml:space="preserve">Eine Parallele aus </w:t>
        </w:r>
        <w:r>
          <w:rPr>
            <w:rStyle w:val="Verzeichnis3Zchn"/>
          </w:rPr>
          <w:t>Sumer</w:t>
        </w:r>
        <w:r>
          <w:rPr>
            <w:rStyle w:val="Verzeichnis3Zchn"/>
          </w:rPr>
          <w:tab/>
          <w:t>135</w:t>
        </w:r>
      </w:hyperlink>
    </w:p>
    <w:p w:rsidR="00BB7EDA" w:rsidRDefault="007D72B3">
      <w:pPr>
        <w:pStyle w:val="Verzeichnis5"/>
        <w:numPr>
          <w:ilvl w:val="2"/>
          <w:numId w:val="4"/>
        </w:numPr>
        <w:shd w:val="clear" w:color="auto" w:fill="auto"/>
        <w:tabs>
          <w:tab w:val="left" w:pos="677"/>
          <w:tab w:val="right" w:leader="dot" w:pos="5585"/>
        </w:tabs>
        <w:spacing w:line="226" w:lineRule="exact"/>
        <w:ind w:firstLine="0"/>
      </w:pPr>
      <w:hyperlink w:anchor="bookmark58" w:tooltip="Current Document">
        <w:r>
          <w:rPr>
            <w:rStyle w:val="Verzeichnis3Zchn"/>
          </w:rPr>
          <w:t>Babylonische Entsprechungen</w:t>
        </w:r>
        <w:r>
          <w:rPr>
            <w:rStyle w:val="Verzeichnis3Zchn"/>
          </w:rPr>
          <w:tab/>
          <w:t>135</w:t>
        </w:r>
      </w:hyperlink>
    </w:p>
    <w:p w:rsidR="00BB7EDA" w:rsidRDefault="007D72B3">
      <w:pPr>
        <w:pStyle w:val="Tableofcontents0"/>
        <w:numPr>
          <w:ilvl w:val="3"/>
          <w:numId w:val="4"/>
        </w:numPr>
        <w:shd w:val="clear" w:color="auto" w:fill="auto"/>
        <w:tabs>
          <w:tab w:val="left" w:pos="1400"/>
          <w:tab w:val="right" w:leader="dot" w:pos="5585"/>
        </w:tabs>
        <w:spacing w:line="226" w:lineRule="exact"/>
        <w:ind w:left="720"/>
      </w:pPr>
      <w:r>
        <w:t>Der Bericht des Berossus</w:t>
      </w:r>
      <w:r>
        <w:rPr>
          <w:rStyle w:val="TableofcontentsNotItalic"/>
        </w:rPr>
        <w:tab/>
        <w:t>135</w:t>
      </w:r>
    </w:p>
    <w:p w:rsidR="00BB7EDA" w:rsidRDefault="007D72B3">
      <w:pPr>
        <w:pStyle w:val="Tableofcontents0"/>
        <w:numPr>
          <w:ilvl w:val="3"/>
          <w:numId w:val="4"/>
        </w:numPr>
        <w:shd w:val="clear" w:color="auto" w:fill="auto"/>
        <w:tabs>
          <w:tab w:val="left" w:pos="1414"/>
          <w:tab w:val="right" w:leader="dot" w:pos="5585"/>
        </w:tabs>
        <w:spacing w:line="226" w:lineRule="exact"/>
        <w:ind w:left="720"/>
      </w:pPr>
      <w:r>
        <w:t>Babylonische Mythologie in der Bibel?</w:t>
      </w:r>
      <w:r>
        <w:rPr>
          <w:rStyle w:val="TableofcontentsNotItalic"/>
        </w:rPr>
        <w:t xml:space="preserve"> </w:t>
      </w:r>
      <w:r>
        <w:rPr>
          <w:rStyle w:val="TableofcontentsNotItalic"/>
        </w:rPr>
        <w:tab/>
        <w:t>136</w:t>
      </w:r>
    </w:p>
    <w:p w:rsidR="00BB7EDA" w:rsidRDefault="007D72B3">
      <w:pPr>
        <w:pStyle w:val="Tableofcontents0"/>
        <w:numPr>
          <w:ilvl w:val="0"/>
          <w:numId w:val="19"/>
        </w:numPr>
        <w:shd w:val="clear" w:color="auto" w:fill="auto"/>
        <w:tabs>
          <w:tab w:val="left" w:pos="1410"/>
          <w:tab w:val="right" w:leader="dot" w:pos="5585"/>
        </w:tabs>
        <w:spacing w:line="226" w:lineRule="exact"/>
        <w:ind w:left="720"/>
      </w:pPr>
      <w:r>
        <w:t>Zum Gilgamesch-Epos</w:t>
      </w:r>
      <w:r>
        <w:rPr>
          <w:rStyle w:val="TableofcontentsNotItalic"/>
        </w:rPr>
        <w:tab/>
        <w:t>137</w:t>
      </w:r>
    </w:p>
    <w:p w:rsidR="00BB7EDA" w:rsidRDefault="007D72B3">
      <w:pPr>
        <w:pStyle w:val="Tableofcontents0"/>
        <w:numPr>
          <w:ilvl w:val="0"/>
          <w:numId w:val="20"/>
        </w:numPr>
        <w:shd w:val="clear" w:color="auto" w:fill="auto"/>
        <w:tabs>
          <w:tab w:val="left" w:pos="1414"/>
          <w:tab w:val="left" w:leader="dot" w:pos="5255"/>
        </w:tabs>
        <w:spacing w:line="226" w:lineRule="exact"/>
        <w:ind w:left="720"/>
      </w:pPr>
      <w:r>
        <w:t>Kulturanthropologie und der Babel-Bibel-Streit</w:t>
      </w:r>
      <w:r>
        <w:rPr>
          <w:rStyle w:val="TableofcontentsNotItalic"/>
        </w:rPr>
        <w:tab/>
        <w:t>138</w:t>
      </w:r>
    </w:p>
    <w:p w:rsidR="00BB7EDA" w:rsidRDefault="007D72B3">
      <w:pPr>
        <w:pStyle w:val="Tableofcontents0"/>
        <w:numPr>
          <w:ilvl w:val="0"/>
          <w:numId w:val="20"/>
        </w:numPr>
        <w:shd w:val="clear" w:color="auto" w:fill="auto"/>
        <w:tabs>
          <w:tab w:val="left" w:pos="1419"/>
          <w:tab w:val="left" w:leader="dot" w:pos="5255"/>
        </w:tabs>
        <w:spacing w:line="226" w:lineRule="exact"/>
        <w:ind w:left="720"/>
      </w:pPr>
      <w:r>
        <w:t xml:space="preserve">Gen 1-11 im </w:t>
      </w:r>
      <w:r>
        <w:t>Spiegel der Volker-Traditionen</w:t>
      </w:r>
      <w:r>
        <w:rPr>
          <w:rStyle w:val="TableofcontentsNotItalic"/>
        </w:rPr>
        <w:tab/>
        <w:t>139</w:t>
      </w:r>
    </w:p>
    <w:p w:rsidR="00BB7EDA" w:rsidRDefault="007D72B3">
      <w:pPr>
        <w:pStyle w:val="Tableofcontents0"/>
        <w:numPr>
          <w:ilvl w:val="0"/>
          <w:numId w:val="20"/>
        </w:numPr>
        <w:shd w:val="clear" w:color="auto" w:fill="auto"/>
        <w:tabs>
          <w:tab w:val="left" w:pos="1414"/>
          <w:tab w:val="right" w:leader="dot" w:pos="5585"/>
        </w:tabs>
        <w:spacing w:line="226" w:lineRule="exact"/>
        <w:ind w:left="720"/>
      </w:pPr>
      <w:r>
        <w:t>Die „Missionars-Hypothese"</w:t>
      </w:r>
      <w:r>
        <w:rPr>
          <w:rStyle w:val="TableofcontentsNotItalic"/>
        </w:rPr>
        <w:tab/>
        <w:t xml:space="preserve"> 139</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Nord-Amerika</w:t>
      </w:r>
      <w:r>
        <w:tab/>
        <w:t>140</w:t>
      </w:r>
    </w:p>
    <w:p w:rsidR="00BB7EDA" w:rsidRDefault="007D72B3">
      <w:pPr>
        <w:pStyle w:val="Verzeichnis5"/>
        <w:numPr>
          <w:ilvl w:val="2"/>
          <w:numId w:val="4"/>
        </w:numPr>
        <w:shd w:val="clear" w:color="auto" w:fill="auto"/>
        <w:tabs>
          <w:tab w:val="left" w:pos="677"/>
          <w:tab w:val="right" w:leader="dot" w:pos="5585"/>
        </w:tabs>
        <w:spacing w:line="226" w:lineRule="exact"/>
        <w:ind w:firstLine="0"/>
      </w:pPr>
      <w:hyperlink w:anchor="bookmark59" w:tooltip="Current Document">
        <w:r>
          <w:rPr>
            <w:rStyle w:val="Verzeichnis3Zchn"/>
          </w:rPr>
          <w:t>Mittel-Amerika</w:t>
        </w:r>
        <w:r>
          <w:rPr>
            <w:rStyle w:val="Verzeichnis3Zchn"/>
          </w:rPr>
          <w:tab/>
          <w:t>141</w:t>
        </w:r>
      </w:hyperlink>
    </w:p>
    <w:p w:rsidR="00BB7EDA" w:rsidRDefault="007D72B3">
      <w:pPr>
        <w:pStyle w:val="Tableofcontents0"/>
        <w:numPr>
          <w:ilvl w:val="3"/>
          <w:numId w:val="4"/>
        </w:numPr>
        <w:shd w:val="clear" w:color="auto" w:fill="auto"/>
        <w:tabs>
          <w:tab w:val="left" w:pos="1400"/>
          <w:tab w:val="right" w:leader="dot" w:pos="5585"/>
        </w:tabs>
        <w:spacing w:line="226" w:lineRule="exact"/>
        <w:ind w:left="720"/>
      </w:pPr>
      <w:r>
        <w:t>Das aztekische Turmlied von Cholula</w:t>
      </w:r>
      <w:r>
        <w:rPr>
          <w:rStyle w:val="TableofcontentsNotItalic"/>
        </w:rPr>
        <w:tab/>
        <w:t>141</w:t>
      </w:r>
    </w:p>
    <w:p w:rsidR="00BB7EDA" w:rsidRDefault="007D72B3">
      <w:pPr>
        <w:pStyle w:val="Tableofcontents0"/>
        <w:numPr>
          <w:ilvl w:val="3"/>
          <w:numId w:val="4"/>
        </w:numPr>
        <w:shd w:val="clear" w:color="auto" w:fill="auto"/>
        <w:tabs>
          <w:tab w:val="left" w:pos="1410"/>
          <w:tab w:val="right" w:leader="dot" w:pos="5585"/>
        </w:tabs>
        <w:spacing w:line="226" w:lineRule="exact"/>
        <w:ind w:left="720"/>
      </w:pPr>
      <w:r>
        <w:t>Eine Erzählung aus Yucatan</w:t>
      </w:r>
      <w:r>
        <w:rPr>
          <w:rStyle w:val="TableofcontentsNotItalic"/>
        </w:rPr>
        <w:tab/>
        <w:t>143</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 xml:space="preserve">Süd-Amerika </w:t>
      </w:r>
      <w:r>
        <w:tab/>
        <w:t>143</w:t>
      </w:r>
    </w:p>
    <w:p w:rsidR="00BB7EDA" w:rsidRDefault="007D72B3">
      <w:pPr>
        <w:pStyle w:val="Tableofcontents0"/>
        <w:numPr>
          <w:ilvl w:val="3"/>
          <w:numId w:val="4"/>
        </w:numPr>
        <w:shd w:val="clear" w:color="auto" w:fill="auto"/>
        <w:tabs>
          <w:tab w:val="left" w:pos="1400"/>
          <w:tab w:val="right" w:leader="dot" w:pos="5585"/>
        </w:tabs>
        <w:spacing w:line="226" w:lineRule="exact"/>
        <w:ind w:left="720"/>
      </w:pPr>
      <w:r>
        <w:t xml:space="preserve">Eine Sage </w:t>
      </w:r>
      <w:r>
        <w:t>der Jurucares in Bolivien</w:t>
      </w:r>
      <w:r>
        <w:rPr>
          <w:rStyle w:val="TableofcontentsNotItalic"/>
        </w:rPr>
        <w:tab/>
        <w:t>143</w:t>
      </w:r>
    </w:p>
    <w:p w:rsidR="00BB7EDA" w:rsidRDefault="007D72B3">
      <w:pPr>
        <w:pStyle w:val="Tableofcontents0"/>
        <w:numPr>
          <w:ilvl w:val="0"/>
          <w:numId w:val="21"/>
        </w:numPr>
        <w:shd w:val="clear" w:color="auto" w:fill="auto"/>
        <w:tabs>
          <w:tab w:val="left" w:pos="1141"/>
          <w:tab w:val="right" w:leader="dot" w:pos="5585"/>
        </w:tabs>
        <w:spacing w:line="226" w:lineRule="exact"/>
        <w:ind w:left="720"/>
      </w:pPr>
      <w:r>
        <w:t>5.2 Die Turmbau-Geschichte der Acroas</w:t>
      </w:r>
      <w:r>
        <w:rPr>
          <w:rStyle w:val="TableofcontentsNotItalic"/>
        </w:rPr>
        <w:tab/>
        <w:t>144</w:t>
      </w:r>
    </w:p>
    <w:p w:rsidR="00BB7EDA" w:rsidRDefault="007D72B3">
      <w:pPr>
        <w:pStyle w:val="Verzeichnis3"/>
        <w:numPr>
          <w:ilvl w:val="2"/>
          <w:numId w:val="4"/>
        </w:numPr>
        <w:shd w:val="clear" w:color="auto" w:fill="auto"/>
        <w:tabs>
          <w:tab w:val="left" w:pos="677"/>
          <w:tab w:val="right" w:leader="dot" w:pos="5585"/>
        </w:tabs>
        <w:spacing w:line="226" w:lineRule="exact"/>
        <w:ind w:firstLine="0"/>
      </w:pPr>
      <w:r>
        <w:t xml:space="preserve">Korea </w:t>
      </w:r>
      <w:r>
        <w:tab/>
        <w:t xml:space="preserve"> 144</w:t>
      </w:r>
      <w:r>
        <w:br w:type="page"/>
      </w:r>
      <w:r>
        <w:fldChar w:fldCharType="end"/>
      </w:r>
    </w:p>
    <w:p w:rsidR="00BB7EDA" w:rsidRDefault="007D72B3">
      <w:pPr>
        <w:pStyle w:val="Other0"/>
        <w:framePr w:w="463" w:h="9144" w:wrap="around" w:hAnchor="margin" w:x="5250" w:y="-99"/>
        <w:shd w:val="clear" w:color="auto" w:fill="auto"/>
      </w:pPr>
      <w:r>
        <w:t>145</w:t>
      </w:r>
    </w:p>
    <w:p w:rsidR="00BB7EDA" w:rsidRDefault="007D72B3">
      <w:pPr>
        <w:pStyle w:val="Other0"/>
        <w:framePr w:w="463" w:h="9144" w:wrap="around" w:hAnchor="margin" w:x="5250" w:y="-99"/>
        <w:shd w:val="clear" w:color="auto" w:fill="auto"/>
      </w:pPr>
      <w:r>
        <w:t>145</w:t>
      </w:r>
    </w:p>
    <w:p w:rsidR="00BB7EDA" w:rsidRDefault="007D72B3">
      <w:pPr>
        <w:pStyle w:val="Other0"/>
        <w:framePr w:w="463" w:h="9144" w:wrap="around" w:hAnchor="margin" w:x="5250" w:y="-99"/>
        <w:shd w:val="clear" w:color="auto" w:fill="auto"/>
      </w:pPr>
      <w:r>
        <w:t>146</w:t>
      </w:r>
    </w:p>
    <w:p w:rsidR="00BB7EDA" w:rsidRDefault="007D72B3">
      <w:pPr>
        <w:pStyle w:val="Other0"/>
        <w:framePr w:w="463" w:h="9144" w:wrap="around" w:hAnchor="margin" w:x="5250" w:y="-99"/>
        <w:shd w:val="clear" w:color="auto" w:fill="auto"/>
      </w:pPr>
      <w:r>
        <w:t>147</w:t>
      </w:r>
    </w:p>
    <w:p w:rsidR="00BB7EDA" w:rsidRDefault="007D72B3">
      <w:pPr>
        <w:pStyle w:val="Other0"/>
        <w:framePr w:w="463" w:h="9144" w:wrap="around" w:hAnchor="margin" w:x="5250" w:y="-99"/>
        <w:shd w:val="clear" w:color="auto" w:fill="auto"/>
        <w:spacing w:after="457"/>
      </w:pPr>
      <w:r>
        <w:t>147</w:t>
      </w:r>
    </w:p>
    <w:p w:rsidR="00BB7EDA" w:rsidRDefault="007D72B3">
      <w:pPr>
        <w:pStyle w:val="Other20"/>
        <w:framePr w:w="463" w:h="9144" w:wrap="around" w:hAnchor="margin" w:x="5250" w:y="-99"/>
        <w:shd w:val="clear" w:color="auto" w:fill="auto"/>
        <w:spacing w:before="0" w:after="205" w:line="180" w:lineRule="exact"/>
      </w:pPr>
      <w:r>
        <w:t>149</w:t>
      </w:r>
    </w:p>
    <w:p w:rsidR="00BB7EDA" w:rsidRDefault="007D72B3">
      <w:pPr>
        <w:pStyle w:val="Other20"/>
        <w:framePr w:w="463" w:h="9144" w:wrap="around" w:hAnchor="margin" w:x="5250" w:y="-99"/>
        <w:shd w:val="clear" w:color="auto" w:fill="auto"/>
        <w:spacing w:before="0" w:after="0" w:line="230" w:lineRule="exact"/>
      </w:pPr>
      <w:r>
        <w:t>149</w:t>
      </w:r>
    </w:p>
    <w:p w:rsidR="00BB7EDA" w:rsidRDefault="007D72B3">
      <w:pPr>
        <w:pStyle w:val="Other0"/>
        <w:framePr w:w="463" w:h="9144" w:wrap="around" w:hAnchor="margin" w:x="5250" w:y="-99"/>
        <w:shd w:val="clear" w:color="auto" w:fill="auto"/>
        <w:spacing w:line="230" w:lineRule="exact"/>
      </w:pPr>
      <w:r>
        <w:t>149</w:t>
      </w:r>
    </w:p>
    <w:p w:rsidR="00BB7EDA" w:rsidRDefault="007D72B3">
      <w:pPr>
        <w:pStyle w:val="Other0"/>
        <w:framePr w:w="463" w:h="9144" w:wrap="around" w:hAnchor="margin" w:x="5250" w:y="-99"/>
        <w:shd w:val="clear" w:color="auto" w:fill="auto"/>
        <w:spacing w:line="230" w:lineRule="exact"/>
      </w:pPr>
      <w:r>
        <w:t>149</w:t>
      </w:r>
    </w:p>
    <w:p w:rsidR="00BB7EDA" w:rsidRDefault="007D72B3">
      <w:pPr>
        <w:pStyle w:val="Other0"/>
        <w:framePr w:w="463" w:h="9144" w:wrap="around" w:hAnchor="margin" w:x="5250" w:y="-99"/>
        <w:shd w:val="clear" w:color="auto" w:fill="auto"/>
        <w:spacing w:line="230" w:lineRule="exact"/>
      </w:pPr>
      <w:r>
        <w:t>150</w:t>
      </w:r>
    </w:p>
    <w:p w:rsidR="00BB7EDA" w:rsidRDefault="007D72B3">
      <w:pPr>
        <w:pStyle w:val="Other0"/>
        <w:framePr w:w="463" w:h="9144" w:wrap="around" w:hAnchor="margin" w:x="5250" w:y="-99"/>
        <w:shd w:val="clear" w:color="auto" w:fill="auto"/>
        <w:spacing w:line="230" w:lineRule="exact"/>
      </w:pPr>
      <w:r>
        <w:t>151</w:t>
      </w:r>
    </w:p>
    <w:p w:rsidR="00BB7EDA" w:rsidRDefault="007D72B3">
      <w:pPr>
        <w:pStyle w:val="Other20"/>
        <w:framePr w:w="463" w:h="9144" w:wrap="around" w:hAnchor="margin" w:x="5250" w:y="-99"/>
        <w:shd w:val="clear" w:color="auto" w:fill="auto"/>
        <w:spacing w:before="0" w:after="0" w:line="230" w:lineRule="exact"/>
      </w:pPr>
      <w:r>
        <w:t>152</w:t>
      </w:r>
    </w:p>
    <w:p w:rsidR="00BB7EDA" w:rsidRDefault="007D72B3">
      <w:pPr>
        <w:pStyle w:val="Other0"/>
        <w:framePr w:w="463" w:h="9144" w:wrap="around" w:hAnchor="margin" w:x="5250" w:y="-99"/>
        <w:shd w:val="clear" w:color="auto" w:fill="auto"/>
        <w:spacing w:line="230" w:lineRule="exact"/>
      </w:pPr>
      <w:r>
        <w:t>152</w:t>
      </w:r>
    </w:p>
    <w:p w:rsidR="00BB7EDA" w:rsidRDefault="007D72B3">
      <w:pPr>
        <w:pStyle w:val="Other0"/>
        <w:framePr w:w="463" w:h="9144" w:wrap="around" w:hAnchor="margin" w:x="5250" w:y="-99"/>
        <w:shd w:val="clear" w:color="auto" w:fill="auto"/>
        <w:spacing w:line="230" w:lineRule="exact"/>
      </w:pPr>
      <w:r>
        <w:t>152</w:t>
      </w:r>
    </w:p>
    <w:p w:rsidR="00BB7EDA" w:rsidRDefault="007D72B3">
      <w:pPr>
        <w:pStyle w:val="Other0"/>
        <w:framePr w:w="463" w:h="9144" w:wrap="around" w:hAnchor="margin" w:x="5250" w:y="-99"/>
        <w:shd w:val="clear" w:color="auto" w:fill="auto"/>
        <w:spacing w:line="230" w:lineRule="exact"/>
      </w:pPr>
      <w:r>
        <w:t>152</w:t>
      </w:r>
    </w:p>
    <w:p w:rsidR="00BB7EDA" w:rsidRDefault="007D72B3">
      <w:pPr>
        <w:pStyle w:val="Other0"/>
        <w:framePr w:w="463" w:h="9144" w:wrap="around" w:hAnchor="margin" w:x="5250" w:y="-99"/>
        <w:shd w:val="clear" w:color="auto" w:fill="auto"/>
        <w:spacing w:line="230" w:lineRule="exact"/>
      </w:pPr>
      <w:r>
        <w:t>153</w:t>
      </w:r>
    </w:p>
    <w:p w:rsidR="00BB7EDA" w:rsidRDefault="007D72B3">
      <w:pPr>
        <w:pStyle w:val="Other0"/>
        <w:framePr w:w="463" w:h="9144" w:wrap="around" w:hAnchor="margin" w:x="5250" w:y="-99"/>
        <w:shd w:val="clear" w:color="auto" w:fill="auto"/>
        <w:spacing w:after="220" w:line="230" w:lineRule="exact"/>
      </w:pPr>
      <w:r>
        <w:t>154</w:t>
      </w:r>
    </w:p>
    <w:p w:rsidR="00BB7EDA" w:rsidRDefault="007D72B3">
      <w:pPr>
        <w:pStyle w:val="Other20"/>
        <w:framePr w:w="463" w:h="9144" w:wrap="around" w:hAnchor="margin" w:x="5250" w:y="-99"/>
        <w:shd w:val="clear" w:color="auto" w:fill="auto"/>
        <w:spacing w:before="0" w:after="218" w:line="180" w:lineRule="exact"/>
      </w:pPr>
      <w:r>
        <w:t>155</w:t>
      </w:r>
    </w:p>
    <w:p w:rsidR="00BB7EDA" w:rsidRDefault="007D72B3">
      <w:pPr>
        <w:pStyle w:val="Other0"/>
        <w:framePr w:w="463" w:h="9144" w:wrap="around" w:hAnchor="margin" w:x="5250" w:y="-99"/>
        <w:shd w:val="clear" w:color="auto" w:fill="auto"/>
      </w:pPr>
      <w:r>
        <w:t>155</w:t>
      </w:r>
    </w:p>
    <w:p w:rsidR="00BB7EDA" w:rsidRDefault="007D72B3">
      <w:pPr>
        <w:pStyle w:val="Other0"/>
        <w:framePr w:w="463" w:h="9144" w:wrap="around" w:hAnchor="margin" w:x="5250" w:y="-99"/>
        <w:shd w:val="clear" w:color="auto" w:fill="auto"/>
      </w:pPr>
      <w:r>
        <w:t>155</w:t>
      </w:r>
    </w:p>
    <w:p w:rsidR="00BB7EDA" w:rsidRDefault="007D72B3">
      <w:pPr>
        <w:pStyle w:val="Other0"/>
        <w:framePr w:w="463" w:h="9144" w:wrap="around" w:hAnchor="margin" w:x="5250" w:y="-99"/>
        <w:shd w:val="clear" w:color="auto" w:fill="auto"/>
        <w:spacing w:after="217"/>
      </w:pPr>
      <w:r>
        <w:t>156</w:t>
      </w:r>
    </w:p>
    <w:p w:rsidR="00BB7EDA" w:rsidRDefault="007D72B3">
      <w:pPr>
        <w:pStyle w:val="Other0"/>
        <w:framePr w:w="463" w:h="9144" w:wrap="around" w:hAnchor="margin" w:x="5250" w:y="-99"/>
        <w:shd w:val="clear" w:color="auto" w:fill="auto"/>
        <w:spacing w:after="205" w:line="180" w:lineRule="exact"/>
      </w:pPr>
      <w:r>
        <w:t>157</w:t>
      </w:r>
    </w:p>
    <w:p w:rsidR="00BB7EDA" w:rsidRDefault="007D72B3">
      <w:pPr>
        <w:pStyle w:val="Other20"/>
        <w:framePr w:w="463" w:h="9144" w:wrap="around" w:hAnchor="margin" w:x="5250" w:y="-99"/>
        <w:shd w:val="clear" w:color="auto" w:fill="auto"/>
        <w:spacing w:before="0" w:after="0" w:line="230" w:lineRule="exact"/>
      </w:pPr>
      <w:r>
        <w:t>158</w:t>
      </w:r>
    </w:p>
    <w:p w:rsidR="00BB7EDA" w:rsidRDefault="007D72B3">
      <w:pPr>
        <w:pStyle w:val="Other0"/>
        <w:framePr w:w="463" w:h="9144" w:wrap="around" w:hAnchor="margin" w:x="5250" w:y="-99"/>
        <w:shd w:val="clear" w:color="auto" w:fill="auto"/>
        <w:spacing w:line="230" w:lineRule="exact"/>
      </w:pPr>
      <w:r>
        <w:t>158</w:t>
      </w:r>
    </w:p>
    <w:p w:rsidR="00BB7EDA" w:rsidRDefault="007D72B3">
      <w:pPr>
        <w:pStyle w:val="Other0"/>
        <w:framePr w:w="463" w:h="9144" w:wrap="around" w:hAnchor="margin" w:x="5250" w:y="-99"/>
        <w:shd w:val="clear" w:color="auto" w:fill="auto"/>
        <w:spacing w:after="220" w:line="230" w:lineRule="exact"/>
      </w:pPr>
      <w:r>
        <w:t>158</w:t>
      </w:r>
    </w:p>
    <w:p w:rsidR="00BB7EDA" w:rsidRDefault="007D72B3">
      <w:pPr>
        <w:pStyle w:val="Other0"/>
        <w:framePr w:w="463" w:h="9144" w:wrap="around" w:hAnchor="margin" w:x="5250" w:y="-99"/>
        <w:shd w:val="clear" w:color="auto" w:fill="auto"/>
        <w:spacing w:after="218" w:line="180" w:lineRule="exact"/>
      </w:pPr>
      <w:r>
        <w:t>158</w:t>
      </w:r>
    </w:p>
    <w:p w:rsidR="00BB7EDA" w:rsidRDefault="007D72B3">
      <w:pPr>
        <w:pStyle w:val="Other0"/>
        <w:framePr w:w="463" w:h="9144" w:wrap="around" w:hAnchor="margin" w:x="5250" w:y="-99"/>
        <w:shd w:val="clear" w:color="auto" w:fill="auto"/>
      </w:pPr>
      <w:r>
        <w:t>159</w:t>
      </w:r>
    </w:p>
    <w:p w:rsidR="00BB7EDA" w:rsidRDefault="007D72B3">
      <w:pPr>
        <w:pStyle w:val="Other0"/>
        <w:framePr w:w="463" w:h="9144" w:wrap="around" w:hAnchor="margin" w:x="5250" w:y="-99"/>
        <w:shd w:val="clear" w:color="auto" w:fill="auto"/>
      </w:pPr>
      <w:r>
        <w:t>160</w:t>
      </w:r>
    </w:p>
    <w:p w:rsidR="00BB7EDA" w:rsidRDefault="007D72B3">
      <w:pPr>
        <w:pStyle w:val="Other20"/>
        <w:framePr w:w="463" w:h="9144" w:wrap="around" w:hAnchor="margin" w:x="5250" w:y="-99"/>
        <w:shd w:val="clear" w:color="auto" w:fill="auto"/>
        <w:spacing w:before="0" w:after="0" w:line="226" w:lineRule="exact"/>
      </w:pPr>
      <w:r>
        <w:t>160</w:t>
      </w:r>
    </w:p>
    <w:p w:rsidR="00BB7EDA" w:rsidRDefault="007D72B3">
      <w:pPr>
        <w:pStyle w:val="Other0"/>
        <w:framePr w:w="463" w:h="9144" w:wrap="around" w:hAnchor="margin" w:x="5250" w:y="-99"/>
        <w:shd w:val="clear" w:color="auto" w:fill="auto"/>
      </w:pPr>
      <w:r>
        <w:t>161</w:t>
      </w:r>
    </w:p>
    <w:p w:rsidR="00BB7EDA" w:rsidRDefault="007D72B3">
      <w:pPr>
        <w:pStyle w:val="Other0"/>
        <w:framePr w:w="463" w:h="9144" w:wrap="around" w:hAnchor="margin" w:x="5250" w:y="-99"/>
        <w:shd w:val="clear" w:color="auto" w:fill="auto"/>
      </w:pPr>
      <w:r>
        <w:t>161</w:t>
      </w:r>
    </w:p>
    <w:p w:rsidR="00BB7EDA" w:rsidRDefault="007D72B3">
      <w:pPr>
        <w:pStyle w:val="Bodytext20"/>
        <w:shd w:val="clear" w:color="auto" w:fill="auto"/>
        <w:tabs>
          <w:tab w:val="left" w:leader="dot" w:pos="5039"/>
        </w:tabs>
        <w:spacing w:before="0" w:line="226" w:lineRule="exact"/>
        <w:ind w:left="720"/>
      </w:pPr>
      <w:r>
        <w:t xml:space="preserve">China </w:t>
      </w:r>
      <w:r>
        <w:tab/>
      </w:r>
    </w:p>
    <w:p w:rsidR="00BB7EDA" w:rsidRDefault="007D72B3">
      <w:pPr>
        <w:pStyle w:val="Bodytext70"/>
        <w:numPr>
          <w:ilvl w:val="0"/>
          <w:numId w:val="22"/>
        </w:numPr>
        <w:shd w:val="clear" w:color="auto" w:fill="auto"/>
        <w:tabs>
          <w:tab w:val="left" w:pos="1405"/>
          <w:tab w:val="left" w:leader="dot" w:pos="5039"/>
        </w:tabs>
        <w:ind w:left="720"/>
      </w:pPr>
      <w:r>
        <w:t>Zur Tradition der Miao-Stämme</w:t>
      </w:r>
      <w:r>
        <w:rPr>
          <w:rStyle w:val="Bodytext7NotItalic"/>
        </w:rPr>
        <w:tab/>
      </w:r>
    </w:p>
    <w:p w:rsidR="00BB7EDA" w:rsidRDefault="007D72B3">
      <w:pPr>
        <w:pStyle w:val="Bodytext70"/>
        <w:numPr>
          <w:ilvl w:val="0"/>
          <w:numId w:val="22"/>
        </w:numPr>
        <w:shd w:val="clear" w:color="auto" w:fill="auto"/>
        <w:tabs>
          <w:tab w:val="left" w:pos="1419"/>
          <w:tab w:val="left" w:leader="dot" w:pos="5039"/>
        </w:tabs>
        <w:ind w:left="720"/>
      </w:pPr>
      <w:r>
        <w:rPr>
          <w:rStyle w:val="Bodytext7SmallCaps"/>
          <w:i/>
          <w:iCs/>
        </w:rPr>
        <w:t>Riems</w:t>
      </w:r>
      <w:r>
        <w:t xml:space="preserve"> Urteil über die Miao-Überlieferung</w:t>
      </w:r>
      <w:r>
        <w:rPr>
          <w:rStyle w:val="Bodytext7NotItalic"/>
        </w:rPr>
        <w:tab/>
      </w:r>
    </w:p>
    <w:p w:rsidR="00BB7EDA" w:rsidRDefault="007D72B3">
      <w:pPr>
        <w:pStyle w:val="Bodytext20"/>
        <w:shd w:val="clear" w:color="auto" w:fill="auto"/>
        <w:tabs>
          <w:tab w:val="left" w:leader="dot" w:pos="5039"/>
        </w:tabs>
        <w:spacing w:before="0" w:line="226" w:lineRule="exact"/>
        <w:ind w:left="720"/>
      </w:pPr>
      <w:r>
        <w:t xml:space="preserve">Südsee </w:t>
      </w:r>
      <w:r>
        <w:tab/>
      </w:r>
    </w:p>
    <w:p w:rsidR="00BB7EDA" w:rsidRDefault="007D72B3">
      <w:pPr>
        <w:pStyle w:val="Bodytext20"/>
        <w:shd w:val="clear" w:color="auto" w:fill="auto"/>
        <w:tabs>
          <w:tab w:val="left" w:leader="dot" w:pos="5039"/>
        </w:tabs>
        <w:spacing w:before="0" w:after="180" w:line="226" w:lineRule="exact"/>
        <w:ind w:left="720"/>
      </w:pPr>
      <w:r>
        <w:t xml:space="preserve">Afrika </w:t>
      </w:r>
      <w:r>
        <w:tab/>
      </w:r>
    </w:p>
    <w:p w:rsidR="00BB7EDA" w:rsidRDefault="007D72B3">
      <w:pPr>
        <w:pStyle w:val="Bodytext20"/>
        <w:shd w:val="clear" w:color="auto" w:fill="auto"/>
        <w:spacing w:before="0" w:line="226" w:lineRule="exact"/>
        <w:ind w:left="720"/>
      </w:pPr>
      <w:r>
        <w:t>Methodik einer Konfrontation zwischen</w:t>
      </w:r>
    </w:p>
    <w:p w:rsidR="00BB7EDA" w:rsidRDefault="007D72B3">
      <w:pPr>
        <w:pStyle w:val="Bodytext20"/>
        <w:shd w:val="clear" w:color="auto" w:fill="auto"/>
        <w:tabs>
          <w:tab w:val="left" w:leader="dot" w:pos="5039"/>
        </w:tabs>
        <w:spacing w:before="0" w:line="226" w:lineRule="exact"/>
        <w:ind w:left="720"/>
      </w:pPr>
      <w:r>
        <w:t xml:space="preserve">Schöpfung und Evolution </w:t>
      </w:r>
      <w:r>
        <w:tab/>
      </w:r>
    </w:p>
    <w:p w:rsidR="00BB7EDA" w:rsidRDefault="007D72B3">
      <w:pPr>
        <w:pStyle w:val="Bodytext20"/>
        <w:shd w:val="clear" w:color="auto" w:fill="auto"/>
        <w:tabs>
          <w:tab w:val="left" w:leader="dot" w:pos="5039"/>
        </w:tabs>
        <w:spacing w:before="0" w:line="226" w:lineRule="exact"/>
        <w:ind w:left="720"/>
        <w:jc w:val="left"/>
      </w:pPr>
      <w:r>
        <w:t xml:space="preserve">Wie kann man Sprachentstehungs Aussagen überprüfen? </w:t>
      </w:r>
      <w:r>
        <w:tab/>
      </w:r>
    </w:p>
    <w:p w:rsidR="00BB7EDA" w:rsidRDefault="007D72B3">
      <w:pPr>
        <w:pStyle w:val="Bodytext20"/>
        <w:shd w:val="clear" w:color="auto" w:fill="auto"/>
        <w:tabs>
          <w:tab w:val="left" w:leader="dot" w:pos="5039"/>
        </w:tabs>
        <w:spacing w:before="0" w:line="226" w:lineRule="exact"/>
        <w:ind w:left="720"/>
      </w:pPr>
      <w:r>
        <w:t>Zur Methode der Deduktion</w:t>
      </w:r>
      <w:r>
        <w:tab/>
      </w:r>
    </w:p>
    <w:p w:rsidR="00BB7EDA" w:rsidRDefault="007D72B3">
      <w:pPr>
        <w:pStyle w:val="Bodytext70"/>
        <w:numPr>
          <w:ilvl w:val="0"/>
          <w:numId w:val="23"/>
        </w:numPr>
        <w:shd w:val="clear" w:color="auto" w:fill="auto"/>
        <w:tabs>
          <w:tab w:val="left" w:pos="1414"/>
          <w:tab w:val="left" w:leader="dot" w:pos="5039"/>
        </w:tabs>
        <w:ind w:left="720"/>
      </w:pPr>
      <w:r>
        <w:t>Nur mit Fakten arbeiten</w:t>
      </w:r>
      <w:r>
        <w:rPr>
          <w:rStyle w:val="Bodytext7NotItalic"/>
        </w:rPr>
        <w:tab/>
      </w:r>
    </w:p>
    <w:p w:rsidR="00BB7EDA" w:rsidRDefault="007D72B3">
      <w:pPr>
        <w:pStyle w:val="Bodytext70"/>
        <w:numPr>
          <w:ilvl w:val="0"/>
          <w:numId w:val="23"/>
        </w:numPr>
        <w:shd w:val="clear" w:color="auto" w:fill="auto"/>
        <w:tabs>
          <w:tab w:val="left" w:pos="1419"/>
          <w:tab w:val="left" w:leader="dot" w:pos="5039"/>
        </w:tabs>
        <w:ind w:left="720"/>
      </w:pPr>
      <w:r>
        <w:t xml:space="preserve">Hypothetische </w:t>
      </w:r>
      <w:r>
        <w:t>Sprachrekonstruktionen</w:t>
      </w:r>
      <w:r>
        <w:rPr>
          <w:rStyle w:val="Bodytext7NotItalic"/>
        </w:rPr>
        <w:tab/>
      </w:r>
    </w:p>
    <w:p w:rsidR="00BB7EDA" w:rsidRDefault="007D72B3">
      <w:pPr>
        <w:pStyle w:val="Bodytext20"/>
        <w:shd w:val="clear" w:color="auto" w:fill="auto"/>
        <w:tabs>
          <w:tab w:val="left" w:leader="dot" w:pos="5039"/>
        </w:tabs>
        <w:spacing w:before="0" w:line="226" w:lineRule="exact"/>
        <w:ind w:left="720"/>
      </w:pPr>
      <w:r>
        <w:t>Skizze der Deduktions-Methodologie</w:t>
      </w:r>
      <w:r>
        <w:tab/>
      </w:r>
    </w:p>
    <w:p w:rsidR="00BB7EDA" w:rsidRDefault="007D72B3">
      <w:pPr>
        <w:pStyle w:val="Bodytext20"/>
        <w:shd w:val="clear" w:color="auto" w:fill="auto"/>
        <w:tabs>
          <w:tab w:val="left" w:leader="dot" w:pos="5039"/>
        </w:tabs>
        <w:spacing w:before="0" w:line="226" w:lineRule="exact"/>
        <w:ind w:left="720" w:right="620"/>
      </w:pPr>
      <w:r>
        <w:t>Deduktionen im Blick auf die ältesten Sprachen.... Evolution: Primitiver Anfang</w:t>
      </w:r>
      <w:r>
        <w:tab/>
      </w:r>
    </w:p>
    <w:p w:rsidR="00BB7EDA" w:rsidRDefault="007D72B3">
      <w:pPr>
        <w:pStyle w:val="Bodytext70"/>
        <w:numPr>
          <w:ilvl w:val="0"/>
          <w:numId w:val="24"/>
        </w:numPr>
        <w:shd w:val="clear" w:color="auto" w:fill="auto"/>
        <w:tabs>
          <w:tab w:val="left" w:pos="1410"/>
          <w:tab w:val="left" w:leader="dot" w:pos="5039"/>
        </w:tabs>
        <w:ind w:left="720"/>
      </w:pPr>
      <w:r>
        <w:t xml:space="preserve">Johann Christian </w:t>
      </w:r>
      <w:r>
        <w:rPr>
          <w:rStyle w:val="Bodytext7SmallCaps"/>
          <w:i/>
          <w:iCs/>
        </w:rPr>
        <w:t>Adelung</w:t>
      </w:r>
      <w:r>
        <w:rPr>
          <w:rStyle w:val="Bodytext7NotItalic"/>
        </w:rPr>
        <w:tab/>
      </w:r>
    </w:p>
    <w:p w:rsidR="00BB7EDA" w:rsidRDefault="007D72B3">
      <w:pPr>
        <w:pStyle w:val="Bodytext70"/>
        <w:numPr>
          <w:ilvl w:val="0"/>
          <w:numId w:val="24"/>
        </w:numPr>
        <w:shd w:val="clear" w:color="auto" w:fill="auto"/>
        <w:tabs>
          <w:tab w:val="left" w:pos="1424"/>
          <w:tab w:val="left" w:leader="dot" w:pos="5039"/>
        </w:tabs>
        <w:ind w:left="720"/>
      </w:pPr>
      <w:r>
        <w:t xml:space="preserve">August </w:t>
      </w:r>
      <w:r>
        <w:rPr>
          <w:rStyle w:val="Bodytext7SmallCaps"/>
          <w:i/>
          <w:iCs/>
        </w:rPr>
        <w:t>Schleicher</w:t>
      </w:r>
      <w:r>
        <w:rPr>
          <w:rStyle w:val="Bodytext7NotItalic"/>
        </w:rPr>
        <w:tab/>
      </w:r>
    </w:p>
    <w:p w:rsidR="00BB7EDA" w:rsidRDefault="007D72B3">
      <w:pPr>
        <w:pStyle w:val="Bodytext20"/>
        <w:shd w:val="clear" w:color="auto" w:fill="auto"/>
        <w:tabs>
          <w:tab w:val="left" w:leader="dot" w:pos="5039"/>
        </w:tabs>
        <w:spacing w:before="0" w:line="226" w:lineRule="exact"/>
        <w:ind w:left="720"/>
      </w:pPr>
      <w:r>
        <w:t>Bibel: Komplexer Anfang</w:t>
      </w:r>
      <w:r>
        <w:tab/>
      </w:r>
    </w:p>
    <w:p w:rsidR="00BB7EDA" w:rsidRDefault="007D72B3">
      <w:pPr>
        <w:pStyle w:val="Bodytext70"/>
        <w:numPr>
          <w:ilvl w:val="0"/>
          <w:numId w:val="25"/>
        </w:numPr>
        <w:shd w:val="clear" w:color="auto" w:fill="auto"/>
        <w:tabs>
          <w:tab w:val="left" w:pos="1410"/>
          <w:tab w:val="left" w:leader="dot" w:pos="5039"/>
        </w:tabs>
        <w:ind w:left="720"/>
      </w:pPr>
      <w:r>
        <w:t>Zum Gerichtsakt in Genesis 11</w:t>
      </w:r>
      <w:r>
        <w:rPr>
          <w:rStyle w:val="Bodytext7NotItalic"/>
        </w:rPr>
        <w:t xml:space="preserve"> </w:t>
      </w:r>
      <w:r>
        <w:rPr>
          <w:rStyle w:val="Bodytext7NotItalic"/>
        </w:rPr>
        <w:tab/>
      </w:r>
    </w:p>
    <w:p w:rsidR="00BB7EDA" w:rsidRDefault="007D72B3">
      <w:pPr>
        <w:pStyle w:val="Bodytext20"/>
        <w:shd w:val="clear" w:color="auto" w:fill="auto"/>
        <w:spacing w:before="0" w:line="226" w:lineRule="exact"/>
        <w:ind w:left="720"/>
      </w:pPr>
      <w:r>
        <w:t xml:space="preserve">Deduktionen </w:t>
      </w:r>
      <w:r>
        <w:t>im Blick auf die Sprachen</w:t>
      </w:r>
    </w:p>
    <w:p w:rsidR="00BB7EDA" w:rsidRDefault="007D72B3">
      <w:pPr>
        <w:pStyle w:val="Bodytext20"/>
        <w:shd w:val="clear" w:color="auto" w:fill="auto"/>
        <w:tabs>
          <w:tab w:val="left" w:leader="dot" w:pos="5039"/>
        </w:tabs>
        <w:spacing w:before="0" w:line="226" w:lineRule="exact"/>
        <w:ind w:left="720"/>
      </w:pPr>
      <w:r>
        <w:t>derEingeborenen-Völker</w:t>
      </w:r>
      <w:r>
        <w:tab/>
      </w:r>
    </w:p>
    <w:p w:rsidR="00BB7EDA" w:rsidRDefault="007D72B3">
      <w:pPr>
        <w:pStyle w:val="Bodytext20"/>
        <w:shd w:val="clear" w:color="auto" w:fill="auto"/>
        <w:spacing w:before="0" w:line="226" w:lineRule="exact"/>
        <w:ind w:left="720"/>
        <w:jc w:val="left"/>
      </w:pPr>
      <w:r>
        <w:t>Evolution: Die Sprachen der Eingeborenen müssen primitiver sein als die der hoch zivilisierten Völker .</w:t>
      </w:r>
    </w:p>
    <w:p w:rsidR="00BB7EDA" w:rsidRDefault="007D72B3">
      <w:pPr>
        <w:pStyle w:val="Bodytext70"/>
        <w:numPr>
          <w:ilvl w:val="0"/>
          <w:numId w:val="26"/>
        </w:numPr>
        <w:shd w:val="clear" w:color="auto" w:fill="auto"/>
        <w:tabs>
          <w:tab w:val="left" w:pos="1414"/>
          <w:tab w:val="left" w:leader="dot" w:pos="5039"/>
        </w:tabs>
        <w:ind w:left="720"/>
      </w:pPr>
      <w:r>
        <w:t xml:space="preserve">Johann Christian </w:t>
      </w:r>
      <w:r>
        <w:rPr>
          <w:rStyle w:val="Bodytext7SmallCaps"/>
          <w:i/>
          <w:iCs/>
        </w:rPr>
        <w:t>Adelung</w:t>
      </w:r>
      <w:r>
        <w:rPr>
          <w:rStyle w:val="Bodytext7NotItalic"/>
        </w:rPr>
        <w:tab/>
      </w:r>
    </w:p>
    <w:p w:rsidR="00BB7EDA" w:rsidRDefault="007D72B3">
      <w:pPr>
        <w:pStyle w:val="Bodytext70"/>
        <w:numPr>
          <w:ilvl w:val="0"/>
          <w:numId w:val="26"/>
        </w:numPr>
        <w:shd w:val="clear" w:color="auto" w:fill="auto"/>
        <w:tabs>
          <w:tab w:val="left" w:pos="1419"/>
          <w:tab w:val="left" w:leader="dot" w:pos="5039"/>
        </w:tabs>
        <w:ind w:left="720"/>
      </w:pPr>
      <w:r>
        <w:t xml:space="preserve">Heymann </w:t>
      </w:r>
      <w:r>
        <w:rPr>
          <w:rStyle w:val="Bodytext7SmallCaps"/>
          <w:i/>
          <w:iCs/>
        </w:rPr>
        <w:t>Steinthal</w:t>
      </w:r>
      <w:r>
        <w:rPr>
          <w:rStyle w:val="Bodytext7NotItalic"/>
        </w:rPr>
        <w:tab/>
      </w:r>
    </w:p>
    <w:p w:rsidR="00BB7EDA" w:rsidRDefault="007D72B3">
      <w:pPr>
        <w:pStyle w:val="Bodytext20"/>
        <w:shd w:val="clear" w:color="auto" w:fill="auto"/>
        <w:spacing w:before="0" w:line="226" w:lineRule="exact"/>
        <w:ind w:left="720" w:right="620"/>
      </w:pPr>
      <w:r>
        <w:t xml:space="preserve">Bibel: Die Sprachen der Eingeborenen müssen nicht </w:t>
      </w:r>
      <w:r>
        <w:t>primitiver sein als die der hochzivilisierten Völker .. Deduktionen im Blick auf den Verlauf</w:t>
      </w:r>
    </w:p>
    <w:p w:rsidR="00BB7EDA" w:rsidRDefault="007D72B3">
      <w:pPr>
        <w:pStyle w:val="Bodytext20"/>
        <w:shd w:val="clear" w:color="auto" w:fill="auto"/>
        <w:tabs>
          <w:tab w:val="left" w:leader="dot" w:pos="5039"/>
        </w:tabs>
        <w:spacing w:before="0" w:line="226" w:lineRule="exact"/>
        <w:ind w:left="720"/>
      </w:pPr>
      <w:r>
        <w:t>der Sprachgeschichte</w:t>
      </w:r>
      <w:r>
        <w:tab/>
      </w:r>
    </w:p>
    <w:p w:rsidR="00BB7EDA" w:rsidRDefault="007D72B3">
      <w:pPr>
        <w:pStyle w:val="Bodytext20"/>
        <w:shd w:val="clear" w:color="auto" w:fill="auto"/>
        <w:tabs>
          <w:tab w:val="left" w:leader="dot" w:pos="5039"/>
        </w:tabs>
        <w:spacing w:before="0" w:line="226" w:lineRule="exact"/>
        <w:ind w:left="720" w:right="620"/>
      </w:pPr>
      <w:r>
        <w:t>Evolution: Aufwärtsentwicklung auf allen Ebenen .. Bibel: Aufwärts- und Abwärtsentwicklungen</w:t>
      </w:r>
      <w:r>
        <w:tab/>
      </w:r>
    </w:p>
    <w:p w:rsidR="00BB7EDA" w:rsidRDefault="007D72B3">
      <w:pPr>
        <w:pStyle w:val="Bodytext70"/>
        <w:numPr>
          <w:ilvl w:val="0"/>
          <w:numId w:val="27"/>
        </w:numPr>
        <w:shd w:val="clear" w:color="auto" w:fill="auto"/>
        <w:tabs>
          <w:tab w:val="left" w:pos="1410"/>
        </w:tabs>
        <w:ind w:left="720"/>
      </w:pPr>
      <w:r>
        <w:t>Entwicklungsmöglichkeiten im Bereich</w:t>
      </w:r>
    </w:p>
    <w:p w:rsidR="00BB7EDA" w:rsidRDefault="007D72B3">
      <w:pPr>
        <w:pStyle w:val="Bodytext70"/>
        <w:shd w:val="clear" w:color="auto" w:fill="auto"/>
        <w:tabs>
          <w:tab w:val="left" w:leader="dot" w:pos="5039"/>
        </w:tabs>
        <w:ind w:left="1400"/>
      </w:pPr>
      <w:r>
        <w:t xml:space="preserve">der Lexik </w:t>
      </w:r>
      <w:r>
        <w:t>und der Semantik</w:t>
      </w:r>
      <w:r>
        <w:rPr>
          <w:rStyle w:val="Bodytext7NotItalic"/>
        </w:rPr>
        <w:tab/>
      </w:r>
    </w:p>
    <w:p w:rsidR="00BB7EDA" w:rsidRDefault="007D72B3">
      <w:pPr>
        <w:pStyle w:val="Bodytext70"/>
        <w:numPr>
          <w:ilvl w:val="0"/>
          <w:numId w:val="27"/>
        </w:numPr>
        <w:shd w:val="clear" w:color="auto" w:fill="auto"/>
        <w:tabs>
          <w:tab w:val="left" w:pos="1419"/>
        </w:tabs>
        <w:ind w:left="720"/>
      </w:pPr>
      <w:r>
        <w:t>Zerfallserscheinungen auf dem Gebiet der</w:t>
      </w:r>
    </w:p>
    <w:p w:rsidR="00BB7EDA" w:rsidRDefault="007D72B3">
      <w:pPr>
        <w:pStyle w:val="Bodytext70"/>
        <w:shd w:val="clear" w:color="auto" w:fill="auto"/>
        <w:tabs>
          <w:tab w:val="left" w:leader="dot" w:pos="5039"/>
        </w:tabs>
        <w:ind w:left="1400"/>
      </w:pPr>
      <w:r>
        <w:t>Formenlehre</w:t>
      </w:r>
      <w:r>
        <w:rPr>
          <w:rStyle w:val="Bodytext7NotItalic"/>
        </w:rPr>
        <w:tab/>
      </w:r>
    </w:p>
    <w:p w:rsidR="00BB7EDA" w:rsidRDefault="007D72B3">
      <w:pPr>
        <w:pStyle w:val="Bodytext70"/>
        <w:numPr>
          <w:ilvl w:val="0"/>
          <w:numId w:val="27"/>
        </w:numPr>
        <w:shd w:val="clear" w:color="auto" w:fill="auto"/>
        <w:tabs>
          <w:tab w:val="left" w:pos="1424"/>
          <w:tab w:val="left" w:leader="dot" w:pos="5039"/>
        </w:tabs>
        <w:ind w:left="720"/>
      </w:pPr>
      <w:r>
        <w:t>Der ergiebigste Bereich: Die Formenlehre</w:t>
      </w:r>
      <w:r>
        <w:rPr>
          <w:rStyle w:val="Bodytext7NotItalic"/>
        </w:rPr>
        <w:tab/>
      </w:r>
    </w:p>
    <w:p w:rsidR="00BB7EDA" w:rsidRDefault="007D72B3">
      <w:pPr>
        <w:pStyle w:val="Bodytext20"/>
        <w:shd w:val="clear" w:color="auto" w:fill="auto"/>
        <w:tabs>
          <w:tab w:val="left" w:leader="dot" w:pos="5039"/>
        </w:tabs>
        <w:spacing w:before="0" w:line="226" w:lineRule="exact"/>
        <w:ind w:left="720"/>
      </w:pPr>
      <w:r>
        <w:t>Zusammenfassung</w:t>
      </w:r>
      <w:r>
        <w:tab/>
      </w:r>
    </w:p>
    <w:p w:rsidR="00BB7EDA" w:rsidRDefault="007D72B3">
      <w:pPr>
        <w:pStyle w:val="Bodytext20"/>
        <w:shd w:val="clear" w:color="auto" w:fill="auto"/>
        <w:tabs>
          <w:tab w:val="left" w:leader="dot" w:pos="5039"/>
        </w:tabs>
        <w:spacing w:before="0" w:line="226" w:lineRule="exact"/>
        <w:ind w:left="720" w:right="620"/>
        <w:sectPr w:rsidR="00BB7EDA">
          <w:footerReference w:type="even" r:id="rId12"/>
          <w:footerReference w:type="default" r:id="rId13"/>
          <w:footerReference w:type="first" r:id="rId14"/>
          <w:pgSz w:w="7266" w:h="11422"/>
          <w:pgMar w:top="653" w:right="819" w:bottom="1079" w:left="788" w:header="0" w:footer="3" w:gutter="0"/>
          <w:cols w:space="720"/>
          <w:noEndnote/>
          <w:titlePg/>
          <w:docGrid w:linePitch="360"/>
        </w:sectPr>
      </w:pPr>
      <w:r>
        <w:t xml:space="preserve">Deduktionen aus den evolutionistischen </w:t>
      </w:r>
      <w:r>
        <w:t>Aussagen . Deduktionen aus den biblischen Aussagen</w:t>
      </w:r>
      <w:r>
        <w:tab/>
      </w:r>
    </w:p>
    <w:p w:rsidR="00BB7EDA" w:rsidRDefault="007D72B3">
      <w:pPr>
        <w:pStyle w:val="Other20"/>
        <w:framePr w:w="463" w:h="9629" w:wrap="around" w:hAnchor="margin" w:x="5241" w:y="136"/>
        <w:shd w:val="clear" w:color="auto" w:fill="auto"/>
        <w:spacing w:before="0" w:after="0" w:line="226" w:lineRule="exact"/>
      </w:pPr>
      <w:r>
        <w:t>163</w:t>
      </w:r>
    </w:p>
    <w:p w:rsidR="00BB7EDA" w:rsidRDefault="007D72B3">
      <w:pPr>
        <w:pStyle w:val="Other20"/>
        <w:framePr w:w="463" w:h="9629" w:wrap="around" w:hAnchor="margin" w:x="5241" w:y="136"/>
        <w:shd w:val="clear" w:color="auto" w:fill="auto"/>
        <w:spacing w:before="0" w:after="0" w:line="226" w:lineRule="exact"/>
      </w:pPr>
      <w:r>
        <w:t>163</w:t>
      </w:r>
    </w:p>
    <w:p w:rsidR="00BB7EDA" w:rsidRDefault="007D72B3">
      <w:pPr>
        <w:pStyle w:val="Other0"/>
        <w:framePr w:w="463" w:h="9629" w:wrap="around" w:hAnchor="margin" w:x="5241" w:y="136"/>
        <w:shd w:val="clear" w:color="auto" w:fill="auto"/>
      </w:pPr>
      <w:r>
        <w:t>164</w:t>
      </w:r>
    </w:p>
    <w:p w:rsidR="00BB7EDA" w:rsidRDefault="007D72B3">
      <w:pPr>
        <w:pStyle w:val="Other0"/>
        <w:framePr w:w="463" w:h="9629" w:wrap="around" w:hAnchor="margin" w:x="5241" w:y="136"/>
        <w:shd w:val="clear" w:color="auto" w:fill="auto"/>
      </w:pPr>
      <w:r>
        <w:t>165</w:t>
      </w:r>
    </w:p>
    <w:p w:rsidR="00BB7EDA" w:rsidRDefault="007D72B3">
      <w:pPr>
        <w:pStyle w:val="Other0"/>
        <w:framePr w:w="463" w:h="9629" w:wrap="around" w:hAnchor="margin" w:x="5241" w:y="136"/>
        <w:shd w:val="clear" w:color="auto" w:fill="auto"/>
      </w:pPr>
      <w:r>
        <w:t>165</w:t>
      </w:r>
    </w:p>
    <w:p w:rsidR="00BB7EDA" w:rsidRDefault="007D72B3">
      <w:pPr>
        <w:pStyle w:val="Other0"/>
        <w:framePr w:w="463" w:h="9629" w:wrap="around" w:hAnchor="margin" w:x="5241" w:y="136"/>
        <w:shd w:val="clear" w:color="auto" w:fill="auto"/>
      </w:pPr>
      <w:r>
        <w:t>166</w:t>
      </w:r>
    </w:p>
    <w:p w:rsidR="00BB7EDA" w:rsidRDefault="007D72B3">
      <w:pPr>
        <w:pStyle w:val="Other0"/>
        <w:framePr w:w="463" w:h="9629" w:wrap="around" w:hAnchor="margin" w:x="5241" w:y="136"/>
        <w:shd w:val="clear" w:color="auto" w:fill="auto"/>
      </w:pPr>
      <w:r>
        <w:t>166</w:t>
      </w:r>
    </w:p>
    <w:p w:rsidR="00BB7EDA" w:rsidRDefault="007D72B3">
      <w:pPr>
        <w:pStyle w:val="Other0"/>
        <w:framePr w:w="463" w:h="9629" w:wrap="around" w:hAnchor="margin" w:x="5241" w:y="136"/>
        <w:shd w:val="clear" w:color="auto" w:fill="auto"/>
      </w:pPr>
      <w:r>
        <w:t>167</w:t>
      </w:r>
    </w:p>
    <w:p w:rsidR="00BB7EDA" w:rsidRDefault="007D72B3">
      <w:pPr>
        <w:pStyle w:val="Other20"/>
        <w:framePr w:w="463" w:h="9629" w:wrap="around" w:hAnchor="margin" w:x="5241" w:y="136"/>
        <w:shd w:val="clear" w:color="auto" w:fill="auto"/>
        <w:spacing w:before="0" w:after="0" w:line="226" w:lineRule="exact"/>
      </w:pPr>
      <w:r>
        <w:t>167</w:t>
      </w:r>
    </w:p>
    <w:p w:rsidR="00BB7EDA" w:rsidRDefault="007D72B3">
      <w:pPr>
        <w:pStyle w:val="Other0"/>
        <w:framePr w:w="463" w:h="9629" w:wrap="around" w:hAnchor="margin" w:x="5241" w:y="136"/>
        <w:shd w:val="clear" w:color="auto" w:fill="auto"/>
      </w:pPr>
      <w:r>
        <w:t>168</w:t>
      </w:r>
    </w:p>
    <w:p w:rsidR="00BB7EDA" w:rsidRDefault="007D72B3">
      <w:pPr>
        <w:pStyle w:val="Other0"/>
        <w:framePr w:w="463" w:h="9629" w:wrap="around" w:hAnchor="margin" w:x="5241" w:y="136"/>
        <w:shd w:val="clear" w:color="auto" w:fill="auto"/>
      </w:pPr>
      <w:r>
        <w:t>169</w:t>
      </w:r>
    </w:p>
    <w:p w:rsidR="00BB7EDA" w:rsidRDefault="007D72B3">
      <w:pPr>
        <w:pStyle w:val="Other0"/>
        <w:framePr w:w="463" w:h="9629" w:wrap="around" w:hAnchor="margin" w:x="5241" w:y="136"/>
        <w:shd w:val="clear" w:color="auto" w:fill="auto"/>
      </w:pPr>
      <w:r>
        <w:t>169</w:t>
      </w:r>
    </w:p>
    <w:p w:rsidR="00BB7EDA" w:rsidRDefault="007D72B3">
      <w:pPr>
        <w:pStyle w:val="Other0"/>
        <w:framePr w:w="463" w:h="9629" w:wrap="around" w:hAnchor="margin" w:x="5241" w:y="136"/>
        <w:shd w:val="clear" w:color="auto" w:fill="auto"/>
      </w:pPr>
      <w:r>
        <w:t>171</w:t>
      </w:r>
    </w:p>
    <w:p w:rsidR="00BB7EDA" w:rsidRDefault="007D72B3">
      <w:pPr>
        <w:pStyle w:val="Other0"/>
        <w:framePr w:w="463" w:h="9629" w:wrap="around" w:hAnchor="margin" w:x="5241" w:y="136"/>
        <w:shd w:val="clear" w:color="auto" w:fill="auto"/>
      </w:pPr>
      <w:r>
        <w:t>171</w:t>
      </w:r>
    </w:p>
    <w:p w:rsidR="00BB7EDA" w:rsidRDefault="007D72B3">
      <w:pPr>
        <w:pStyle w:val="Other0"/>
        <w:framePr w:w="463" w:h="9629" w:wrap="around" w:hAnchor="margin" w:x="5241" w:y="136"/>
        <w:shd w:val="clear" w:color="auto" w:fill="auto"/>
      </w:pPr>
      <w:r>
        <w:t>172</w:t>
      </w:r>
    </w:p>
    <w:p w:rsidR="00BB7EDA" w:rsidRDefault="007D72B3">
      <w:pPr>
        <w:pStyle w:val="Other0"/>
        <w:framePr w:w="463" w:h="9629" w:wrap="around" w:hAnchor="margin" w:x="5241" w:y="136"/>
        <w:shd w:val="clear" w:color="auto" w:fill="auto"/>
      </w:pPr>
      <w:r>
        <w:t>173</w:t>
      </w:r>
    </w:p>
    <w:p w:rsidR="00BB7EDA" w:rsidRDefault="007D72B3">
      <w:pPr>
        <w:pStyle w:val="Other0"/>
        <w:framePr w:w="463" w:h="9629" w:wrap="around" w:hAnchor="margin" w:x="5241" w:y="136"/>
        <w:shd w:val="clear" w:color="auto" w:fill="auto"/>
      </w:pPr>
      <w:r>
        <w:t>174</w:t>
      </w:r>
    </w:p>
    <w:p w:rsidR="00BB7EDA" w:rsidRDefault="007D72B3">
      <w:pPr>
        <w:pStyle w:val="Other0"/>
        <w:framePr w:w="463" w:h="9629" w:wrap="around" w:hAnchor="margin" w:x="5241" w:y="136"/>
        <w:shd w:val="clear" w:color="auto" w:fill="auto"/>
      </w:pPr>
      <w:r>
        <w:t>175</w:t>
      </w:r>
    </w:p>
    <w:p w:rsidR="00BB7EDA" w:rsidRDefault="007D72B3">
      <w:pPr>
        <w:pStyle w:val="Other0"/>
        <w:framePr w:w="463" w:h="9629" w:wrap="around" w:hAnchor="margin" w:x="5241" w:y="136"/>
        <w:shd w:val="clear" w:color="auto" w:fill="auto"/>
      </w:pPr>
      <w:r>
        <w:t>175</w:t>
      </w:r>
    </w:p>
    <w:p w:rsidR="00BB7EDA" w:rsidRDefault="007D72B3">
      <w:pPr>
        <w:pStyle w:val="Other0"/>
        <w:framePr w:w="463" w:h="9629" w:wrap="around" w:hAnchor="margin" w:x="5241" w:y="136"/>
        <w:shd w:val="clear" w:color="auto" w:fill="auto"/>
      </w:pPr>
      <w:r>
        <w:t>175</w:t>
      </w:r>
    </w:p>
    <w:p w:rsidR="00BB7EDA" w:rsidRDefault="007D72B3">
      <w:pPr>
        <w:pStyle w:val="Other0"/>
        <w:framePr w:w="463" w:h="9629" w:wrap="around" w:hAnchor="margin" w:x="5241" w:y="136"/>
        <w:shd w:val="clear" w:color="auto" w:fill="auto"/>
      </w:pPr>
      <w:r>
        <w:t>176</w:t>
      </w:r>
    </w:p>
    <w:p w:rsidR="00BB7EDA" w:rsidRDefault="007D72B3">
      <w:pPr>
        <w:pStyle w:val="Other0"/>
        <w:framePr w:w="463" w:h="9629" w:wrap="around" w:hAnchor="margin" w:x="5241" w:y="136"/>
        <w:shd w:val="clear" w:color="auto" w:fill="auto"/>
      </w:pPr>
      <w:r>
        <w:t>176</w:t>
      </w:r>
    </w:p>
    <w:p w:rsidR="00BB7EDA" w:rsidRDefault="007D72B3">
      <w:pPr>
        <w:pStyle w:val="Other0"/>
        <w:framePr w:w="463" w:h="9629" w:wrap="around" w:hAnchor="margin" w:x="5241" w:y="136"/>
        <w:shd w:val="clear" w:color="auto" w:fill="auto"/>
      </w:pPr>
      <w:r>
        <w:t>176</w:t>
      </w:r>
    </w:p>
    <w:p w:rsidR="00BB7EDA" w:rsidRDefault="007D72B3">
      <w:pPr>
        <w:pStyle w:val="Other0"/>
        <w:framePr w:w="463" w:h="9629" w:wrap="around" w:hAnchor="margin" w:x="5241" w:y="136"/>
        <w:shd w:val="clear" w:color="auto" w:fill="auto"/>
      </w:pPr>
      <w:r>
        <w:t>177</w:t>
      </w:r>
    </w:p>
    <w:p w:rsidR="00BB7EDA" w:rsidRDefault="007D72B3">
      <w:pPr>
        <w:pStyle w:val="Other0"/>
        <w:framePr w:w="463" w:h="9629" w:wrap="around" w:hAnchor="margin" w:x="5241" w:y="136"/>
        <w:shd w:val="clear" w:color="auto" w:fill="auto"/>
      </w:pPr>
      <w:r>
        <w:t>177</w:t>
      </w:r>
    </w:p>
    <w:p w:rsidR="00BB7EDA" w:rsidRDefault="007D72B3">
      <w:pPr>
        <w:pStyle w:val="Other0"/>
        <w:framePr w:w="463" w:h="9629" w:wrap="around" w:hAnchor="margin" w:x="5241" w:y="136"/>
        <w:shd w:val="clear" w:color="auto" w:fill="auto"/>
      </w:pPr>
      <w:r>
        <w:t>177</w:t>
      </w:r>
    </w:p>
    <w:p w:rsidR="00BB7EDA" w:rsidRDefault="007D72B3">
      <w:pPr>
        <w:pStyle w:val="Other0"/>
        <w:framePr w:w="463" w:h="9629" w:wrap="around" w:hAnchor="margin" w:x="5241" w:y="136"/>
        <w:shd w:val="clear" w:color="auto" w:fill="auto"/>
      </w:pPr>
      <w:r>
        <w:t>177</w:t>
      </w:r>
    </w:p>
    <w:p w:rsidR="00BB7EDA" w:rsidRDefault="007D72B3">
      <w:pPr>
        <w:pStyle w:val="Other20"/>
        <w:framePr w:w="463" w:h="9629" w:wrap="around" w:hAnchor="margin" w:x="5241" w:y="136"/>
        <w:shd w:val="clear" w:color="auto" w:fill="auto"/>
        <w:spacing w:before="0" w:after="0" w:line="226" w:lineRule="exact"/>
      </w:pPr>
      <w:r>
        <w:t>178</w:t>
      </w:r>
    </w:p>
    <w:p w:rsidR="00BB7EDA" w:rsidRDefault="007D72B3">
      <w:pPr>
        <w:pStyle w:val="Other0"/>
        <w:framePr w:w="463" w:h="9629" w:wrap="around" w:hAnchor="margin" w:x="5241" w:y="136"/>
        <w:shd w:val="clear" w:color="auto" w:fill="auto"/>
      </w:pPr>
      <w:r>
        <w:t>178</w:t>
      </w:r>
    </w:p>
    <w:p w:rsidR="00BB7EDA" w:rsidRDefault="007D72B3">
      <w:pPr>
        <w:pStyle w:val="Other0"/>
        <w:framePr w:w="463" w:h="9629" w:wrap="around" w:hAnchor="margin" w:x="5241" w:y="136"/>
        <w:shd w:val="clear" w:color="auto" w:fill="auto"/>
      </w:pPr>
      <w:r>
        <w:t>179</w:t>
      </w:r>
    </w:p>
    <w:p w:rsidR="00BB7EDA" w:rsidRDefault="007D72B3">
      <w:pPr>
        <w:pStyle w:val="Other0"/>
        <w:framePr w:w="463" w:h="9629" w:wrap="around" w:hAnchor="margin" w:x="5241" w:y="136"/>
        <w:shd w:val="clear" w:color="auto" w:fill="auto"/>
      </w:pPr>
      <w:r>
        <w:t>179</w:t>
      </w:r>
    </w:p>
    <w:p w:rsidR="00BB7EDA" w:rsidRDefault="007D72B3">
      <w:pPr>
        <w:pStyle w:val="Other0"/>
        <w:framePr w:w="463" w:h="9629" w:wrap="around" w:hAnchor="margin" w:x="5241" w:y="136"/>
        <w:shd w:val="clear" w:color="auto" w:fill="auto"/>
      </w:pPr>
      <w:r>
        <w:t>180</w:t>
      </w:r>
    </w:p>
    <w:p w:rsidR="00BB7EDA" w:rsidRDefault="007D72B3">
      <w:pPr>
        <w:pStyle w:val="Other0"/>
        <w:framePr w:w="463" w:h="9629" w:wrap="around" w:hAnchor="margin" w:x="5241" w:y="136"/>
        <w:shd w:val="clear" w:color="auto" w:fill="auto"/>
      </w:pPr>
      <w:r>
        <w:t>181</w:t>
      </w:r>
    </w:p>
    <w:p w:rsidR="00BB7EDA" w:rsidRDefault="007D72B3">
      <w:pPr>
        <w:pStyle w:val="Other20"/>
        <w:framePr w:w="463" w:h="9629" w:wrap="around" w:hAnchor="margin" w:x="5241" w:y="136"/>
        <w:shd w:val="clear" w:color="auto" w:fill="auto"/>
        <w:spacing w:before="0" w:after="0" w:line="226" w:lineRule="exact"/>
      </w:pPr>
      <w:r>
        <w:t>182</w:t>
      </w:r>
    </w:p>
    <w:p w:rsidR="00BB7EDA" w:rsidRDefault="007D72B3">
      <w:pPr>
        <w:pStyle w:val="Other0"/>
        <w:framePr w:w="463" w:h="9629" w:wrap="around" w:hAnchor="margin" w:x="5241" w:y="136"/>
        <w:shd w:val="clear" w:color="auto" w:fill="auto"/>
      </w:pPr>
      <w:r>
        <w:t>182</w:t>
      </w:r>
    </w:p>
    <w:p w:rsidR="00BB7EDA" w:rsidRDefault="007D72B3">
      <w:pPr>
        <w:pStyle w:val="Other0"/>
        <w:framePr w:w="463" w:h="9629" w:wrap="around" w:hAnchor="margin" w:x="5241" w:y="136"/>
        <w:shd w:val="clear" w:color="auto" w:fill="auto"/>
      </w:pPr>
      <w:r>
        <w:t>183</w:t>
      </w:r>
    </w:p>
    <w:p w:rsidR="00BB7EDA" w:rsidRDefault="007D72B3">
      <w:pPr>
        <w:pStyle w:val="Other0"/>
        <w:framePr w:w="463" w:h="9629" w:wrap="around" w:hAnchor="margin" w:x="5241" w:y="136"/>
        <w:shd w:val="clear" w:color="auto" w:fill="auto"/>
        <w:spacing w:after="217"/>
      </w:pPr>
      <w:r>
        <w:t>184</w:t>
      </w:r>
    </w:p>
    <w:p w:rsidR="00BB7EDA" w:rsidRDefault="007D72B3">
      <w:pPr>
        <w:pStyle w:val="Other0"/>
        <w:framePr w:w="463" w:h="9629" w:wrap="around" w:hAnchor="margin" w:x="5241" w:y="136"/>
        <w:shd w:val="clear" w:color="auto" w:fill="auto"/>
        <w:spacing w:after="485" w:line="180" w:lineRule="exact"/>
      </w:pPr>
      <w:r>
        <w:t>184</w:t>
      </w:r>
    </w:p>
    <w:p w:rsidR="00BB7EDA" w:rsidRDefault="007D72B3">
      <w:pPr>
        <w:pStyle w:val="Other0"/>
        <w:framePr w:w="463" w:h="9629" w:wrap="around" w:hAnchor="margin" w:x="5241" w:y="136"/>
        <w:shd w:val="clear" w:color="auto" w:fill="auto"/>
        <w:spacing w:line="180" w:lineRule="exact"/>
        <w:ind w:left="140"/>
      </w:pPr>
      <w:r>
        <w:t>13</w:t>
      </w:r>
    </w:p>
    <w:p w:rsidR="00BB7EDA" w:rsidRDefault="007D72B3">
      <w:pPr>
        <w:pStyle w:val="Bodytext20"/>
        <w:shd w:val="clear" w:color="auto" w:fill="auto"/>
        <w:spacing w:before="0" w:line="226" w:lineRule="exact"/>
        <w:ind w:left="720"/>
      </w:pPr>
      <w:r>
        <w:t>Erste Untersuchung:</w:t>
      </w:r>
    </w:p>
    <w:p w:rsidR="00BB7EDA" w:rsidRDefault="007D72B3">
      <w:pPr>
        <w:pStyle w:val="Bodytext20"/>
        <w:shd w:val="clear" w:color="auto" w:fill="auto"/>
        <w:tabs>
          <w:tab w:val="left" w:leader="dot" w:pos="4783"/>
        </w:tabs>
        <w:spacing w:before="0" w:line="226" w:lineRule="exact"/>
        <w:ind w:left="720"/>
      </w:pPr>
      <w:r>
        <w:t xml:space="preserve">Die ältesten Sprachen der </w:t>
      </w:r>
      <w:r>
        <w:t>Welt</w:t>
      </w:r>
      <w:r>
        <w:tab/>
      </w:r>
    </w:p>
    <w:p w:rsidR="00BB7EDA" w:rsidRDefault="007D72B3">
      <w:pPr>
        <w:pStyle w:val="Bodytext20"/>
        <w:shd w:val="clear" w:color="auto" w:fill="auto"/>
        <w:tabs>
          <w:tab w:val="left" w:leader="dot" w:pos="4783"/>
        </w:tabs>
        <w:spacing w:before="0" w:line="226" w:lineRule="exact"/>
        <w:ind w:left="720"/>
      </w:pPr>
      <w:r>
        <w:t>Das Sumerische</w:t>
      </w:r>
      <w:r>
        <w:tab/>
      </w:r>
    </w:p>
    <w:p w:rsidR="00BB7EDA" w:rsidRDefault="007D72B3">
      <w:pPr>
        <w:pStyle w:val="Bodytext20"/>
        <w:shd w:val="clear" w:color="auto" w:fill="auto"/>
        <w:tabs>
          <w:tab w:val="left" w:leader="dot" w:pos="4783"/>
        </w:tabs>
        <w:spacing w:before="0" w:line="226" w:lineRule="exact"/>
        <w:ind w:left="720"/>
      </w:pPr>
      <w:r>
        <w:t>Perioden der Sprachgeschichte</w:t>
      </w:r>
      <w:r>
        <w:tab/>
      </w:r>
    </w:p>
    <w:p w:rsidR="00BB7EDA" w:rsidRDefault="007D72B3">
      <w:pPr>
        <w:pStyle w:val="Bodytext20"/>
        <w:shd w:val="clear" w:color="auto" w:fill="auto"/>
        <w:tabs>
          <w:tab w:val="left" w:leader="dot" w:pos="4783"/>
        </w:tabs>
        <w:spacing w:before="0" w:line="226" w:lineRule="exact"/>
        <w:ind w:left="720"/>
      </w:pPr>
      <w:r>
        <w:t>Zur Wiederentdeckung des Sumerischen</w:t>
      </w:r>
      <w:r>
        <w:tab/>
      </w:r>
    </w:p>
    <w:p w:rsidR="00BB7EDA" w:rsidRDefault="007D72B3">
      <w:pPr>
        <w:pStyle w:val="Bodytext20"/>
        <w:shd w:val="clear" w:color="auto" w:fill="auto"/>
        <w:tabs>
          <w:tab w:val="left" w:leader="dot" w:pos="4783"/>
        </w:tabs>
        <w:spacing w:before="0" w:line="226" w:lineRule="exact"/>
        <w:ind w:left="720"/>
      </w:pPr>
      <w:r>
        <w:t>Zur Einordnung des Sumerischen</w:t>
      </w:r>
      <w:r>
        <w:tab/>
      </w:r>
    </w:p>
    <w:p w:rsidR="00BB7EDA" w:rsidRDefault="007D72B3">
      <w:pPr>
        <w:pStyle w:val="Bodytext20"/>
        <w:shd w:val="clear" w:color="auto" w:fill="auto"/>
        <w:tabs>
          <w:tab w:val="left" w:leader="dot" w:pos="4783"/>
        </w:tabs>
        <w:spacing w:before="0" w:line="226" w:lineRule="exact"/>
        <w:ind w:left="720"/>
      </w:pPr>
      <w:r>
        <w:t>Bemerkungen zum Nominalsystem</w:t>
      </w:r>
      <w:r>
        <w:tab/>
      </w:r>
    </w:p>
    <w:p w:rsidR="00BB7EDA" w:rsidRDefault="007D72B3">
      <w:pPr>
        <w:pStyle w:val="Bodytext20"/>
        <w:shd w:val="clear" w:color="auto" w:fill="auto"/>
        <w:tabs>
          <w:tab w:val="left" w:leader="dot" w:pos="4783"/>
        </w:tabs>
        <w:spacing w:before="0" w:line="226" w:lineRule="exact"/>
        <w:ind w:left="720"/>
      </w:pPr>
      <w:r>
        <w:t>Zum sumerischen Kasussystem</w:t>
      </w:r>
      <w:r>
        <w:tab/>
      </w:r>
    </w:p>
    <w:p w:rsidR="00BB7EDA" w:rsidRDefault="007D72B3">
      <w:pPr>
        <w:pStyle w:val="Bodytext20"/>
        <w:shd w:val="clear" w:color="auto" w:fill="auto"/>
        <w:tabs>
          <w:tab w:val="left" w:leader="dot" w:pos="4783"/>
        </w:tabs>
        <w:spacing w:before="0" w:line="226" w:lineRule="exact"/>
        <w:ind w:left="720"/>
      </w:pPr>
      <w:r>
        <w:t>Bemerkungen zum Verbalsystem</w:t>
      </w:r>
      <w:r>
        <w:tab/>
      </w:r>
    </w:p>
    <w:p w:rsidR="00BB7EDA" w:rsidRDefault="007D72B3">
      <w:pPr>
        <w:pStyle w:val="Bodytext20"/>
        <w:shd w:val="clear" w:color="auto" w:fill="auto"/>
        <w:tabs>
          <w:tab w:val="left" w:leader="dot" w:pos="4783"/>
        </w:tabs>
        <w:spacing w:before="0" w:line="226" w:lineRule="exact"/>
        <w:ind w:left="720"/>
      </w:pPr>
      <w:r>
        <w:t>Das Akkadische</w:t>
      </w:r>
      <w:r>
        <w:tab/>
      </w:r>
    </w:p>
    <w:p w:rsidR="00BB7EDA" w:rsidRDefault="007D72B3">
      <w:pPr>
        <w:pStyle w:val="Bodytext20"/>
        <w:shd w:val="clear" w:color="auto" w:fill="auto"/>
        <w:tabs>
          <w:tab w:val="left" w:leader="dot" w:pos="4783"/>
        </w:tabs>
        <w:spacing w:before="0" w:line="226" w:lineRule="exact"/>
        <w:ind w:left="720"/>
      </w:pPr>
      <w:r>
        <w:t>Zur Einordnung des Akkadisc</w:t>
      </w:r>
      <w:r>
        <w:t xml:space="preserve">hen </w:t>
      </w:r>
      <w:r>
        <w:tab/>
      </w:r>
    </w:p>
    <w:p w:rsidR="00BB7EDA" w:rsidRDefault="007D72B3">
      <w:pPr>
        <w:pStyle w:val="Bodytext20"/>
        <w:shd w:val="clear" w:color="auto" w:fill="auto"/>
        <w:tabs>
          <w:tab w:val="left" w:leader="dot" w:pos="4783"/>
        </w:tabs>
        <w:spacing w:before="0" w:line="226" w:lineRule="exact"/>
        <w:ind w:left="720"/>
      </w:pPr>
      <w:r>
        <w:t>Perioden der Sprachgeschichte</w:t>
      </w:r>
      <w:r>
        <w:tab/>
      </w:r>
    </w:p>
    <w:p w:rsidR="00BB7EDA" w:rsidRDefault="007D72B3">
      <w:pPr>
        <w:pStyle w:val="Bodytext20"/>
        <w:shd w:val="clear" w:color="auto" w:fill="auto"/>
        <w:tabs>
          <w:tab w:val="left" w:leader="dot" w:pos="4783"/>
        </w:tabs>
        <w:spacing w:before="0" w:line="226" w:lineRule="exact"/>
        <w:ind w:left="720"/>
      </w:pPr>
      <w:r>
        <w:t>Zum Nominalsystem</w:t>
      </w:r>
      <w:r>
        <w:tab/>
      </w:r>
    </w:p>
    <w:p w:rsidR="00BB7EDA" w:rsidRDefault="007D72B3">
      <w:pPr>
        <w:pStyle w:val="Bodytext20"/>
        <w:shd w:val="clear" w:color="auto" w:fill="auto"/>
        <w:tabs>
          <w:tab w:val="left" w:leader="dot" w:pos="4783"/>
        </w:tabs>
        <w:spacing w:before="0" w:line="226" w:lineRule="exact"/>
        <w:ind w:left="720"/>
      </w:pPr>
      <w:r>
        <w:t>Zum Verbalsystem</w:t>
      </w:r>
      <w:r>
        <w:tab/>
      </w:r>
    </w:p>
    <w:p w:rsidR="00BB7EDA" w:rsidRDefault="007D72B3">
      <w:pPr>
        <w:pStyle w:val="Bodytext80"/>
        <w:numPr>
          <w:ilvl w:val="0"/>
          <w:numId w:val="28"/>
        </w:numPr>
        <w:shd w:val="clear" w:color="auto" w:fill="auto"/>
        <w:tabs>
          <w:tab w:val="left" w:pos="1400"/>
          <w:tab w:val="left" w:leader="dot" w:pos="4783"/>
        </w:tabs>
        <w:ind w:left="720"/>
      </w:pPr>
      <w:r>
        <w:t>Der G-Stamm</w:t>
      </w:r>
      <w:r>
        <w:rPr>
          <w:rStyle w:val="Bodytext8NotItalic"/>
        </w:rPr>
        <w:tab/>
      </w:r>
    </w:p>
    <w:p w:rsidR="00BB7EDA" w:rsidRDefault="007D72B3">
      <w:pPr>
        <w:pStyle w:val="Bodytext80"/>
        <w:numPr>
          <w:ilvl w:val="0"/>
          <w:numId w:val="28"/>
        </w:numPr>
        <w:shd w:val="clear" w:color="auto" w:fill="auto"/>
        <w:tabs>
          <w:tab w:val="left" w:pos="1414"/>
          <w:tab w:val="left" w:leader="dot" w:pos="4783"/>
        </w:tabs>
        <w:ind w:left="720"/>
      </w:pPr>
      <w:r>
        <w:t>DerN-Stamm</w:t>
      </w:r>
      <w:r>
        <w:rPr>
          <w:rStyle w:val="Bodytext8NotItalic"/>
        </w:rPr>
        <w:tab/>
      </w:r>
    </w:p>
    <w:p w:rsidR="00BB7EDA" w:rsidRDefault="007D72B3">
      <w:pPr>
        <w:pStyle w:val="Bodytext80"/>
        <w:shd w:val="clear" w:color="auto" w:fill="auto"/>
        <w:tabs>
          <w:tab w:val="left" w:leader="dot" w:pos="4783"/>
        </w:tabs>
        <w:ind w:left="720"/>
      </w:pPr>
      <w:r>
        <w:t>6.2.43 Der D-Stamm</w:t>
      </w:r>
      <w:r>
        <w:rPr>
          <w:rStyle w:val="Bodytext8NotItalic"/>
        </w:rPr>
        <w:tab/>
      </w:r>
    </w:p>
    <w:p w:rsidR="00BB7EDA" w:rsidRDefault="007D72B3">
      <w:pPr>
        <w:pStyle w:val="Bodytext80"/>
        <w:numPr>
          <w:ilvl w:val="0"/>
          <w:numId w:val="29"/>
        </w:numPr>
        <w:shd w:val="clear" w:color="auto" w:fill="auto"/>
        <w:tabs>
          <w:tab w:val="left" w:pos="1414"/>
          <w:tab w:val="left" w:leader="dot" w:pos="4783"/>
        </w:tabs>
        <w:ind w:left="720"/>
      </w:pPr>
      <w:r>
        <w:t>Der S-Stamm</w:t>
      </w:r>
      <w:r>
        <w:rPr>
          <w:rStyle w:val="Bodytext8NotItalic"/>
        </w:rPr>
        <w:tab/>
      </w:r>
    </w:p>
    <w:p w:rsidR="00BB7EDA" w:rsidRDefault="007D72B3">
      <w:pPr>
        <w:pStyle w:val="Bodytext80"/>
        <w:numPr>
          <w:ilvl w:val="0"/>
          <w:numId w:val="29"/>
        </w:numPr>
        <w:shd w:val="clear" w:color="auto" w:fill="auto"/>
        <w:tabs>
          <w:tab w:val="left" w:pos="1419"/>
          <w:tab w:val="left" w:leader="dot" w:pos="4783"/>
        </w:tabs>
        <w:ind w:left="720"/>
      </w:pPr>
      <w:r>
        <w:t>Der Permansiv</w:t>
      </w:r>
      <w:r>
        <w:rPr>
          <w:rStyle w:val="Bodytext8NotItalic"/>
        </w:rPr>
        <w:tab/>
      </w:r>
    </w:p>
    <w:p w:rsidR="00BB7EDA" w:rsidRDefault="007D72B3">
      <w:pPr>
        <w:pStyle w:val="Bodytext80"/>
        <w:numPr>
          <w:ilvl w:val="0"/>
          <w:numId w:val="29"/>
        </w:numPr>
        <w:shd w:val="clear" w:color="auto" w:fill="auto"/>
        <w:tabs>
          <w:tab w:val="left" w:pos="1419"/>
          <w:tab w:val="left" w:leader="dot" w:pos="4783"/>
        </w:tabs>
        <w:ind w:left="720"/>
      </w:pPr>
      <w:r>
        <w:t>Der Subjunktiv</w:t>
      </w:r>
      <w:r>
        <w:rPr>
          <w:rStyle w:val="Bodytext8NotItalic"/>
        </w:rPr>
        <w:tab/>
      </w:r>
    </w:p>
    <w:p w:rsidR="00BB7EDA" w:rsidRDefault="007D72B3">
      <w:pPr>
        <w:pStyle w:val="Bodytext80"/>
        <w:shd w:val="clear" w:color="auto" w:fill="auto"/>
        <w:tabs>
          <w:tab w:val="left" w:leader="dot" w:pos="4783"/>
        </w:tabs>
        <w:ind w:left="720"/>
      </w:pPr>
      <w:r>
        <w:t>6.2.47 DerVentiv</w:t>
      </w:r>
      <w:r>
        <w:rPr>
          <w:rStyle w:val="Bodytext8NotItalic"/>
        </w:rPr>
        <w:tab/>
      </w:r>
    </w:p>
    <w:p w:rsidR="00BB7EDA" w:rsidRDefault="007D72B3">
      <w:pPr>
        <w:pStyle w:val="Bodytext80"/>
        <w:numPr>
          <w:ilvl w:val="0"/>
          <w:numId w:val="30"/>
        </w:numPr>
        <w:shd w:val="clear" w:color="auto" w:fill="auto"/>
        <w:tabs>
          <w:tab w:val="left" w:pos="1414"/>
          <w:tab w:val="left" w:leader="dot" w:pos="4783"/>
        </w:tabs>
        <w:ind w:left="720"/>
      </w:pPr>
      <w:r>
        <w:t>Der Imperativ</w:t>
      </w:r>
      <w:r>
        <w:rPr>
          <w:rStyle w:val="Bodytext8NotItalic"/>
        </w:rPr>
        <w:tab/>
      </w:r>
    </w:p>
    <w:p w:rsidR="00BB7EDA" w:rsidRDefault="007D72B3">
      <w:pPr>
        <w:pStyle w:val="Bodytext80"/>
        <w:numPr>
          <w:ilvl w:val="0"/>
          <w:numId w:val="30"/>
        </w:numPr>
        <w:shd w:val="clear" w:color="auto" w:fill="auto"/>
        <w:tabs>
          <w:tab w:val="left" w:pos="1414"/>
          <w:tab w:val="left" w:leader="dot" w:pos="4783"/>
        </w:tabs>
        <w:ind w:left="720"/>
      </w:pPr>
      <w:r>
        <w:t>Das Partizip</w:t>
      </w:r>
      <w:r>
        <w:rPr>
          <w:rStyle w:val="Bodytext8NotItalic"/>
        </w:rPr>
        <w:tab/>
      </w:r>
    </w:p>
    <w:p w:rsidR="00BB7EDA" w:rsidRDefault="007D72B3">
      <w:pPr>
        <w:pStyle w:val="Bodytext80"/>
        <w:numPr>
          <w:ilvl w:val="0"/>
          <w:numId w:val="30"/>
        </w:numPr>
        <w:shd w:val="clear" w:color="auto" w:fill="auto"/>
        <w:tabs>
          <w:tab w:val="left" w:pos="1501"/>
          <w:tab w:val="left" w:leader="dot" w:pos="4783"/>
        </w:tabs>
        <w:ind w:left="720"/>
      </w:pPr>
      <w:r>
        <w:t>Der Infinitiv</w:t>
      </w:r>
      <w:r>
        <w:rPr>
          <w:rStyle w:val="Bodytext8NotItalic"/>
        </w:rPr>
        <w:tab/>
      </w:r>
    </w:p>
    <w:p w:rsidR="00BB7EDA" w:rsidRDefault="007D72B3">
      <w:pPr>
        <w:pStyle w:val="Bodytext80"/>
        <w:numPr>
          <w:ilvl w:val="0"/>
          <w:numId w:val="30"/>
        </w:numPr>
        <w:shd w:val="clear" w:color="auto" w:fill="auto"/>
        <w:tabs>
          <w:tab w:val="left" w:pos="1501"/>
          <w:tab w:val="left" w:leader="dot" w:pos="4783"/>
        </w:tabs>
        <w:ind w:left="720"/>
      </w:pPr>
      <w:r>
        <w:t>Die Gt-, Dt- und St-Stämme</w:t>
      </w:r>
      <w:r>
        <w:rPr>
          <w:rStyle w:val="Bodytext8NotItalic"/>
        </w:rPr>
        <w:tab/>
      </w:r>
    </w:p>
    <w:p w:rsidR="00BB7EDA" w:rsidRDefault="007D72B3">
      <w:pPr>
        <w:pStyle w:val="Bodytext80"/>
        <w:numPr>
          <w:ilvl w:val="0"/>
          <w:numId w:val="30"/>
        </w:numPr>
        <w:shd w:val="clear" w:color="auto" w:fill="auto"/>
        <w:tabs>
          <w:tab w:val="left" w:pos="1501"/>
          <w:tab w:val="left" w:leader="dot" w:pos="4783"/>
        </w:tabs>
        <w:ind w:left="720"/>
      </w:pPr>
      <w:r>
        <w:t>Die</w:t>
      </w:r>
      <w:r>
        <w:t xml:space="preserve"> Gtn-, Ntn-, Dtn- und Stn-Stämme</w:t>
      </w:r>
      <w:r>
        <w:rPr>
          <w:rStyle w:val="Bodytext8NotItalic"/>
        </w:rPr>
        <w:tab/>
      </w:r>
    </w:p>
    <w:p w:rsidR="00BB7EDA" w:rsidRDefault="007D72B3">
      <w:pPr>
        <w:pStyle w:val="Bodytext80"/>
        <w:numPr>
          <w:ilvl w:val="0"/>
          <w:numId w:val="30"/>
        </w:numPr>
        <w:shd w:val="clear" w:color="auto" w:fill="auto"/>
        <w:tabs>
          <w:tab w:val="left" w:pos="1501"/>
          <w:tab w:val="left" w:leader="dot" w:pos="4783"/>
        </w:tabs>
        <w:ind w:left="720"/>
      </w:pPr>
      <w:r>
        <w:t>Pronominalsuffixe</w:t>
      </w:r>
      <w:r>
        <w:rPr>
          <w:rStyle w:val="Bodytext8NotItalic"/>
        </w:rPr>
        <w:tab/>
      </w:r>
    </w:p>
    <w:p w:rsidR="00BB7EDA" w:rsidRDefault="007D72B3">
      <w:pPr>
        <w:pStyle w:val="Bodytext80"/>
        <w:numPr>
          <w:ilvl w:val="0"/>
          <w:numId w:val="30"/>
        </w:numPr>
        <w:shd w:val="clear" w:color="auto" w:fill="auto"/>
        <w:tabs>
          <w:tab w:val="left" w:pos="1501"/>
          <w:tab w:val="left" w:leader="dot" w:pos="4783"/>
        </w:tabs>
        <w:ind w:left="720"/>
      </w:pPr>
      <w:r>
        <w:t>Wunschformen</w:t>
      </w:r>
      <w:r>
        <w:rPr>
          <w:rStyle w:val="Bodytext8NotItalic"/>
        </w:rPr>
        <w:tab/>
      </w:r>
    </w:p>
    <w:p w:rsidR="00BB7EDA" w:rsidRDefault="007D72B3">
      <w:pPr>
        <w:pStyle w:val="Bodytext20"/>
        <w:shd w:val="clear" w:color="auto" w:fill="auto"/>
        <w:tabs>
          <w:tab w:val="left" w:leader="dot" w:pos="4783"/>
        </w:tabs>
        <w:spacing w:before="0" w:line="226" w:lineRule="exact"/>
        <w:ind w:left="720"/>
      </w:pPr>
      <w:r>
        <w:t>Das Ägyptische</w:t>
      </w:r>
      <w:r>
        <w:tab/>
      </w:r>
    </w:p>
    <w:p w:rsidR="00BB7EDA" w:rsidRDefault="007D72B3">
      <w:pPr>
        <w:pStyle w:val="Bodytext20"/>
        <w:shd w:val="clear" w:color="auto" w:fill="auto"/>
        <w:tabs>
          <w:tab w:val="left" w:leader="dot" w:pos="4783"/>
        </w:tabs>
        <w:spacing w:before="0" w:line="226" w:lineRule="exact"/>
        <w:ind w:left="720"/>
      </w:pPr>
      <w:r>
        <w:t>Perioden der Sprachgeschichte</w:t>
      </w:r>
      <w:r>
        <w:tab/>
      </w:r>
    </w:p>
    <w:p w:rsidR="00BB7EDA" w:rsidRDefault="007D72B3">
      <w:pPr>
        <w:pStyle w:val="Bodytext20"/>
        <w:shd w:val="clear" w:color="auto" w:fill="auto"/>
        <w:spacing w:before="0" w:line="226" w:lineRule="exact"/>
        <w:ind w:left="720"/>
      </w:pPr>
      <w:r>
        <w:t>Zur Wiederentdeckung der Hieroglyphenschrift.</w:t>
      </w:r>
    </w:p>
    <w:p w:rsidR="00BB7EDA" w:rsidRDefault="007D72B3">
      <w:pPr>
        <w:pStyle w:val="Bodytext20"/>
        <w:shd w:val="clear" w:color="auto" w:fill="auto"/>
        <w:tabs>
          <w:tab w:val="left" w:leader="dot" w:pos="4783"/>
        </w:tabs>
        <w:spacing w:before="0" w:line="226" w:lineRule="exact"/>
        <w:ind w:left="720"/>
      </w:pPr>
      <w:r>
        <w:t>Zur Einordnung des Ägyptischen</w:t>
      </w:r>
      <w:r>
        <w:tab/>
      </w:r>
    </w:p>
    <w:p w:rsidR="00BB7EDA" w:rsidRDefault="007D72B3">
      <w:pPr>
        <w:pStyle w:val="Bodytext20"/>
        <w:shd w:val="clear" w:color="auto" w:fill="auto"/>
        <w:tabs>
          <w:tab w:val="left" w:leader="dot" w:pos="4783"/>
        </w:tabs>
        <w:spacing w:before="0" w:line="226" w:lineRule="exact"/>
        <w:ind w:left="720"/>
      </w:pPr>
      <w:r>
        <w:t>Zum Nominalsystem</w:t>
      </w:r>
      <w:r>
        <w:tab/>
      </w:r>
    </w:p>
    <w:p w:rsidR="00BB7EDA" w:rsidRDefault="007D72B3">
      <w:pPr>
        <w:pStyle w:val="Bodytext20"/>
        <w:shd w:val="clear" w:color="auto" w:fill="auto"/>
        <w:tabs>
          <w:tab w:val="left" w:leader="dot" w:pos="4783"/>
        </w:tabs>
        <w:spacing w:before="0" w:line="226" w:lineRule="exact"/>
        <w:ind w:left="720"/>
      </w:pPr>
      <w:r>
        <w:t>Zum Verbalsystem</w:t>
      </w:r>
      <w:r>
        <w:tab/>
      </w:r>
    </w:p>
    <w:p w:rsidR="00BB7EDA" w:rsidRDefault="007D72B3">
      <w:pPr>
        <w:pStyle w:val="Bodytext20"/>
        <w:shd w:val="clear" w:color="auto" w:fill="auto"/>
        <w:tabs>
          <w:tab w:val="left" w:leader="dot" w:pos="4783"/>
        </w:tabs>
        <w:spacing w:before="0" w:line="226" w:lineRule="exact"/>
        <w:ind w:left="720"/>
      </w:pPr>
      <w:r>
        <w:t>Fazit</w:t>
      </w:r>
      <w:r>
        <w:tab/>
      </w:r>
    </w:p>
    <w:p w:rsidR="00BB7EDA" w:rsidRDefault="007D72B3">
      <w:pPr>
        <w:pStyle w:val="Bodytext20"/>
        <w:shd w:val="clear" w:color="auto" w:fill="auto"/>
        <w:tabs>
          <w:tab w:val="left" w:leader="dot" w:pos="4783"/>
        </w:tabs>
        <w:spacing w:before="0" w:line="226" w:lineRule="exact"/>
        <w:ind w:left="720"/>
      </w:pPr>
      <w:r>
        <w:t xml:space="preserve">Die ältesten </w:t>
      </w:r>
      <w:r>
        <w:t>Sprachen sind hochkomplex</w:t>
      </w:r>
      <w:r>
        <w:tab/>
      </w:r>
    </w:p>
    <w:p w:rsidR="00BB7EDA" w:rsidRDefault="007D72B3">
      <w:pPr>
        <w:pStyle w:val="Bodytext80"/>
        <w:numPr>
          <w:ilvl w:val="0"/>
          <w:numId w:val="31"/>
        </w:numPr>
        <w:shd w:val="clear" w:color="auto" w:fill="auto"/>
        <w:tabs>
          <w:tab w:val="left" w:pos="1397"/>
          <w:tab w:val="left" w:leader="dot" w:pos="4783"/>
        </w:tabs>
        <w:ind w:left="720"/>
      </w:pPr>
      <w:r>
        <w:t>Synthetische Formen im Deutschen</w:t>
      </w:r>
      <w:r>
        <w:rPr>
          <w:rStyle w:val="Bodytext8NotItalic"/>
        </w:rPr>
        <w:tab/>
      </w:r>
    </w:p>
    <w:p w:rsidR="00BB7EDA" w:rsidRDefault="007D72B3">
      <w:pPr>
        <w:pStyle w:val="Bodytext80"/>
        <w:numPr>
          <w:ilvl w:val="0"/>
          <w:numId w:val="31"/>
        </w:numPr>
        <w:shd w:val="clear" w:color="auto" w:fill="auto"/>
        <w:tabs>
          <w:tab w:val="left" w:pos="1410"/>
          <w:tab w:val="left" w:leader="dot" w:pos="4783"/>
        </w:tabs>
        <w:ind w:left="720"/>
      </w:pPr>
      <w:r>
        <w:t>Synthetische Formen im Englischen</w:t>
      </w:r>
      <w:r>
        <w:rPr>
          <w:rStyle w:val="Bodytext8NotItalic"/>
        </w:rPr>
        <w:tab/>
      </w:r>
    </w:p>
    <w:p w:rsidR="00BB7EDA" w:rsidRDefault="007D72B3">
      <w:pPr>
        <w:pStyle w:val="Bodytext80"/>
        <w:numPr>
          <w:ilvl w:val="0"/>
          <w:numId w:val="32"/>
        </w:numPr>
        <w:shd w:val="clear" w:color="auto" w:fill="auto"/>
        <w:tabs>
          <w:tab w:val="left" w:pos="1410"/>
        </w:tabs>
        <w:ind w:left="720"/>
      </w:pPr>
      <w:r>
        <w:t>Synthetische Formen in den alemannischen</w:t>
      </w:r>
    </w:p>
    <w:p w:rsidR="00BB7EDA" w:rsidRDefault="007D72B3">
      <w:pPr>
        <w:pStyle w:val="Bodytext80"/>
        <w:shd w:val="clear" w:color="auto" w:fill="auto"/>
        <w:tabs>
          <w:tab w:val="left" w:leader="dot" w:pos="4783"/>
        </w:tabs>
        <w:ind w:left="1420"/>
      </w:pPr>
      <w:r>
        <w:t>Schweizer-Dialekten</w:t>
      </w:r>
      <w:r>
        <w:rPr>
          <w:rStyle w:val="Bodytext8NotItalic"/>
        </w:rPr>
        <w:tab/>
      </w:r>
    </w:p>
    <w:p w:rsidR="00BB7EDA" w:rsidRDefault="007D72B3">
      <w:pPr>
        <w:pStyle w:val="Bodytext80"/>
        <w:numPr>
          <w:ilvl w:val="0"/>
          <w:numId w:val="33"/>
        </w:numPr>
        <w:shd w:val="clear" w:color="auto" w:fill="auto"/>
        <w:tabs>
          <w:tab w:val="left" w:pos="1410"/>
        </w:tabs>
        <w:ind w:left="720"/>
      </w:pPr>
      <w:r>
        <w:t>Die Syntax als Ausgleichsmittel für fehlende</w:t>
      </w:r>
      <w:r>
        <w:br w:type="page"/>
      </w:r>
    </w:p>
    <w:p w:rsidR="00BB7EDA" w:rsidRDefault="007D72B3">
      <w:pPr>
        <w:pStyle w:val="Tableofcontents0"/>
        <w:shd w:val="clear" w:color="auto" w:fill="auto"/>
        <w:tabs>
          <w:tab w:val="right" w:leader="dot" w:pos="5567"/>
        </w:tabs>
        <w:spacing w:line="226" w:lineRule="exact"/>
        <w:ind w:left="1400"/>
      </w:pPr>
      <w:r>
        <w:fldChar w:fldCharType="begin"/>
      </w:r>
      <w:r>
        <w:instrText xml:space="preserve"> TOC \o "1-5" \h \z </w:instrText>
      </w:r>
      <w:r>
        <w:fldChar w:fldCharType="separate"/>
      </w:r>
      <w:r>
        <w:t>Formeti</w:t>
      </w:r>
      <w:r>
        <w:rPr>
          <w:rStyle w:val="TableofcontentsNotItalic"/>
        </w:rPr>
        <w:t xml:space="preserve"> </w:t>
      </w:r>
      <w:r>
        <w:rPr>
          <w:rStyle w:val="TableofcontentsNotItalic"/>
        </w:rPr>
        <w:tab/>
        <w:t>184</w:t>
      </w:r>
    </w:p>
    <w:p w:rsidR="00BB7EDA" w:rsidRDefault="007D72B3">
      <w:pPr>
        <w:pStyle w:val="Tableofcontents0"/>
        <w:numPr>
          <w:ilvl w:val="0"/>
          <w:numId w:val="33"/>
        </w:numPr>
        <w:shd w:val="clear" w:color="auto" w:fill="auto"/>
        <w:tabs>
          <w:tab w:val="left" w:pos="1419"/>
        </w:tabs>
        <w:spacing w:line="226" w:lineRule="exact"/>
        <w:ind w:left="720"/>
      </w:pPr>
      <w:r>
        <w:t>Morphologie</w:t>
      </w:r>
      <w:r>
        <w:rPr>
          <w:rStyle w:val="TableofcontentsNotItalic"/>
        </w:rPr>
        <w:t xml:space="preserve"> - </w:t>
      </w:r>
      <w:r>
        <w:t>Ökonomie und Zwang zu Präzision</w:t>
      </w:r>
      <w:r>
        <w:rPr>
          <w:rStyle w:val="TableofcontentsNotItalic"/>
        </w:rPr>
        <w:t xml:space="preserve"> 185</w:t>
      </w:r>
    </w:p>
    <w:p w:rsidR="00BB7EDA" w:rsidRDefault="007D72B3">
      <w:pPr>
        <w:pStyle w:val="Tableofcontents0"/>
        <w:numPr>
          <w:ilvl w:val="0"/>
          <w:numId w:val="33"/>
        </w:numPr>
        <w:shd w:val="clear" w:color="auto" w:fill="auto"/>
        <w:tabs>
          <w:tab w:val="left" w:pos="1419"/>
        </w:tabs>
        <w:spacing w:line="226" w:lineRule="exact"/>
        <w:ind w:left="720"/>
      </w:pPr>
      <w:r>
        <w:t>Woher kommt die Komplexität</w:t>
      </w:r>
    </w:p>
    <w:p w:rsidR="00BB7EDA" w:rsidRDefault="007D72B3">
      <w:pPr>
        <w:pStyle w:val="Tableofcontents0"/>
        <w:shd w:val="clear" w:color="auto" w:fill="auto"/>
        <w:tabs>
          <w:tab w:val="right" w:leader="dot" w:pos="5567"/>
        </w:tabs>
        <w:spacing w:line="226" w:lineRule="exact"/>
        <w:ind w:left="1400"/>
      </w:pPr>
      <w:r>
        <w:t>der Morphologie in den ältesten Sprachen ?</w:t>
      </w:r>
      <w:r>
        <w:rPr>
          <w:rStyle w:val="TableofcontentsNotItalic"/>
        </w:rPr>
        <w:t xml:space="preserve"> </w:t>
      </w:r>
      <w:r>
        <w:rPr>
          <w:rStyle w:val="TableofcontentsNotItalic"/>
        </w:rPr>
        <w:tab/>
        <w:t>185</w:t>
      </w:r>
    </w:p>
    <w:p w:rsidR="00BB7EDA" w:rsidRDefault="007D72B3">
      <w:pPr>
        <w:pStyle w:val="Tableofcontents0"/>
        <w:numPr>
          <w:ilvl w:val="0"/>
          <w:numId w:val="33"/>
        </w:numPr>
        <w:shd w:val="clear" w:color="auto" w:fill="auto"/>
        <w:tabs>
          <w:tab w:val="left" w:pos="1424"/>
          <w:tab w:val="right" w:leader="dot" w:pos="5567"/>
        </w:tabs>
        <w:spacing w:line="226" w:lineRule="exact"/>
        <w:ind w:left="720"/>
      </w:pPr>
      <w:r>
        <w:t>Keine primitiven Sprachen</w:t>
      </w:r>
      <w:r>
        <w:rPr>
          <w:rStyle w:val="TableofcontentsNotItalic"/>
        </w:rPr>
        <w:tab/>
        <w:t>185</w:t>
      </w:r>
    </w:p>
    <w:p w:rsidR="00BB7EDA" w:rsidRDefault="007D72B3">
      <w:pPr>
        <w:pStyle w:val="Tableofcontents0"/>
        <w:numPr>
          <w:ilvl w:val="0"/>
          <w:numId w:val="33"/>
        </w:numPr>
        <w:shd w:val="clear" w:color="auto" w:fill="auto"/>
        <w:tabs>
          <w:tab w:val="left" w:pos="1424"/>
        </w:tabs>
        <w:spacing w:line="226" w:lineRule="exact"/>
        <w:ind w:left="720"/>
      </w:pPr>
      <w:r>
        <w:t>Sumeriologie, Akkadistik und Ägyptologie contra</w:t>
      </w:r>
    </w:p>
    <w:p w:rsidR="00BB7EDA" w:rsidRDefault="007D72B3">
      <w:pPr>
        <w:pStyle w:val="Tableofcontents0"/>
        <w:shd w:val="clear" w:color="auto" w:fill="auto"/>
        <w:tabs>
          <w:tab w:val="right" w:leader="dot" w:pos="5567"/>
        </w:tabs>
        <w:spacing w:after="180" w:line="226" w:lineRule="exact"/>
        <w:ind w:left="1400"/>
      </w:pPr>
      <w:r>
        <w:t>Evolution</w:t>
      </w:r>
      <w:r>
        <w:rPr>
          <w:rStyle w:val="TableofcontentsNotItalic"/>
        </w:rPr>
        <w:tab/>
        <w:t>186</w:t>
      </w:r>
    </w:p>
    <w:p w:rsidR="00BB7EDA" w:rsidRDefault="007D72B3">
      <w:pPr>
        <w:pStyle w:val="Tableofcontents30"/>
        <w:numPr>
          <w:ilvl w:val="0"/>
          <w:numId w:val="34"/>
        </w:numPr>
        <w:shd w:val="clear" w:color="auto" w:fill="auto"/>
        <w:tabs>
          <w:tab w:val="left" w:pos="661"/>
        </w:tabs>
      </w:pPr>
      <w:r>
        <w:t>Zweite Untersuchung:</w:t>
      </w:r>
    </w:p>
    <w:p w:rsidR="00BB7EDA" w:rsidRDefault="007D72B3">
      <w:pPr>
        <w:pStyle w:val="Tableofcontents30"/>
        <w:shd w:val="clear" w:color="auto" w:fill="auto"/>
        <w:tabs>
          <w:tab w:val="right" w:leader="dot" w:pos="5567"/>
        </w:tabs>
        <w:ind w:left="720"/>
      </w:pPr>
      <w:r>
        <w:t>Sind die Sprachen der Eingebore</w:t>
      </w:r>
      <w:r>
        <w:t xml:space="preserve">nen primitiv? </w:t>
      </w:r>
      <w:r>
        <w:tab/>
        <w:t>187</w:t>
      </w:r>
    </w:p>
    <w:p w:rsidR="00BB7EDA" w:rsidRDefault="007D72B3">
      <w:pPr>
        <w:pStyle w:val="Tableofcontents30"/>
        <w:numPr>
          <w:ilvl w:val="1"/>
          <w:numId w:val="34"/>
        </w:numPr>
        <w:shd w:val="clear" w:color="auto" w:fill="auto"/>
        <w:tabs>
          <w:tab w:val="left" w:pos="661"/>
          <w:tab w:val="right" w:leader="dot" w:pos="5567"/>
        </w:tabs>
      </w:pPr>
      <w:hyperlink w:anchor="bookmark84" w:tooltip="Current Document">
        <w:r>
          <w:t xml:space="preserve">Die Sprache der Feuerländer </w:t>
        </w:r>
        <w:r>
          <w:tab/>
          <w:t>187</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85" w:tooltip="Current Document">
        <w:r>
          <w:rPr>
            <w:rStyle w:val="Verzeichnis3Zchn"/>
          </w:rPr>
          <w:t>Feuerländer auf der „Beagle"</w:t>
        </w:r>
        <w:r>
          <w:rPr>
            <w:rStyle w:val="Verzeichnis3Zchn"/>
          </w:rPr>
          <w:tab/>
          <w:t>187</w:t>
        </w:r>
      </w:hyperlink>
    </w:p>
    <w:p w:rsidR="00BB7EDA" w:rsidRDefault="007D72B3">
      <w:pPr>
        <w:pStyle w:val="Verzeichnis3"/>
        <w:numPr>
          <w:ilvl w:val="2"/>
          <w:numId w:val="34"/>
        </w:numPr>
        <w:shd w:val="clear" w:color="auto" w:fill="auto"/>
        <w:tabs>
          <w:tab w:val="left" w:pos="661"/>
          <w:tab w:val="right" w:leader="dot" w:pos="5567"/>
        </w:tabs>
        <w:spacing w:line="226" w:lineRule="exact"/>
        <w:ind w:firstLine="0"/>
      </w:pPr>
      <w:r>
        <w:t xml:space="preserve">Thomas </w:t>
      </w:r>
      <w:r>
        <w:rPr>
          <w:rStyle w:val="Tableofcontents28ptSmallCaps"/>
        </w:rPr>
        <w:t xml:space="preserve">Bridges </w:t>
      </w:r>
      <w:r>
        <w:t>auf Feuerland</w:t>
      </w:r>
      <w:r>
        <w:tab/>
        <w:t>188</w:t>
      </w:r>
    </w:p>
    <w:p w:rsidR="00BB7EDA" w:rsidRDefault="007D72B3">
      <w:pPr>
        <w:pStyle w:val="Verzeichnis3"/>
        <w:numPr>
          <w:ilvl w:val="2"/>
          <w:numId w:val="34"/>
        </w:numPr>
        <w:shd w:val="clear" w:color="auto" w:fill="auto"/>
        <w:tabs>
          <w:tab w:val="left" w:pos="661"/>
          <w:tab w:val="right" w:leader="dot" w:pos="5567"/>
        </w:tabs>
        <w:spacing w:line="226" w:lineRule="exact"/>
        <w:ind w:firstLine="0"/>
      </w:pPr>
      <w:r>
        <w:t xml:space="preserve">Vokabular </w:t>
      </w:r>
      <w:r>
        <w:tab/>
        <w:t>189</w:t>
      </w:r>
    </w:p>
    <w:p w:rsidR="00BB7EDA" w:rsidRDefault="007D72B3">
      <w:pPr>
        <w:pStyle w:val="Tableofcontents0"/>
        <w:numPr>
          <w:ilvl w:val="3"/>
          <w:numId w:val="34"/>
        </w:numPr>
        <w:shd w:val="clear" w:color="auto" w:fill="auto"/>
        <w:tabs>
          <w:tab w:val="left" w:pos="1400"/>
          <w:tab w:val="right" w:leader="dot" w:pos="5567"/>
        </w:tabs>
        <w:spacing w:line="226" w:lineRule="exact"/>
        <w:ind w:left="720"/>
      </w:pPr>
      <w:r>
        <w:t>Statistik und</w:t>
      </w:r>
      <w:r>
        <w:t xml:space="preserve"> Mindestwortschatz</w:t>
      </w:r>
      <w:r>
        <w:rPr>
          <w:rStyle w:val="TableofcontentsNotItalic"/>
        </w:rPr>
        <w:tab/>
        <w:t>189</w:t>
      </w:r>
    </w:p>
    <w:p w:rsidR="00BB7EDA" w:rsidRDefault="007D72B3">
      <w:pPr>
        <w:pStyle w:val="Tableofcontents0"/>
        <w:numPr>
          <w:ilvl w:val="3"/>
          <w:numId w:val="34"/>
        </w:numPr>
        <w:shd w:val="clear" w:color="auto" w:fill="auto"/>
        <w:tabs>
          <w:tab w:val="left" w:pos="1410"/>
          <w:tab w:val="left" w:leader="dot" w:pos="5254"/>
        </w:tabs>
        <w:spacing w:line="226" w:lineRule="exact"/>
        <w:ind w:left="720"/>
      </w:pPr>
      <w:r>
        <w:t>Vokabular und individuelle Sprachentwicklung</w:t>
      </w:r>
      <w:r>
        <w:rPr>
          <w:rStyle w:val="TableofcontentsNotItalic"/>
        </w:rPr>
        <w:tab/>
        <w:t>189</w:t>
      </w:r>
    </w:p>
    <w:p w:rsidR="00BB7EDA" w:rsidRDefault="007D72B3">
      <w:pPr>
        <w:pStyle w:val="Tableofcontents0"/>
        <w:numPr>
          <w:ilvl w:val="3"/>
          <w:numId w:val="34"/>
        </w:numPr>
        <w:shd w:val="clear" w:color="auto" w:fill="auto"/>
        <w:tabs>
          <w:tab w:val="left" w:pos="1410"/>
          <w:tab w:val="right" w:leader="dot" w:pos="5567"/>
        </w:tabs>
        <w:spacing w:line="226" w:lineRule="exact"/>
        <w:ind w:left="720"/>
      </w:pPr>
      <w:r>
        <w:t>Wortschatz in der Literatur</w:t>
      </w:r>
      <w:r>
        <w:rPr>
          <w:rStyle w:val="TableofcontentsNotItalic"/>
        </w:rPr>
        <w:tab/>
        <w:t>190</w:t>
      </w:r>
    </w:p>
    <w:p w:rsidR="00BB7EDA" w:rsidRDefault="007D72B3">
      <w:pPr>
        <w:pStyle w:val="Tableofcontents30"/>
        <w:numPr>
          <w:ilvl w:val="1"/>
          <w:numId w:val="34"/>
        </w:numPr>
        <w:shd w:val="clear" w:color="auto" w:fill="auto"/>
        <w:tabs>
          <w:tab w:val="left" w:pos="661"/>
          <w:tab w:val="right" w:leader="dot" w:pos="5567"/>
        </w:tabs>
      </w:pPr>
      <w:hyperlink w:anchor="bookmark86" w:tooltip="Current Document">
        <w:r>
          <w:t>Durch die Bibel motivierte Linguistik</w:t>
        </w:r>
        <w:r>
          <w:tab/>
          <w:t>190</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87" w:tooltip="Current Document">
        <w:r>
          <w:rPr>
            <w:rStyle w:val="Verzeichnis3Zchn"/>
          </w:rPr>
          <w:t>Geistliche Erweckung und Sprachinteresse</w:t>
        </w:r>
        <w:r>
          <w:rPr>
            <w:rStyle w:val="Verzeichnis3Zchn"/>
          </w:rPr>
          <w:tab/>
          <w:t>190</w:t>
        </w:r>
      </w:hyperlink>
    </w:p>
    <w:p w:rsidR="00BB7EDA" w:rsidRDefault="007D72B3">
      <w:pPr>
        <w:pStyle w:val="Verzeichnis3"/>
        <w:numPr>
          <w:ilvl w:val="2"/>
          <w:numId w:val="34"/>
        </w:numPr>
        <w:shd w:val="clear" w:color="auto" w:fill="auto"/>
        <w:tabs>
          <w:tab w:val="left" w:pos="661"/>
          <w:tab w:val="right" w:leader="dot" w:pos="5567"/>
        </w:tabs>
        <w:spacing w:line="226" w:lineRule="exact"/>
        <w:ind w:firstLine="0"/>
      </w:pPr>
      <w:r>
        <w:t>Bibelübersetzungen von 1800 bis heute</w:t>
      </w:r>
      <w:r>
        <w:tab/>
        <w:t>191</w:t>
      </w:r>
    </w:p>
    <w:p w:rsidR="00BB7EDA" w:rsidRDefault="007D72B3">
      <w:pPr>
        <w:pStyle w:val="Tableofcontents0"/>
        <w:numPr>
          <w:ilvl w:val="3"/>
          <w:numId w:val="34"/>
        </w:numPr>
        <w:shd w:val="clear" w:color="auto" w:fill="auto"/>
        <w:tabs>
          <w:tab w:val="left" w:pos="1400"/>
        </w:tabs>
        <w:spacing w:line="226" w:lineRule="exact"/>
        <w:ind w:left="720"/>
      </w:pPr>
      <w:r>
        <w:t>Linguistisch und ethnologisch hoch stehende</w:t>
      </w:r>
    </w:p>
    <w:p w:rsidR="00BB7EDA" w:rsidRDefault="007D72B3">
      <w:pPr>
        <w:pStyle w:val="Tableofcontents0"/>
        <w:shd w:val="clear" w:color="auto" w:fill="auto"/>
        <w:tabs>
          <w:tab w:val="right" w:leader="dot" w:pos="5567"/>
        </w:tabs>
        <w:spacing w:line="226" w:lineRule="exact"/>
        <w:ind w:left="1400"/>
      </w:pPr>
      <w:r>
        <w:t>Missionsarbeit</w:t>
      </w:r>
      <w:r>
        <w:rPr>
          <w:rStyle w:val="TableofcontentsNotItalic"/>
        </w:rPr>
        <w:tab/>
        <w:t>191</w:t>
      </w:r>
    </w:p>
    <w:p w:rsidR="00BB7EDA" w:rsidRDefault="007D72B3">
      <w:pPr>
        <w:pStyle w:val="Tableofcontents0"/>
        <w:numPr>
          <w:ilvl w:val="3"/>
          <w:numId w:val="34"/>
        </w:numPr>
        <w:shd w:val="clear" w:color="auto" w:fill="auto"/>
        <w:tabs>
          <w:tab w:val="left" w:pos="1414"/>
        </w:tabs>
        <w:spacing w:line="226" w:lineRule="exact"/>
        <w:ind w:left="720"/>
      </w:pPr>
      <w:r>
        <w:t>Biblische Grundlagen der Bibelübersetzungs-Arbeit</w:t>
      </w:r>
      <w:r>
        <w:rPr>
          <w:rStyle w:val="TableofcontentsNotItalic"/>
        </w:rPr>
        <w:t xml:space="preserve"> 192</w:t>
      </w:r>
    </w:p>
    <w:p w:rsidR="00BB7EDA" w:rsidRDefault="007D72B3">
      <w:pPr>
        <w:pStyle w:val="Tableofcontents0"/>
        <w:numPr>
          <w:ilvl w:val="3"/>
          <w:numId w:val="34"/>
        </w:numPr>
        <w:shd w:val="clear" w:color="auto" w:fill="auto"/>
        <w:tabs>
          <w:tab w:val="left" w:pos="1414"/>
          <w:tab w:val="right" w:leader="dot" w:pos="5567"/>
        </w:tabs>
        <w:spacing w:line="226" w:lineRule="exact"/>
        <w:ind w:left="720"/>
      </w:pPr>
      <w:r>
        <w:t>Global Recordings Network</w:t>
      </w:r>
      <w:r>
        <w:rPr>
          <w:rStyle w:val="TableofcontentsNotItalic"/>
        </w:rPr>
        <w:tab/>
        <w:t>183</w:t>
      </w:r>
    </w:p>
    <w:p w:rsidR="00BB7EDA" w:rsidRDefault="007D72B3">
      <w:pPr>
        <w:pStyle w:val="Tableofcontents30"/>
        <w:numPr>
          <w:ilvl w:val="1"/>
          <w:numId w:val="34"/>
        </w:numPr>
        <w:shd w:val="clear" w:color="auto" w:fill="auto"/>
        <w:tabs>
          <w:tab w:val="left" w:pos="661"/>
          <w:tab w:val="right" w:leader="dot" w:pos="5567"/>
        </w:tabs>
      </w:pPr>
      <w:hyperlink w:anchor="bookmark88" w:tooltip="Current Document">
        <w:r>
          <w:t>Die Sprache der Ketschua</w:t>
        </w:r>
        <w:r>
          <w:tab/>
          <w:t>193</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89" w:tooltip="Current Document">
        <w:r>
          <w:rPr>
            <w:rStyle w:val="Verzeichnis3Zchn"/>
          </w:rPr>
          <w:t>Beispiel einer Ketschua-Wortkette</w:t>
        </w:r>
        <w:r>
          <w:rPr>
            <w:rStyle w:val="Verzeichnis3Zchn"/>
          </w:rPr>
          <w:tab/>
          <w:t>193</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90" w:tooltip="Current Document">
        <w:r>
          <w:rPr>
            <w:rStyle w:val="Verzeichnis3Zchn"/>
          </w:rPr>
          <w:t>Mehr als 50.000 Verbformen</w:t>
        </w:r>
        <w:r>
          <w:rPr>
            <w:rStyle w:val="Verzeichnis3Zchn"/>
          </w:rPr>
          <w:tab/>
          <w:t>194</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91" w:tooltip="Current Document">
        <w:r>
          <w:rPr>
            <w:rStyle w:val="Verzeichnis3Zchn"/>
          </w:rPr>
          <w:t xml:space="preserve">Wortketten versus Wörterketten </w:t>
        </w:r>
        <w:r>
          <w:rPr>
            <w:rStyle w:val="Verzeichnis3Zchn"/>
          </w:rPr>
          <w:tab/>
          <w:t>194</w:t>
        </w:r>
      </w:hyperlink>
    </w:p>
    <w:p w:rsidR="00BB7EDA" w:rsidRDefault="007D72B3">
      <w:pPr>
        <w:pStyle w:val="Tableofcontents30"/>
        <w:numPr>
          <w:ilvl w:val="1"/>
          <w:numId w:val="34"/>
        </w:numPr>
        <w:shd w:val="clear" w:color="auto" w:fill="auto"/>
        <w:tabs>
          <w:tab w:val="left" w:pos="661"/>
          <w:tab w:val="right" w:leader="dot" w:pos="5567"/>
        </w:tabs>
      </w:pPr>
      <w:hyperlink w:anchor="bookmark92" w:tooltip="Current Document">
        <w:r>
          <w:t>Die Sprache der Aimara</w:t>
        </w:r>
        <w:r>
          <w:tab/>
          <w:t>195</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93" w:tooltip="Current Document">
        <w:r>
          <w:rPr>
            <w:rStyle w:val="Verzeichnis3Zchn"/>
          </w:rPr>
          <w:t>Zum Suffix-System</w:t>
        </w:r>
        <w:r>
          <w:rPr>
            <w:rStyle w:val="Verzeichnis3Zchn"/>
          </w:rPr>
          <w:tab/>
          <w:t>195</w:t>
        </w:r>
      </w:hyperlink>
    </w:p>
    <w:p w:rsidR="00BB7EDA" w:rsidRDefault="007D72B3">
      <w:pPr>
        <w:pStyle w:val="Verzeichnis5"/>
        <w:numPr>
          <w:ilvl w:val="2"/>
          <w:numId w:val="34"/>
        </w:numPr>
        <w:shd w:val="clear" w:color="auto" w:fill="auto"/>
        <w:tabs>
          <w:tab w:val="left" w:pos="661"/>
          <w:tab w:val="right" w:leader="dot" w:pos="5567"/>
        </w:tabs>
        <w:spacing w:line="226" w:lineRule="exact"/>
        <w:ind w:firstLine="0"/>
      </w:pPr>
      <w:hyperlink w:anchor="bookmark94" w:tooltip="Current Document">
        <w:r>
          <w:rPr>
            <w:rStyle w:val="Verzeichnis3Zchn"/>
          </w:rPr>
          <w:t>Beispiel einer Aimara-Wortkette</w:t>
        </w:r>
        <w:r>
          <w:rPr>
            <w:rStyle w:val="Verzeichnis3Zchn"/>
          </w:rPr>
          <w:tab/>
          <w:t>196</w:t>
        </w:r>
      </w:hyperlink>
    </w:p>
    <w:p w:rsidR="00BB7EDA" w:rsidRDefault="007D72B3">
      <w:pPr>
        <w:pStyle w:val="Verzeichnis3"/>
        <w:numPr>
          <w:ilvl w:val="2"/>
          <w:numId w:val="34"/>
        </w:numPr>
        <w:shd w:val="clear" w:color="auto" w:fill="auto"/>
        <w:tabs>
          <w:tab w:val="left" w:pos="661"/>
          <w:tab w:val="right" w:leader="dot" w:pos="5567"/>
        </w:tabs>
        <w:spacing w:line="226" w:lineRule="exact"/>
        <w:ind w:firstLine="0"/>
      </w:pPr>
      <w:r>
        <w:t>Mehr als 100.000 Verbformen</w:t>
      </w:r>
      <w:r>
        <w:tab/>
        <w:t>197</w:t>
      </w:r>
    </w:p>
    <w:p w:rsidR="00BB7EDA" w:rsidRDefault="007D72B3">
      <w:pPr>
        <w:pStyle w:val="Tableofcontents30"/>
        <w:numPr>
          <w:ilvl w:val="1"/>
          <w:numId w:val="34"/>
        </w:numPr>
        <w:shd w:val="clear" w:color="auto" w:fill="auto"/>
        <w:tabs>
          <w:tab w:val="left" w:pos="661"/>
          <w:tab w:val="right" w:leader="dot" w:pos="5567"/>
        </w:tabs>
      </w:pPr>
      <w:hyperlink w:anchor="bookmark95" w:tooltip="Current Document">
        <w:r>
          <w:t>Die Sprache der Wintu-Indianer</w:t>
        </w:r>
        <w:r>
          <w:tab/>
          <w:t>197</w:t>
        </w:r>
      </w:hyperlink>
    </w:p>
    <w:p w:rsidR="00BB7EDA" w:rsidRDefault="007D72B3">
      <w:pPr>
        <w:pStyle w:val="Tableofcontents30"/>
        <w:numPr>
          <w:ilvl w:val="1"/>
          <w:numId w:val="34"/>
        </w:numPr>
        <w:shd w:val="clear" w:color="auto" w:fill="auto"/>
        <w:tabs>
          <w:tab w:val="left" w:pos="661"/>
          <w:tab w:val="right" w:leader="dot" w:pos="5567"/>
        </w:tabs>
      </w:pPr>
      <w:hyperlink w:anchor="bookmark96" w:tooltip="Current Document">
        <w:r>
          <w:t>Indianer-Sprachen und die zwei Weltkriege</w:t>
        </w:r>
        <w:r>
          <w:tab/>
          <w:t>198</w:t>
        </w:r>
      </w:hyperlink>
    </w:p>
    <w:p w:rsidR="00BB7EDA" w:rsidRDefault="007D72B3">
      <w:pPr>
        <w:pStyle w:val="Verzeichnis3"/>
        <w:numPr>
          <w:ilvl w:val="2"/>
          <w:numId w:val="34"/>
        </w:numPr>
        <w:shd w:val="clear" w:color="auto" w:fill="auto"/>
        <w:tabs>
          <w:tab w:val="left" w:pos="661"/>
          <w:tab w:val="right" w:leader="dot" w:pos="5567"/>
        </w:tabs>
        <w:spacing w:line="226" w:lineRule="exact"/>
        <w:ind w:firstLine="0"/>
      </w:pPr>
      <w:r>
        <w:t>Comanche und der Erste Weltkrieg</w:t>
      </w:r>
      <w:r>
        <w:tab/>
        <w:t>198</w:t>
      </w:r>
    </w:p>
    <w:p w:rsidR="00BB7EDA" w:rsidRDefault="007D72B3">
      <w:pPr>
        <w:pStyle w:val="Verzeichnis3"/>
        <w:numPr>
          <w:ilvl w:val="2"/>
          <w:numId w:val="34"/>
        </w:numPr>
        <w:shd w:val="clear" w:color="auto" w:fill="auto"/>
        <w:tabs>
          <w:tab w:val="left" w:pos="661"/>
          <w:tab w:val="right" w:leader="dot" w:pos="5567"/>
        </w:tabs>
        <w:spacing w:line="226" w:lineRule="exact"/>
        <w:ind w:firstLine="0"/>
      </w:pPr>
      <w:r>
        <w:t>„Code Talkers" im Zweiten Weltkrieg</w:t>
      </w:r>
      <w:r>
        <w:tab/>
        <w:t>198</w:t>
      </w:r>
    </w:p>
    <w:p w:rsidR="00BB7EDA" w:rsidRDefault="007D72B3">
      <w:pPr>
        <w:pStyle w:val="Tableofcontents30"/>
        <w:numPr>
          <w:ilvl w:val="1"/>
          <w:numId w:val="34"/>
        </w:numPr>
        <w:shd w:val="clear" w:color="auto" w:fill="auto"/>
        <w:tabs>
          <w:tab w:val="left" w:pos="661"/>
          <w:tab w:val="right" w:leader="dot" w:pos="5567"/>
        </w:tabs>
      </w:pPr>
      <w:hyperlink w:anchor="bookmark97" w:tooltip="Current Document">
        <w:r>
          <w:t xml:space="preserve">Zu den Bantu-Sprachen in </w:t>
        </w:r>
        <w:r>
          <w:t>Afrika</w:t>
        </w:r>
        <w:r>
          <w:tab/>
          <w:t>198</w:t>
        </w:r>
      </w:hyperlink>
    </w:p>
    <w:p w:rsidR="00BB7EDA" w:rsidRDefault="007D72B3">
      <w:pPr>
        <w:pStyle w:val="Tableofcontents30"/>
        <w:numPr>
          <w:ilvl w:val="1"/>
          <w:numId w:val="34"/>
        </w:numPr>
        <w:shd w:val="clear" w:color="auto" w:fill="auto"/>
        <w:tabs>
          <w:tab w:val="left" w:pos="661"/>
          <w:tab w:val="right" w:leader="dot" w:pos="5567"/>
        </w:tabs>
      </w:pPr>
      <w:hyperlink w:anchor="bookmark98" w:tooltip="Current Document">
        <w:r>
          <w:t>Fazit</w:t>
        </w:r>
        <w:r>
          <w:tab/>
          <w:t>200</w:t>
        </w:r>
      </w:hyperlink>
    </w:p>
    <w:p w:rsidR="00BB7EDA" w:rsidRDefault="007D72B3">
      <w:pPr>
        <w:pStyle w:val="Verzeichnis3"/>
        <w:numPr>
          <w:ilvl w:val="2"/>
          <w:numId w:val="34"/>
        </w:numPr>
        <w:shd w:val="clear" w:color="auto" w:fill="auto"/>
        <w:tabs>
          <w:tab w:val="left" w:pos="661"/>
          <w:tab w:val="right" w:leader="dot" w:pos="5567"/>
        </w:tabs>
        <w:spacing w:line="226" w:lineRule="exact"/>
        <w:ind w:firstLine="0"/>
      </w:pPr>
      <w:r>
        <w:t>Es gibt keine primitiven Sprachen</w:t>
      </w:r>
      <w:r>
        <w:tab/>
        <w:t>201</w:t>
      </w:r>
    </w:p>
    <w:p w:rsidR="00BB7EDA" w:rsidRDefault="007D72B3">
      <w:pPr>
        <w:pStyle w:val="Verzeichnis3"/>
        <w:numPr>
          <w:ilvl w:val="2"/>
          <w:numId w:val="34"/>
        </w:numPr>
        <w:shd w:val="clear" w:color="auto" w:fill="auto"/>
        <w:tabs>
          <w:tab w:val="left" w:pos="661"/>
        </w:tabs>
        <w:spacing w:line="226" w:lineRule="exact"/>
        <w:ind w:firstLine="0"/>
      </w:pPr>
      <w:r>
        <w:t>Linguistik der Eingeborenen-Sprachen</w:t>
      </w:r>
    </w:p>
    <w:p w:rsidR="00BB7EDA" w:rsidRDefault="007D72B3">
      <w:pPr>
        <w:pStyle w:val="Verzeichnis3"/>
        <w:shd w:val="clear" w:color="auto" w:fill="auto"/>
        <w:tabs>
          <w:tab w:val="right" w:leader="dot" w:pos="5567"/>
        </w:tabs>
        <w:spacing w:line="226" w:lineRule="exact"/>
        <w:ind w:left="720" w:firstLine="0"/>
      </w:pPr>
      <w:r>
        <w:t>contra Evolution</w:t>
      </w:r>
      <w:r>
        <w:tab/>
        <w:t>201</w:t>
      </w:r>
      <w:r>
        <w:fldChar w:fldCharType="end"/>
      </w:r>
    </w:p>
    <w:p w:rsidR="00BB7EDA" w:rsidRDefault="007D72B3">
      <w:pPr>
        <w:pStyle w:val="Bodytext90"/>
        <w:numPr>
          <w:ilvl w:val="0"/>
          <w:numId w:val="34"/>
        </w:numPr>
        <w:shd w:val="clear" w:color="auto" w:fill="auto"/>
        <w:tabs>
          <w:tab w:val="left" w:pos="654"/>
        </w:tabs>
      </w:pPr>
      <w:r>
        <w:t>Dritte Untersuchung:</w:t>
      </w:r>
    </w:p>
    <w:p w:rsidR="00BB7EDA" w:rsidRDefault="007D72B3">
      <w:pPr>
        <w:pStyle w:val="Bodytext90"/>
        <w:shd w:val="clear" w:color="auto" w:fill="auto"/>
        <w:ind w:left="700"/>
      </w:pPr>
      <w:r>
        <w:t>Zur Geschichte der Sprachen:</w:t>
      </w:r>
    </w:p>
    <w:p w:rsidR="00BB7EDA" w:rsidRDefault="007D72B3">
      <w:pPr>
        <w:pStyle w:val="Tableofcontents30"/>
        <w:shd w:val="clear" w:color="auto" w:fill="auto"/>
        <w:tabs>
          <w:tab w:val="right" w:leader="dot" w:pos="5564"/>
        </w:tabs>
        <w:ind w:left="700"/>
      </w:pPr>
      <w:r>
        <w:fldChar w:fldCharType="begin"/>
      </w:r>
      <w:r>
        <w:instrText xml:space="preserve"> TOC \o "1-5" \h \z </w:instrText>
      </w:r>
      <w:r>
        <w:fldChar w:fldCharType="separate"/>
      </w:r>
      <w:r>
        <w:t xml:space="preserve">Evolution </w:t>
      </w:r>
      <w:r>
        <w:t>oder Devolution der Formenlehre?</w:t>
      </w:r>
      <w:r>
        <w:tab/>
        <w:t>203</w:t>
      </w:r>
    </w:p>
    <w:p w:rsidR="00BB7EDA" w:rsidRDefault="007D72B3">
      <w:pPr>
        <w:pStyle w:val="Tableofcontents30"/>
        <w:numPr>
          <w:ilvl w:val="1"/>
          <w:numId w:val="34"/>
        </w:numPr>
        <w:shd w:val="clear" w:color="auto" w:fill="auto"/>
        <w:tabs>
          <w:tab w:val="left" w:pos="654"/>
        </w:tabs>
      </w:pPr>
      <w:r>
        <w:t>Das Gesetz des Zerfalls und das Gesetz</w:t>
      </w:r>
    </w:p>
    <w:p w:rsidR="00BB7EDA" w:rsidRDefault="007D72B3">
      <w:pPr>
        <w:pStyle w:val="Tableofcontents30"/>
        <w:shd w:val="clear" w:color="auto" w:fill="auto"/>
        <w:tabs>
          <w:tab w:val="right" w:leader="dot" w:pos="5564"/>
        </w:tabs>
        <w:ind w:left="700"/>
      </w:pPr>
      <w:r>
        <w:t>der Kommunikations-Erhaltung</w:t>
      </w:r>
      <w:r>
        <w:tab/>
        <w:t>204</w:t>
      </w:r>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04" w:tooltip="Current Document">
        <w:r>
          <w:rPr>
            <w:rStyle w:val="Verzeichnis3Zchn"/>
          </w:rPr>
          <w:t>Zerfall der Formenlehre</w:t>
        </w:r>
        <w:r>
          <w:rPr>
            <w:rStyle w:val="Verzeichnis3Zchn"/>
          </w:rPr>
          <w:tab/>
          <w:t>204</w:t>
        </w:r>
      </w:hyperlink>
    </w:p>
    <w:p w:rsidR="00BB7EDA" w:rsidRDefault="007D72B3">
      <w:pPr>
        <w:pStyle w:val="Verzeichnis3"/>
        <w:numPr>
          <w:ilvl w:val="2"/>
          <w:numId w:val="34"/>
        </w:numPr>
        <w:shd w:val="clear" w:color="auto" w:fill="auto"/>
        <w:tabs>
          <w:tab w:val="left" w:pos="654"/>
        </w:tabs>
        <w:spacing w:line="226" w:lineRule="exact"/>
        <w:ind w:firstLine="0"/>
      </w:pPr>
      <w:r>
        <w:t>Reparatur-, Ausgleichs- und Entwicklungsmechanismen 204</w:t>
      </w:r>
    </w:p>
    <w:p w:rsidR="00BB7EDA" w:rsidRDefault="007D72B3">
      <w:pPr>
        <w:pStyle w:val="Verzeichnis3"/>
        <w:numPr>
          <w:ilvl w:val="2"/>
          <w:numId w:val="34"/>
        </w:numPr>
        <w:shd w:val="clear" w:color="auto" w:fill="auto"/>
        <w:tabs>
          <w:tab w:val="left" w:pos="654"/>
          <w:tab w:val="left" w:leader="dot" w:pos="5222"/>
        </w:tabs>
        <w:spacing w:line="226" w:lineRule="exact"/>
        <w:ind w:firstLine="0"/>
      </w:pPr>
      <w:r>
        <w:t>Auf und</w:t>
      </w:r>
      <w:r>
        <w:t xml:space="preserve"> Ab: Prozesse auf verschiedenen Ebenen</w:t>
      </w:r>
      <w:r>
        <w:tab/>
        <w:t>205</w:t>
      </w:r>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06" w:tooltip="Current Document">
        <w:r>
          <w:rPr>
            <w:rStyle w:val="Verzeichnis3Zchn"/>
          </w:rPr>
          <w:t>Von synthetischen zu analytischen Formen</w:t>
        </w:r>
        <w:r>
          <w:rPr>
            <w:rStyle w:val="Verzeichnis3Zchn"/>
          </w:rPr>
          <w:tab/>
          <w:t>206</w:t>
        </w:r>
      </w:hyperlink>
    </w:p>
    <w:p w:rsidR="00BB7EDA" w:rsidRDefault="007D72B3">
      <w:pPr>
        <w:pStyle w:val="Tableofcontents30"/>
        <w:numPr>
          <w:ilvl w:val="1"/>
          <w:numId w:val="34"/>
        </w:numPr>
        <w:shd w:val="clear" w:color="auto" w:fill="auto"/>
        <w:tabs>
          <w:tab w:val="left" w:pos="654"/>
        </w:tabs>
      </w:pPr>
      <w:r>
        <w:t>Beispiele aus der hamito-semitischen</w:t>
      </w:r>
    </w:p>
    <w:p w:rsidR="00BB7EDA" w:rsidRDefault="007D72B3">
      <w:pPr>
        <w:pStyle w:val="Tableofcontents30"/>
        <w:shd w:val="clear" w:color="auto" w:fill="auto"/>
        <w:tabs>
          <w:tab w:val="right" w:leader="dot" w:pos="5564"/>
        </w:tabs>
        <w:ind w:left="700"/>
      </w:pPr>
      <w:r>
        <w:t>Sprachgeschichte</w:t>
      </w:r>
      <w:r>
        <w:tab/>
        <w:t>206</w:t>
      </w:r>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08" w:tooltip="Current Document">
        <w:r>
          <w:rPr>
            <w:rStyle w:val="Verzeichnis3Zchn"/>
          </w:rPr>
          <w:t>Akkadisch</w:t>
        </w:r>
        <w:r>
          <w:rPr>
            <w:rStyle w:val="Verzeichnis3Zchn"/>
          </w:rPr>
          <w:tab/>
          <w:t>206</w:t>
        </w:r>
      </w:hyperlink>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09" w:tooltip="Current Document">
        <w:r>
          <w:rPr>
            <w:rStyle w:val="Verzeichnis3Zchn"/>
          </w:rPr>
          <w:t>Ägyptisch</w:t>
        </w:r>
        <w:r>
          <w:rPr>
            <w:rStyle w:val="Verzeichnis3Zchn"/>
          </w:rPr>
          <w:tab/>
          <w:t>207</w:t>
        </w:r>
      </w:hyperlink>
    </w:p>
    <w:p w:rsidR="00BB7EDA" w:rsidRDefault="007D72B3">
      <w:pPr>
        <w:pStyle w:val="Verzeichnis3"/>
        <w:numPr>
          <w:ilvl w:val="2"/>
          <w:numId w:val="34"/>
        </w:numPr>
        <w:shd w:val="clear" w:color="auto" w:fill="auto"/>
        <w:tabs>
          <w:tab w:val="left" w:pos="654"/>
          <w:tab w:val="right" w:leader="dot" w:pos="5564"/>
        </w:tabs>
        <w:spacing w:line="226" w:lineRule="exact"/>
        <w:ind w:firstLine="0"/>
      </w:pPr>
      <w:r>
        <w:t>Flebräisch</w:t>
      </w:r>
      <w:r>
        <w:tab/>
        <w:t>209</w:t>
      </w:r>
    </w:p>
    <w:p w:rsidR="00BB7EDA" w:rsidRDefault="007D72B3">
      <w:pPr>
        <w:pStyle w:val="Tableofcontents0"/>
        <w:numPr>
          <w:ilvl w:val="3"/>
          <w:numId w:val="34"/>
        </w:numPr>
        <w:shd w:val="clear" w:color="auto" w:fill="auto"/>
        <w:tabs>
          <w:tab w:val="left" w:pos="1380"/>
          <w:tab w:val="left" w:leader="dot" w:pos="5222"/>
        </w:tabs>
        <w:spacing w:line="226" w:lineRule="exact"/>
        <w:ind w:left="700"/>
      </w:pPr>
      <w:hyperlink w:anchor="bookmark71" w:tooltip="Current Document">
        <w:r>
          <w:t>Perioden der hebräischen Sprachgeschichte</w:t>
        </w:r>
        <w:r>
          <w:rPr>
            <w:rStyle w:val="TableofcontentsNotItalic"/>
          </w:rPr>
          <w:tab/>
          <w:t>209</w:t>
        </w:r>
      </w:hyperlink>
    </w:p>
    <w:p w:rsidR="00BB7EDA" w:rsidRDefault="007D72B3">
      <w:pPr>
        <w:pStyle w:val="Tableofcontents0"/>
        <w:numPr>
          <w:ilvl w:val="3"/>
          <w:numId w:val="34"/>
        </w:numPr>
        <w:shd w:val="clear" w:color="auto" w:fill="auto"/>
        <w:tabs>
          <w:tab w:val="left" w:pos="1394"/>
          <w:tab w:val="right" w:leader="dot" w:pos="5564"/>
        </w:tabs>
        <w:spacing w:line="226" w:lineRule="exact"/>
        <w:ind w:left="700"/>
      </w:pPr>
      <w:r>
        <w:t>Zerfall der Kasusformen</w:t>
      </w:r>
      <w:r>
        <w:rPr>
          <w:rStyle w:val="TableofcontentsNotItalic"/>
        </w:rPr>
        <w:tab/>
        <w:t>210</w:t>
      </w:r>
    </w:p>
    <w:p w:rsidR="00BB7EDA" w:rsidRDefault="007D72B3">
      <w:pPr>
        <w:pStyle w:val="Tableofcontents0"/>
        <w:numPr>
          <w:ilvl w:val="3"/>
          <w:numId w:val="34"/>
        </w:numPr>
        <w:shd w:val="clear" w:color="auto" w:fill="auto"/>
        <w:tabs>
          <w:tab w:val="left" w:pos="1394"/>
          <w:tab w:val="right" w:leader="dot" w:pos="5564"/>
        </w:tabs>
        <w:spacing w:line="226" w:lineRule="exact"/>
        <w:ind w:left="700"/>
      </w:pPr>
      <w:r>
        <w:t xml:space="preserve">Zerfall im Bereich der </w:t>
      </w:r>
      <w:r>
        <w:t>Verbalformen</w:t>
      </w:r>
      <w:r>
        <w:rPr>
          <w:rStyle w:val="TableofcontentsNotItalic"/>
        </w:rPr>
        <w:tab/>
        <w:t>210</w:t>
      </w:r>
    </w:p>
    <w:p w:rsidR="00BB7EDA" w:rsidRDefault="007D72B3">
      <w:pPr>
        <w:pStyle w:val="Tableofcontents30"/>
        <w:numPr>
          <w:ilvl w:val="1"/>
          <w:numId w:val="34"/>
        </w:numPr>
        <w:shd w:val="clear" w:color="auto" w:fill="auto"/>
        <w:tabs>
          <w:tab w:val="left" w:pos="654"/>
          <w:tab w:val="left" w:leader="dot" w:pos="5222"/>
        </w:tabs>
      </w:pPr>
      <w:hyperlink w:anchor="bookmark110" w:tooltip="Current Document">
        <w:r>
          <w:t>Beispiele aus den indogermanischen Sprachen</w:t>
        </w:r>
        <w:r>
          <w:tab/>
          <w:t>212</w:t>
        </w:r>
      </w:hyperlink>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11" w:tooltip="Current Document">
        <w:r>
          <w:rPr>
            <w:rStyle w:val="Verzeichnis3Zchn"/>
          </w:rPr>
          <w:t>Indo-arische Sprachen</w:t>
        </w:r>
        <w:r>
          <w:rPr>
            <w:rStyle w:val="Verzeichnis3Zchn"/>
          </w:rPr>
          <w:tab/>
          <w:t>212</w:t>
        </w:r>
      </w:hyperlink>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12" w:tooltip="Current Document">
        <w:r>
          <w:rPr>
            <w:rStyle w:val="Verzeichnis3Zchn"/>
          </w:rPr>
          <w:t>Griechisch</w:t>
        </w:r>
        <w:r>
          <w:rPr>
            <w:rStyle w:val="Verzeichnis3Zchn"/>
          </w:rPr>
          <w:tab/>
          <w:t>213</w:t>
        </w:r>
      </w:hyperlink>
    </w:p>
    <w:p w:rsidR="00BB7EDA" w:rsidRDefault="007D72B3">
      <w:pPr>
        <w:pStyle w:val="Tableofcontents0"/>
        <w:numPr>
          <w:ilvl w:val="3"/>
          <w:numId w:val="34"/>
        </w:numPr>
        <w:shd w:val="clear" w:color="auto" w:fill="auto"/>
        <w:tabs>
          <w:tab w:val="left" w:pos="1385"/>
          <w:tab w:val="left" w:leader="dot" w:pos="5222"/>
        </w:tabs>
        <w:spacing w:line="226" w:lineRule="exact"/>
        <w:ind w:left="700"/>
      </w:pPr>
      <w:hyperlink w:anchor="bookmark77" w:tooltip="Current Document">
        <w:r>
          <w:t>Perioden der griechischen Sprachgeschichte</w:t>
        </w:r>
        <w:r>
          <w:rPr>
            <w:rStyle w:val="TableofcontentsNotItalic"/>
          </w:rPr>
          <w:tab/>
          <w:t>213</w:t>
        </w:r>
      </w:hyperlink>
    </w:p>
    <w:p w:rsidR="00BB7EDA" w:rsidRDefault="007D72B3">
      <w:pPr>
        <w:pStyle w:val="Tableofcontents0"/>
        <w:numPr>
          <w:ilvl w:val="3"/>
          <w:numId w:val="34"/>
        </w:numPr>
        <w:shd w:val="clear" w:color="auto" w:fill="auto"/>
        <w:tabs>
          <w:tab w:val="left" w:pos="1394"/>
          <w:tab w:val="right" w:leader="dot" w:pos="5564"/>
        </w:tabs>
        <w:spacing w:line="226" w:lineRule="exact"/>
        <w:ind w:left="700"/>
      </w:pPr>
      <w:r>
        <w:t>Zum griechischen Verbalsystem</w:t>
      </w:r>
      <w:r>
        <w:rPr>
          <w:rStyle w:val="TableofcontentsNotItalic"/>
        </w:rPr>
        <w:tab/>
        <w:t>214</w:t>
      </w:r>
    </w:p>
    <w:p w:rsidR="00BB7EDA" w:rsidRDefault="007D72B3">
      <w:pPr>
        <w:pStyle w:val="Tableofcontents0"/>
        <w:numPr>
          <w:ilvl w:val="3"/>
          <w:numId w:val="34"/>
        </w:numPr>
        <w:shd w:val="clear" w:color="auto" w:fill="auto"/>
        <w:tabs>
          <w:tab w:val="left" w:pos="1394"/>
        </w:tabs>
        <w:spacing w:line="226" w:lineRule="exact"/>
        <w:ind w:left="700"/>
      </w:pPr>
      <w:r>
        <w:t>Altgriechisch im Vergleich mit der modernen</w:t>
      </w:r>
    </w:p>
    <w:p w:rsidR="00BB7EDA" w:rsidRDefault="007D72B3">
      <w:pPr>
        <w:pStyle w:val="Tableofcontents0"/>
        <w:shd w:val="clear" w:color="auto" w:fill="auto"/>
        <w:tabs>
          <w:tab w:val="right" w:leader="dot" w:pos="5564"/>
        </w:tabs>
        <w:spacing w:line="226" w:lineRule="exact"/>
        <w:ind w:left="1380"/>
      </w:pPr>
      <w:r>
        <w:t>Sprachstufe</w:t>
      </w:r>
      <w:r>
        <w:rPr>
          <w:rStyle w:val="TableofcontentsNotItalic"/>
        </w:rPr>
        <w:tab/>
        <w:t>214</w:t>
      </w:r>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13" w:tooltip="Current Document">
        <w:r>
          <w:rPr>
            <w:rStyle w:val="Verzeichnis3Zchn"/>
          </w:rPr>
          <w:t>Latein und die romanischen Sprachen</w:t>
        </w:r>
        <w:r>
          <w:rPr>
            <w:rStyle w:val="Verzeichnis3Zchn"/>
          </w:rPr>
          <w:tab/>
          <w:t>215</w:t>
        </w:r>
      </w:hyperlink>
    </w:p>
    <w:p w:rsidR="00BB7EDA" w:rsidRDefault="007D72B3">
      <w:pPr>
        <w:pStyle w:val="Tableofcontents0"/>
        <w:numPr>
          <w:ilvl w:val="3"/>
          <w:numId w:val="34"/>
        </w:numPr>
        <w:shd w:val="clear" w:color="auto" w:fill="auto"/>
        <w:tabs>
          <w:tab w:val="left" w:pos="1380"/>
          <w:tab w:val="right" w:leader="dot" w:pos="5564"/>
        </w:tabs>
        <w:spacing w:line="226" w:lineRule="exact"/>
        <w:ind w:left="700"/>
      </w:pPr>
      <w:r>
        <w:t>Zum lateinischen Nominalsystem</w:t>
      </w:r>
      <w:r>
        <w:rPr>
          <w:rStyle w:val="TableofcontentsNotItalic"/>
        </w:rPr>
        <w:tab/>
        <w:t>215</w:t>
      </w:r>
    </w:p>
    <w:p w:rsidR="00BB7EDA" w:rsidRDefault="007D72B3">
      <w:pPr>
        <w:pStyle w:val="Tableofcontents0"/>
        <w:numPr>
          <w:ilvl w:val="3"/>
          <w:numId w:val="34"/>
        </w:numPr>
        <w:shd w:val="clear" w:color="auto" w:fill="auto"/>
        <w:tabs>
          <w:tab w:val="left" w:pos="1394"/>
        </w:tabs>
        <w:spacing w:line="226" w:lineRule="exact"/>
        <w:ind w:left="700"/>
      </w:pPr>
      <w:r>
        <w:t>Der Zusammenbruch des Kasussystems</w:t>
      </w:r>
    </w:p>
    <w:p w:rsidR="00BB7EDA" w:rsidRDefault="007D72B3">
      <w:pPr>
        <w:pStyle w:val="Tableofcontents0"/>
        <w:shd w:val="clear" w:color="auto" w:fill="auto"/>
        <w:tabs>
          <w:tab w:val="right" w:leader="dot" w:pos="5564"/>
        </w:tabs>
        <w:spacing w:line="226" w:lineRule="exact"/>
        <w:ind w:left="1380"/>
      </w:pPr>
      <w:r>
        <w:t>in den romanischen Sprachen</w:t>
      </w:r>
      <w:r>
        <w:rPr>
          <w:rStyle w:val="TableofcontentsNotItalic"/>
        </w:rPr>
        <w:tab/>
        <w:t>216</w:t>
      </w:r>
    </w:p>
    <w:p w:rsidR="00BB7EDA" w:rsidRDefault="007D72B3">
      <w:pPr>
        <w:pStyle w:val="Tableofcontents0"/>
        <w:numPr>
          <w:ilvl w:val="3"/>
          <w:numId w:val="34"/>
        </w:numPr>
        <w:shd w:val="clear" w:color="auto" w:fill="auto"/>
        <w:tabs>
          <w:tab w:val="left" w:pos="1394"/>
        </w:tabs>
        <w:spacing w:line="226" w:lineRule="exact"/>
        <w:ind w:left="700"/>
      </w:pPr>
      <w:r>
        <w:t>Der Zusammenbruch im Bereich der Verbalformen</w:t>
      </w:r>
      <w:r>
        <w:rPr>
          <w:rStyle w:val="TableofcontentsNotItalic"/>
        </w:rPr>
        <w:t xml:space="preserve"> 216</w:t>
      </w:r>
    </w:p>
    <w:p w:rsidR="00BB7EDA" w:rsidRDefault="007D72B3">
      <w:pPr>
        <w:pStyle w:val="Verzeichnis3"/>
        <w:numPr>
          <w:ilvl w:val="2"/>
          <w:numId w:val="34"/>
        </w:numPr>
        <w:shd w:val="clear" w:color="auto" w:fill="auto"/>
        <w:tabs>
          <w:tab w:val="left" w:pos="654"/>
          <w:tab w:val="right" w:leader="dot" w:pos="5564"/>
        </w:tabs>
        <w:spacing w:line="226" w:lineRule="exact"/>
        <w:ind w:firstLine="0"/>
      </w:pPr>
      <w:r>
        <w:t>Deutsch</w:t>
      </w:r>
      <w:r>
        <w:tab/>
        <w:t>21</w:t>
      </w:r>
      <w:r>
        <w:t>7</w:t>
      </w:r>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14" w:tooltip="Current Document">
        <w:r>
          <w:rPr>
            <w:rStyle w:val="Verzeichnis3Zchn"/>
          </w:rPr>
          <w:t>Alemannische Schweizer-Dialekte</w:t>
        </w:r>
        <w:r>
          <w:rPr>
            <w:rStyle w:val="Verzeichnis3Zchn"/>
          </w:rPr>
          <w:tab/>
          <w:t>218</w:t>
        </w:r>
      </w:hyperlink>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15" w:tooltip="Current Document">
        <w:r>
          <w:rPr>
            <w:rStyle w:val="Verzeichnis3Zchn"/>
          </w:rPr>
          <w:t>Englisch</w:t>
        </w:r>
        <w:r>
          <w:rPr>
            <w:rStyle w:val="Verzeichnis3Zchn"/>
          </w:rPr>
          <w:tab/>
          <w:t>218</w:t>
        </w:r>
      </w:hyperlink>
    </w:p>
    <w:p w:rsidR="00BB7EDA" w:rsidRDefault="007D72B3">
      <w:pPr>
        <w:pStyle w:val="Tableofcontents30"/>
        <w:numPr>
          <w:ilvl w:val="1"/>
          <w:numId w:val="34"/>
        </w:numPr>
        <w:shd w:val="clear" w:color="auto" w:fill="auto"/>
        <w:tabs>
          <w:tab w:val="left" w:pos="654"/>
          <w:tab w:val="right" w:leader="dot" w:pos="5564"/>
        </w:tabs>
      </w:pPr>
      <w:hyperlink w:anchor="bookmark116" w:tooltip="Current Document">
        <w:r>
          <w:t>Weitere Sprachstämme</w:t>
        </w:r>
        <w:r>
          <w:tab/>
          <w:t>220</w:t>
        </w:r>
      </w:hyperlink>
    </w:p>
    <w:p w:rsidR="00BB7EDA" w:rsidRDefault="007D72B3">
      <w:pPr>
        <w:pStyle w:val="Verzeichnis3"/>
        <w:numPr>
          <w:ilvl w:val="2"/>
          <w:numId w:val="34"/>
        </w:numPr>
        <w:shd w:val="clear" w:color="auto" w:fill="auto"/>
        <w:tabs>
          <w:tab w:val="left" w:pos="654"/>
          <w:tab w:val="right" w:leader="dot" w:pos="5564"/>
        </w:tabs>
        <w:spacing w:line="226" w:lineRule="exact"/>
        <w:ind w:firstLine="0"/>
      </w:pPr>
      <w:r>
        <w:t>Chinesisch</w:t>
      </w:r>
      <w:r>
        <w:tab/>
        <w:t>2</w:t>
      </w:r>
      <w:r>
        <w:t>20</w:t>
      </w:r>
    </w:p>
    <w:p w:rsidR="00BB7EDA" w:rsidRDefault="007D72B3">
      <w:pPr>
        <w:pStyle w:val="Tableofcontents0"/>
        <w:numPr>
          <w:ilvl w:val="3"/>
          <w:numId w:val="34"/>
        </w:numPr>
        <w:shd w:val="clear" w:color="auto" w:fill="auto"/>
        <w:tabs>
          <w:tab w:val="left" w:pos="1380"/>
          <w:tab w:val="right" w:leader="dot" w:pos="5564"/>
        </w:tabs>
        <w:spacing w:line="226" w:lineRule="exact"/>
        <w:ind w:left="700"/>
      </w:pPr>
      <w:r>
        <w:t>Chinesisch</w:t>
      </w:r>
      <w:r>
        <w:rPr>
          <w:rStyle w:val="TableofcontentsNotItalic"/>
        </w:rPr>
        <w:t xml:space="preserve"> - </w:t>
      </w:r>
      <w:r>
        <w:t>eine primitive Sprache?</w:t>
      </w:r>
      <w:r>
        <w:rPr>
          <w:rStyle w:val="TableofcontentsNotItalic"/>
        </w:rPr>
        <w:tab/>
        <w:t>221</w:t>
      </w:r>
    </w:p>
    <w:p w:rsidR="00BB7EDA" w:rsidRDefault="007D72B3">
      <w:pPr>
        <w:pStyle w:val="Tableofcontents0"/>
        <w:numPr>
          <w:ilvl w:val="3"/>
          <w:numId w:val="34"/>
        </w:numPr>
        <w:shd w:val="clear" w:color="auto" w:fill="auto"/>
        <w:tabs>
          <w:tab w:val="left" w:pos="1394"/>
        </w:tabs>
        <w:spacing w:line="226" w:lineRule="exact"/>
        <w:ind w:left="700"/>
      </w:pPr>
      <w:r>
        <w:t>Zum evolutionistischen Sprachstufenplan von</w:t>
      </w:r>
    </w:p>
    <w:p w:rsidR="00BB7EDA" w:rsidRDefault="007D72B3">
      <w:pPr>
        <w:pStyle w:val="Tableofcontents40"/>
        <w:shd w:val="clear" w:color="auto" w:fill="auto"/>
        <w:tabs>
          <w:tab w:val="right" w:leader="dot" w:pos="5564"/>
        </w:tabs>
        <w:ind w:left="1380"/>
      </w:pPr>
      <w:r>
        <w:rPr>
          <w:rStyle w:val="Tableofcontents4SmallCaps"/>
          <w:i/>
          <w:iCs/>
        </w:rPr>
        <w:t>Schlegel</w:t>
      </w:r>
      <w:r>
        <w:rPr>
          <w:rStyle w:val="Tableofcontents49ptNotItalic"/>
        </w:rPr>
        <w:tab/>
        <w:t>221</w:t>
      </w:r>
    </w:p>
    <w:p w:rsidR="00BB7EDA" w:rsidRDefault="007D72B3">
      <w:pPr>
        <w:pStyle w:val="Tableofcontents0"/>
        <w:numPr>
          <w:ilvl w:val="3"/>
          <w:numId w:val="34"/>
        </w:numPr>
        <w:shd w:val="clear" w:color="auto" w:fill="auto"/>
        <w:tabs>
          <w:tab w:val="left" w:pos="1394"/>
          <w:tab w:val="right" w:leader="dot" w:pos="5564"/>
        </w:tabs>
        <w:spacing w:line="226" w:lineRule="exact"/>
        <w:ind w:left="700"/>
      </w:pPr>
      <w:r>
        <w:rPr>
          <w:rStyle w:val="Tableofcontents8ptSmallCaps"/>
          <w:i/>
          <w:iCs/>
        </w:rPr>
        <w:t xml:space="preserve">Humboldts </w:t>
      </w:r>
      <w:r>
        <w:t>Umkehrung der Verhältnisse</w:t>
      </w:r>
      <w:r>
        <w:rPr>
          <w:rStyle w:val="TableofcontentsNotItalic"/>
        </w:rPr>
        <w:tab/>
        <w:t>222</w:t>
      </w:r>
    </w:p>
    <w:p w:rsidR="00BB7EDA" w:rsidRDefault="007D72B3">
      <w:pPr>
        <w:pStyle w:val="Tableofcontents0"/>
        <w:numPr>
          <w:ilvl w:val="3"/>
          <w:numId w:val="34"/>
        </w:numPr>
        <w:shd w:val="clear" w:color="auto" w:fill="auto"/>
        <w:tabs>
          <w:tab w:val="left" w:pos="1399"/>
          <w:tab w:val="right" w:leader="dot" w:pos="5564"/>
        </w:tabs>
        <w:spacing w:line="226" w:lineRule="exact"/>
        <w:ind w:left="700"/>
      </w:pPr>
      <w:r>
        <w:rPr>
          <w:rStyle w:val="Tableofcontents8ptSmallCaps"/>
          <w:i/>
          <w:iCs/>
        </w:rPr>
        <w:t xml:space="preserve">Schleichers </w:t>
      </w:r>
      <w:r>
        <w:t>mogelnde Dialektik</w:t>
      </w:r>
      <w:r>
        <w:rPr>
          <w:rStyle w:val="TableofcontentsNotItalic"/>
        </w:rPr>
        <w:tab/>
        <w:t>222</w:t>
      </w:r>
    </w:p>
    <w:p w:rsidR="00BB7EDA" w:rsidRDefault="007D72B3">
      <w:pPr>
        <w:pStyle w:val="Tableofcontents0"/>
        <w:numPr>
          <w:ilvl w:val="3"/>
          <w:numId w:val="34"/>
        </w:numPr>
        <w:shd w:val="clear" w:color="auto" w:fill="auto"/>
        <w:tabs>
          <w:tab w:val="left" w:pos="1399"/>
          <w:tab w:val="right" w:leader="dot" w:pos="5564"/>
        </w:tabs>
        <w:spacing w:line="226" w:lineRule="exact"/>
        <w:ind w:left="700"/>
      </w:pPr>
      <w:r>
        <w:t>Chinesisch - kein sprachlicher „Erstling"</w:t>
      </w:r>
      <w:r>
        <w:rPr>
          <w:rStyle w:val="TableofcontentsNotItalic"/>
        </w:rPr>
        <w:tab/>
        <w:t>223</w:t>
      </w:r>
    </w:p>
    <w:p w:rsidR="00BB7EDA" w:rsidRDefault="007D72B3">
      <w:pPr>
        <w:pStyle w:val="Verzeichnis5"/>
        <w:numPr>
          <w:ilvl w:val="2"/>
          <w:numId w:val="34"/>
        </w:numPr>
        <w:shd w:val="clear" w:color="auto" w:fill="auto"/>
        <w:tabs>
          <w:tab w:val="left" w:pos="654"/>
          <w:tab w:val="right" w:leader="dot" w:pos="5564"/>
        </w:tabs>
        <w:spacing w:line="226" w:lineRule="exact"/>
        <w:ind w:firstLine="0"/>
      </w:pPr>
      <w:hyperlink w:anchor="bookmark117" w:tooltip="Current Document">
        <w:r>
          <w:rPr>
            <w:rStyle w:val="Verzeichnis3Zchn"/>
          </w:rPr>
          <w:t>Bantu-Sprachen Afrikas</w:t>
        </w:r>
        <w:r>
          <w:rPr>
            <w:rStyle w:val="Verzeichnis3Zchn"/>
          </w:rPr>
          <w:tab/>
          <w:t>224</w:t>
        </w:r>
      </w:hyperlink>
    </w:p>
    <w:p w:rsidR="00BB7EDA" w:rsidRDefault="007D72B3">
      <w:pPr>
        <w:pStyle w:val="Verzeichnis4"/>
        <w:numPr>
          <w:ilvl w:val="1"/>
          <w:numId w:val="34"/>
        </w:numPr>
        <w:shd w:val="clear" w:color="auto" w:fill="auto"/>
        <w:tabs>
          <w:tab w:val="left" w:pos="667"/>
          <w:tab w:val="right" w:leader="dot" w:pos="5551"/>
        </w:tabs>
        <w:spacing w:after="218" w:line="180" w:lineRule="exact"/>
        <w:ind w:firstLine="0"/>
      </w:pPr>
      <w:hyperlink w:anchor="bookmark118" w:tooltip="Current Document">
        <w:r>
          <w:rPr>
            <w:rStyle w:val="Verzeichnis3Zchn"/>
          </w:rPr>
          <w:t>Fazit: Sprachgeschichte contra Evolution</w:t>
        </w:r>
        <w:r>
          <w:rPr>
            <w:rStyle w:val="Verzeichnis3Zchn"/>
          </w:rPr>
          <w:tab/>
          <w:t>225</w:t>
        </w:r>
      </w:hyperlink>
    </w:p>
    <w:p w:rsidR="00BB7EDA" w:rsidRDefault="007D72B3">
      <w:pPr>
        <w:pStyle w:val="Verzeichnis3"/>
        <w:numPr>
          <w:ilvl w:val="0"/>
          <w:numId w:val="34"/>
        </w:numPr>
        <w:shd w:val="clear" w:color="auto" w:fill="auto"/>
        <w:tabs>
          <w:tab w:val="left" w:pos="667"/>
          <w:tab w:val="right" w:leader="dot" w:pos="5551"/>
        </w:tabs>
        <w:spacing w:line="226" w:lineRule="exact"/>
        <w:ind w:firstLine="0"/>
      </w:pPr>
      <w:hyperlink w:anchor="bookmark119" w:tooltip="Current Document">
        <w:r>
          <w:t xml:space="preserve">Diskussion </w:t>
        </w:r>
        <w:r>
          <w:tab/>
          <w:t>227</w:t>
        </w:r>
      </w:hyperlink>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20" w:tooltip="Current Document">
        <w:r>
          <w:rPr>
            <w:rStyle w:val="Verzeichnis3Zchn"/>
          </w:rPr>
          <w:t xml:space="preserve">Große Zeiträume in der Sprachgeschichte </w:t>
        </w:r>
        <w:r>
          <w:rPr>
            <w:rStyle w:val="Verzeichnis3Zchn"/>
          </w:rPr>
          <w:tab/>
          <w:t>227</w:t>
        </w:r>
      </w:hyperlink>
    </w:p>
    <w:p w:rsidR="00BB7EDA" w:rsidRDefault="007D72B3">
      <w:pPr>
        <w:pStyle w:val="Verzeichnis5"/>
        <w:numPr>
          <w:ilvl w:val="2"/>
          <w:numId w:val="34"/>
        </w:numPr>
        <w:shd w:val="clear" w:color="auto" w:fill="auto"/>
        <w:tabs>
          <w:tab w:val="left" w:pos="667"/>
          <w:tab w:val="right" w:leader="dot" w:pos="5551"/>
        </w:tabs>
        <w:spacing w:line="226" w:lineRule="exact"/>
        <w:ind w:firstLine="0"/>
      </w:pPr>
      <w:hyperlink w:anchor="bookmark121" w:tooltip="Current Document">
        <w:r>
          <w:rPr>
            <w:rStyle w:val="Verzeichnis3Zchn"/>
          </w:rPr>
          <w:t>Einwand</w:t>
        </w:r>
        <w:r>
          <w:rPr>
            <w:rStyle w:val="Verzeichnis3Zchn"/>
          </w:rPr>
          <w:tab/>
          <w:t>227</w:t>
        </w:r>
      </w:hyperlink>
    </w:p>
    <w:p w:rsidR="00BB7EDA" w:rsidRDefault="007D72B3">
      <w:pPr>
        <w:pStyle w:val="Verzeichnis5"/>
        <w:numPr>
          <w:ilvl w:val="2"/>
          <w:numId w:val="34"/>
        </w:numPr>
        <w:shd w:val="clear" w:color="auto" w:fill="auto"/>
        <w:tabs>
          <w:tab w:val="left" w:pos="667"/>
          <w:tab w:val="right" w:leader="dot" w:pos="5551"/>
        </w:tabs>
        <w:spacing w:line="226" w:lineRule="exact"/>
        <w:ind w:firstLine="0"/>
      </w:pPr>
      <w:hyperlink w:anchor="bookmark122" w:tooltip="Current Document">
        <w:r>
          <w:rPr>
            <w:rStyle w:val="Verzeichnis3Zchn"/>
          </w:rPr>
          <w:t>Entgegnung</w:t>
        </w:r>
        <w:r>
          <w:rPr>
            <w:rStyle w:val="Verzeichnis3Zchn"/>
          </w:rPr>
          <w:tab/>
          <w:t>227</w:t>
        </w:r>
      </w:hyperlink>
    </w:p>
    <w:p w:rsidR="00BB7EDA" w:rsidRDefault="007D72B3">
      <w:pPr>
        <w:pStyle w:val="Tableofcontents0"/>
        <w:numPr>
          <w:ilvl w:val="3"/>
          <w:numId w:val="34"/>
        </w:numPr>
        <w:shd w:val="clear" w:color="auto" w:fill="auto"/>
        <w:tabs>
          <w:tab w:val="left" w:pos="1375"/>
          <w:tab w:val="right" w:leader="dot" w:pos="5551"/>
        </w:tabs>
        <w:spacing w:line="226" w:lineRule="exact"/>
        <w:ind w:left="700"/>
      </w:pPr>
      <w:r>
        <w:t>Vermeidung von Spe</w:t>
      </w:r>
      <w:r>
        <w:t>kulation</w:t>
      </w:r>
      <w:r>
        <w:rPr>
          <w:rStyle w:val="TableofcontentsNotItalic"/>
        </w:rPr>
        <w:tab/>
        <w:t>227</w:t>
      </w:r>
    </w:p>
    <w:p w:rsidR="00BB7EDA" w:rsidRDefault="007D72B3">
      <w:pPr>
        <w:pStyle w:val="Tableofcontents0"/>
        <w:numPr>
          <w:ilvl w:val="3"/>
          <w:numId w:val="34"/>
        </w:numPr>
        <w:shd w:val="clear" w:color="auto" w:fill="auto"/>
        <w:tabs>
          <w:tab w:val="left" w:pos="1390"/>
          <w:tab w:val="right" w:leader="dot" w:pos="5551"/>
        </w:tabs>
        <w:spacing w:line="226" w:lineRule="exact"/>
        <w:ind w:left="700"/>
      </w:pPr>
      <w:r>
        <w:t>Rezente Entstehung der Proto-Sprachen</w:t>
      </w:r>
      <w:r>
        <w:rPr>
          <w:rStyle w:val="TableofcontentsNotItalic"/>
        </w:rPr>
        <w:tab/>
        <w:t>227</w:t>
      </w:r>
    </w:p>
    <w:p w:rsidR="00BB7EDA" w:rsidRDefault="007D72B3">
      <w:pPr>
        <w:pStyle w:val="Tableofcontents0"/>
        <w:numPr>
          <w:ilvl w:val="0"/>
          <w:numId w:val="35"/>
        </w:numPr>
        <w:shd w:val="clear" w:color="auto" w:fill="auto"/>
        <w:tabs>
          <w:tab w:val="left" w:pos="1390"/>
          <w:tab w:val="left" w:leader="dot" w:pos="5231"/>
        </w:tabs>
        <w:spacing w:line="226" w:lineRule="exact"/>
        <w:ind w:left="700"/>
      </w:pPr>
      <w:r>
        <w:t>Hohe Geschwindigkeit der Sprachveränderungen ...</w:t>
      </w:r>
      <w:r>
        <w:rPr>
          <w:rStyle w:val="TableofcontentsNotItalic"/>
        </w:rPr>
        <w:t xml:space="preserve"> 228</w:t>
      </w:r>
    </w:p>
    <w:p w:rsidR="00BB7EDA" w:rsidRDefault="007D72B3">
      <w:pPr>
        <w:pStyle w:val="Tableofcontents0"/>
        <w:numPr>
          <w:ilvl w:val="0"/>
          <w:numId w:val="36"/>
        </w:numPr>
        <w:shd w:val="clear" w:color="auto" w:fill="auto"/>
        <w:tabs>
          <w:tab w:val="left" w:pos="1394"/>
          <w:tab w:val="left" w:leader="dot" w:pos="5234"/>
        </w:tabs>
        <w:spacing w:line="226" w:lineRule="exact"/>
        <w:ind w:left="700"/>
      </w:pPr>
      <w:r>
        <w:t>Prähistorische Evolution - historischer Zerfall?</w:t>
      </w:r>
      <w:r>
        <w:rPr>
          <w:rStyle w:val="TableofcontentsNotItalic"/>
        </w:rPr>
        <w:tab/>
        <w:t>227</w:t>
      </w:r>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23" w:tooltip="Current Document">
        <w:r>
          <w:rPr>
            <w:rStyle w:val="Verzeichnis3Zchn"/>
          </w:rPr>
          <w:t>Zyklische oder spiralische Entwicklung</w:t>
        </w:r>
        <w:r>
          <w:rPr>
            <w:rStyle w:val="Verzeichnis3Zchn"/>
          </w:rPr>
          <w:tab/>
        </w:r>
        <w:r>
          <w:rPr>
            <w:rStyle w:val="Verzeichnis3Zchn"/>
          </w:rPr>
          <w:t>230</w:t>
        </w:r>
      </w:hyperlink>
    </w:p>
    <w:p w:rsidR="00BB7EDA" w:rsidRDefault="007D72B3">
      <w:pPr>
        <w:pStyle w:val="Verzeichnis5"/>
        <w:numPr>
          <w:ilvl w:val="2"/>
          <w:numId w:val="34"/>
        </w:numPr>
        <w:shd w:val="clear" w:color="auto" w:fill="auto"/>
        <w:tabs>
          <w:tab w:val="left" w:pos="667"/>
          <w:tab w:val="right" w:leader="dot" w:pos="5551"/>
        </w:tabs>
        <w:spacing w:line="226" w:lineRule="exact"/>
        <w:ind w:firstLine="0"/>
      </w:pPr>
      <w:hyperlink w:anchor="bookmark124" w:tooltip="Current Document">
        <w:r>
          <w:rPr>
            <w:rStyle w:val="Verzeichnis3Zchn"/>
          </w:rPr>
          <w:t>Einwand</w:t>
        </w:r>
        <w:r>
          <w:rPr>
            <w:rStyle w:val="Verzeichnis3Zchn"/>
          </w:rPr>
          <w:tab/>
          <w:t>231</w:t>
        </w:r>
      </w:hyperlink>
    </w:p>
    <w:p w:rsidR="00BB7EDA" w:rsidRDefault="007D72B3">
      <w:pPr>
        <w:pStyle w:val="Verzeichnis5"/>
        <w:numPr>
          <w:ilvl w:val="2"/>
          <w:numId w:val="34"/>
        </w:numPr>
        <w:shd w:val="clear" w:color="auto" w:fill="auto"/>
        <w:tabs>
          <w:tab w:val="left" w:pos="667"/>
          <w:tab w:val="right" w:leader="dot" w:pos="5551"/>
        </w:tabs>
        <w:spacing w:line="226" w:lineRule="exact"/>
        <w:ind w:firstLine="0"/>
      </w:pPr>
      <w:hyperlink w:anchor="bookmark125" w:tooltip="Current Document">
        <w:r>
          <w:rPr>
            <w:rStyle w:val="Verzeichnis3Zchn"/>
          </w:rPr>
          <w:t>Entgegnung</w:t>
        </w:r>
        <w:r>
          <w:rPr>
            <w:rStyle w:val="Verzeichnis3Zchn"/>
          </w:rPr>
          <w:tab/>
          <w:t>231</w:t>
        </w:r>
      </w:hyperlink>
    </w:p>
    <w:p w:rsidR="00BB7EDA" w:rsidRDefault="007D72B3">
      <w:pPr>
        <w:pStyle w:val="Tableofcontents0"/>
        <w:numPr>
          <w:ilvl w:val="3"/>
          <w:numId w:val="34"/>
        </w:numPr>
        <w:shd w:val="clear" w:color="auto" w:fill="auto"/>
        <w:tabs>
          <w:tab w:val="left" w:pos="1375"/>
          <w:tab w:val="right" w:leader="dot" w:pos="5551"/>
        </w:tabs>
        <w:spacing w:line="226" w:lineRule="exact"/>
        <w:ind w:left="700"/>
      </w:pPr>
      <w:r>
        <w:t>Lineare contra zyklische Bewegung</w:t>
      </w:r>
      <w:r>
        <w:rPr>
          <w:rStyle w:val="TableofcontentsNotItalic"/>
        </w:rPr>
        <w:tab/>
        <w:t>231</w:t>
      </w:r>
    </w:p>
    <w:p w:rsidR="00BB7EDA" w:rsidRDefault="007D72B3">
      <w:pPr>
        <w:pStyle w:val="Tableofcontents0"/>
        <w:numPr>
          <w:ilvl w:val="3"/>
          <w:numId w:val="34"/>
        </w:numPr>
        <w:shd w:val="clear" w:color="auto" w:fill="auto"/>
        <w:tabs>
          <w:tab w:val="left" w:pos="1390"/>
        </w:tabs>
        <w:spacing w:line="226" w:lineRule="exact"/>
        <w:ind w:left="700"/>
      </w:pPr>
      <w:r>
        <w:t>Synthetische Formen entstanden aus analytischen .</w:t>
      </w:r>
      <w:r>
        <w:rPr>
          <w:rStyle w:val="TableofcontentsNotItalic"/>
        </w:rPr>
        <w:t xml:space="preserve"> 231</w:t>
      </w:r>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26" w:tooltip="Current Document">
        <w:r>
          <w:rPr>
            <w:rStyle w:val="Verzeichnis3Zchn"/>
          </w:rPr>
          <w:t xml:space="preserve">Einfachheit und Intelligenz </w:t>
        </w:r>
        <w:r>
          <w:rPr>
            <w:rStyle w:val="Verzeichnis3Zchn"/>
          </w:rPr>
          <w:tab/>
          <w:t>232</w:t>
        </w:r>
      </w:hyperlink>
    </w:p>
    <w:p w:rsidR="00BB7EDA" w:rsidRDefault="007D72B3">
      <w:pPr>
        <w:pStyle w:val="Verzeichnis5"/>
        <w:numPr>
          <w:ilvl w:val="2"/>
          <w:numId w:val="34"/>
        </w:numPr>
        <w:shd w:val="clear" w:color="auto" w:fill="auto"/>
        <w:tabs>
          <w:tab w:val="left" w:pos="667"/>
          <w:tab w:val="right" w:leader="dot" w:pos="5551"/>
        </w:tabs>
        <w:spacing w:line="226" w:lineRule="exact"/>
        <w:ind w:firstLine="0"/>
      </w:pPr>
      <w:hyperlink w:anchor="bookmark127" w:tooltip="Current Document">
        <w:r>
          <w:rPr>
            <w:rStyle w:val="Verzeichnis3Zchn"/>
          </w:rPr>
          <w:t>Einwände</w:t>
        </w:r>
        <w:r>
          <w:rPr>
            <w:rStyle w:val="Verzeichnis3Zchn"/>
          </w:rPr>
          <w:tab/>
          <w:t>232</w:t>
        </w:r>
      </w:hyperlink>
    </w:p>
    <w:p w:rsidR="00BB7EDA" w:rsidRDefault="007D72B3">
      <w:pPr>
        <w:pStyle w:val="Verzeichnis3"/>
        <w:numPr>
          <w:ilvl w:val="2"/>
          <w:numId w:val="34"/>
        </w:numPr>
        <w:shd w:val="clear" w:color="auto" w:fill="auto"/>
        <w:tabs>
          <w:tab w:val="left" w:pos="667"/>
          <w:tab w:val="right" w:leader="dot" w:pos="5551"/>
        </w:tabs>
        <w:spacing w:line="226" w:lineRule="exact"/>
        <w:ind w:firstLine="0"/>
      </w:pPr>
      <w:r>
        <w:t>Entgegnung zu a)</w:t>
      </w:r>
      <w:r>
        <w:tab/>
        <w:t>233</w:t>
      </w:r>
    </w:p>
    <w:p w:rsidR="00BB7EDA" w:rsidRDefault="007D72B3">
      <w:pPr>
        <w:pStyle w:val="Tableofcontents0"/>
        <w:numPr>
          <w:ilvl w:val="3"/>
          <w:numId w:val="34"/>
        </w:numPr>
        <w:shd w:val="clear" w:color="auto" w:fill="auto"/>
        <w:tabs>
          <w:tab w:val="left" w:pos="1375"/>
          <w:tab w:val="right" w:leader="dot" w:pos="5551"/>
        </w:tabs>
        <w:spacing w:line="226" w:lineRule="exact"/>
        <w:ind w:left="700"/>
      </w:pPr>
      <w:r>
        <w:t>Ökonomie (Sparsamkeit)</w:t>
      </w:r>
      <w:r>
        <w:rPr>
          <w:rStyle w:val="TableofcontentsNotItalic"/>
        </w:rPr>
        <w:t xml:space="preserve"> </w:t>
      </w:r>
      <w:r>
        <w:rPr>
          <w:rStyle w:val="TableofcontentsNotItalic"/>
        </w:rPr>
        <w:tab/>
        <w:t>233</w:t>
      </w:r>
    </w:p>
    <w:p w:rsidR="00BB7EDA" w:rsidRDefault="007D72B3">
      <w:pPr>
        <w:pStyle w:val="Tableofcontents0"/>
        <w:numPr>
          <w:ilvl w:val="0"/>
          <w:numId w:val="37"/>
        </w:numPr>
        <w:shd w:val="clear" w:color="auto" w:fill="auto"/>
        <w:tabs>
          <w:tab w:val="left" w:pos="1390"/>
          <w:tab w:val="right" w:leader="dot" w:pos="5551"/>
        </w:tabs>
        <w:spacing w:line="226" w:lineRule="exact"/>
        <w:ind w:left="700"/>
      </w:pPr>
      <w:r>
        <w:t>Zwang zu Präzision</w:t>
      </w:r>
      <w:r>
        <w:rPr>
          <w:rStyle w:val="TableofcontentsNotItalic"/>
        </w:rPr>
        <w:tab/>
        <w:t>235</w:t>
      </w:r>
    </w:p>
    <w:p w:rsidR="00BB7EDA" w:rsidRDefault="007D72B3">
      <w:pPr>
        <w:pStyle w:val="Tableofcontents0"/>
        <w:numPr>
          <w:ilvl w:val="0"/>
          <w:numId w:val="38"/>
        </w:numPr>
        <w:shd w:val="clear" w:color="auto" w:fill="auto"/>
        <w:tabs>
          <w:tab w:val="left" w:pos="1390"/>
          <w:tab w:val="right" w:leader="dot" w:pos="5551"/>
        </w:tabs>
        <w:spacing w:line="226" w:lineRule="exact"/>
        <w:ind w:left="700"/>
      </w:pPr>
      <w:r>
        <w:t>Flexibilität in der Wortstel</w:t>
      </w:r>
      <w:r>
        <w:t>lung</w:t>
      </w:r>
      <w:r>
        <w:rPr>
          <w:rStyle w:val="TableofcontentsNotItalic"/>
        </w:rPr>
        <w:tab/>
        <w:t>235</w:t>
      </w:r>
    </w:p>
    <w:p w:rsidR="00BB7EDA" w:rsidRDefault="007D72B3">
      <w:pPr>
        <w:pStyle w:val="Verzeichnis3"/>
        <w:numPr>
          <w:ilvl w:val="2"/>
          <w:numId w:val="34"/>
        </w:numPr>
        <w:shd w:val="clear" w:color="auto" w:fill="auto"/>
        <w:tabs>
          <w:tab w:val="left" w:pos="667"/>
          <w:tab w:val="right" w:leader="dot" w:pos="5551"/>
        </w:tabs>
        <w:spacing w:line="226" w:lineRule="exact"/>
        <w:ind w:firstLine="0"/>
      </w:pPr>
      <w:r>
        <w:t>Entgegnung zu b)</w:t>
      </w:r>
      <w:r>
        <w:tab/>
        <w:t>236</w:t>
      </w:r>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28" w:tooltip="Current Document">
        <w:r>
          <w:rPr>
            <w:rStyle w:val="Verzeichnis3Zchn"/>
          </w:rPr>
          <w:t>Morphologie woher?</w:t>
        </w:r>
        <w:r>
          <w:rPr>
            <w:rStyle w:val="Verzeichnis3Zchn"/>
          </w:rPr>
          <w:tab/>
          <w:t>237</w:t>
        </w:r>
      </w:hyperlink>
    </w:p>
    <w:p w:rsidR="00BB7EDA" w:rsidRDefault="007D72B3">
      <w:pPr>
        <w:pStyle w:val="Verzeichnis3"/>
        <w:numPr>
          <w:ilvl w:val="1"/>
          <w:numId w:val="34"/>
        </w:numPr>
        <w:shd w:val="clear" w:color="auto" w:fill="auto"/>
        <w:tabs>
          <w:tab w:val="left" w:pos="667"/>
        </w:tabs>
        <w:spacing w:line="226" w:lineRule="exact"/>
        <w:ind w:firstLine="0"/>
      </w:pPr>
      <w:r>
        <w:t>Sprachentwicklung im Bereich der Syntax</w:t>
      </w:r>
    </w:p>
    <w:p w:rsidR="00BB7EDA" w:rsidRDefault="007D72B3">
      <w:pPr>
        <w:pStyle w:val="Verzeichnis3"/>
        <w:shd w:val="clear" w:color="auto" w:fill="auto"/>
        <w:tabs>
          <w:tab w:val="right" w:leader="dot" w:pos="5551"/>
        </w:tabs>
        <w:spacing w:line="226" w:lineRule="exact"/>
        <w:ind w:left="700" w:firstLine="0"/>
      </w:pPr>
      <w:r>
        <w:t>und der Semantik</w:t>
      </w:r>
      <w:r>
        <w:tab/>
        <w:t>238</w:t>
      </w:r>
    </w:p>
    <w:p w:rsidR="00BB7EDA" w:rsidRDefault="007D72B3">
      <w:pPr>
        <w:pStyle w:val="Verzeichnis3"/>
        <w:numPr>
          <w:ilvl w:val="2"/>
          <w:numId w:val="34"/>
        </w:numPr>
        <w:shd w:val="clear" w:color="auto" w:fill="auto"/>
        <w:tabs>
          <w:tab w:val="left" w:pos="667"/>
        </w:tabs>
        <w:spacing w:line="226" w:lineRule="exact"/>
        <w:ind w:firstLine="0"/>
      </w:pPr>
      <w:r>
        <w:t>Zur Vokabularentwicklung:</w:t>
      </w:r>
    </w:p>
    <w:p w:rsidR="00BB7EDA" w:rsidRDefault="007D72B3">
      <w:pPr>
        <w:pStyle w:val="Verzeichnis3"/>
        <w:shd w:val="clear" w:color="auto" w:fill="auto"/>
        <w:tabs>
          <w:tab w:val="right" w:leader="dot" w:pos="5551"/>
        </w:tabs>
        <w:spacing w:line="226" w:lineRule="exact"/>
        <w:ind w:left="700" w:firstLine="0"/>
      </w:pPr>
      <w:r>
        <w:t>Keine Neubildungen aus dem Nichts</w:t>
      </w:r>
      <w:r>
        <w:tab/>
        <w:t>238</w:t>
      </w:r>
    </w:p>
    <w:p w:rsidR="00BB7EDA" w:rsidRDefault="007D72B3">
      <w:pPr>
        <w:pStyle w:val="Verzeichnis3"/>
        <w:numPr>
          <w:ilvl w:val="2"/>
          <w:numId w:val="34"/>
        </w:numPr>
        <w:shd w:val="clear" w:color="auto" w:fill="auto"/>
        <w:tabs>
          <w:tab w:val="left" w:pos="667"/>
          <w:tab w:val="right" w:leader="dot" w:pos="5551"/>
        </w:tabs>
        <w:spacing w:after="180" w:line="226" w:lineRule="exact"/>
        <w:ind w:firstLine="0"/>
      </w:pPr>
      <w:r>
        <w:t>Zur Entwicklung in der</w:t>
      </w:r>
      <w:r>
        <w:t xml:space="preserve"> Syntax</w:t>
      </w:r>
      <w:r>
        <w:tab/>
        <w:t>239</w:t>
      </w:r>
    </w:p>
    <w:p w:rsidR="00BB7EDA" w:rsidRDefault="007D72B3">
      <w:pPr>
        <w:pStyle w:val="Verzeichnis3"/>
        <w:numPr>
          <w:ilvl w:val="0"/>
          <w:numId w:val="34"/>
        </w:numPr>
        <w:shd w:val="clear" w:color="auto" w:fill="auto"/>
        <w:tabs>
          <w:tab w:val="left" w:pos="667"/>
          <w:tab w:val="right" w:leader="dot" w:pos="5551"/>
        </w:tabs>
        <w:spacing w:line="226" w:lineRule="exact"/>
        <w:ind w:firstLine="0"/>
      </w:pPr>
      <w:hyperlink w:anchor="bookmark131" w:tooltip="Current Document">
        <w:r>
          <w:t>Zum Phänomen des Sprachcnrcdcns im NT</w:t>
        </w:r>
        <w:r>
          <w:tab/>
          <w:t>24l</w:t>
        </w:r>
      </w:hyperlink>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32" w:tooltip="Current Document">
        <w:r>
          <w:rPr>
            <w:rStyle w:val="Verzeichnis3Zchn"/>
          </w:rPr>
          <w:t>Übersicht über die Thematik</w:t>
        </w:r>
        <w:r>
          <w:rPr>
            <w:rStyle w:val="Verzeichnis3Zchn"/>
          </w:rPr>
          <w:tab/>
          <w:t>241</w:t>
        </w:r>
      </w:hyperlink>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33" w:tooltip="Current Document">
        <w:r>
          <w:rPr>
            <w:rStyle w:val="Verzeichnis3Zchn"/>
          </w:rPr>
          <w:t>Zu</w:t>
        </w:r>
        <w:r>
          <w:rPr>
            <w:rStyle w:val="Verzeichnis3Zchn"/>
          </w:rPr>
          <w:t xml:space="preserve">r Glaubwürdigkeit der Schriften des Lukas </w:t>
        </w:r>
        <w:r>
          <w:rPr>
            <w:rStyle w:val="Verzeichnis3Zchn"/>
          </w:rPr>
          <w:tab/>
          <w:t>242</w:t>
        </w:r>
      </w:hyperlink>
    </w:p>
    <w:p w:rsidR="00BB7EDA" w:rsidRDefault="007D72B3">
      <w:pPr>
        <w:pStyle w:val="Verzeichnis3"/>
        <w:numPr>
          <w:ilvl w:val="1"/>
          <w:numId w:val="34"/>
        </w:numPr>
        <w:shd w:val="clear" w:color="auto" w:fill="auto"/>
        <w:tabs>
          <w:tab w:val="left" w:pos="667"/>
        </w:tabs>
        <w:spacing w:line="226" w:lineRule="exact"/>
        <w:ind w:firstLine="0"/>
      </w:pPr>
      <w:r>
        <w:t>Das Phänomen des Sprachenredens</w:t>
      </w:r>
    </w:p>
    <w:p w:rsidR="00BB7EDA" w:rsidRDefault="007D72B3">
      <w:pPr>
        <w:pStyle w:val="Verzeichnis3"/>
        <w:shd w:val="clear" w:color="auto" w:fill="auto"/>
        <w:tabs>
          <w:tab w:val="right" w:leader="dot" w:pos="5551"/>
        </w:tabs>
        <w:spacing w:line="226" w:lineRule="exact"/>
        <w:ind w:left="700" w:firstLine="0"/>
      </w:pPr>
      <w:r>
        <w:t>am Pfingsttag 32 n. Chr</w:t>
      </w:r>
      <w:r>
        <w:tab/>
        <w:t>243</w:t>
      </w:r>
    </w:p>
    <w:p w:rsidR="00BB7EDA" w:rsidRDefault="007D72B3">
      <w:pPr>
        <w:pStyle w:val="Verzeichnis3"/>
        <w:numPr>
          <w:ilvl w:val="1"/>
          <w:numId w:val="34"/>
        </w:numPr>
        <w:shd w:val="clear" w:color="auto" w:fill="auto"/>
        <w:tabs>
          <w:tab w:val="left" w:pos="667"/>
        </w:tabs>
        <w:spacing w:line="226" w:lineRule="exact"/>
        <w:ind w:firstLine="0"/>
      </w:pPr>
      <w:r>
        <w:t>Sechzehn Thesen zum Thema</w:t>
      </w:r>
    </w:p>
    <w:p w:rsidR="00BB7EDA" w:rsidRDefault="007D72B3">
      <w:pPr>
        <w:pStyle w:val="Verzeichnis3"/>
        <w:shd w:val="clear" w:color="auto" w:fill="auto"/>
        <w:tabs>
          <w:tab w:val="right" w:leader="dot" w:pos="5551"/>
        </w:tabs>
        <w:spacing w:line="226" w:lineRule="exact"/>
        <w:ind w:left="700" w:firstLine="0"/>
      </w:pPr>
      <w:r>
        <w:t>„Sprachenreden in der Bibel"</w:t>
      </w:r>
      <w:r>
        <w:tab/>
        <w:t>245</w:t>
      </w:r>
    </w:p>
    <w:p w:rsidR="00BB7EDA" w:rsidRDefault="007D72B3">
      <w:pPr>
        <w:pStyle w:val="Verzeichnis4"/>
        <w:numPr>
          <w:ilvl w:val="1"/>
          <w:numId w:val="34"/>
        </w:numPr>
        <w:shd w:val="clear" w:color="auto" w:fill="auto"/>
        <w:tabs>
          <w:tab w:val="left" w:pos="667"/>
          <w:tab w:val="right" w:leader="dot" w:pos="5551"/>
        </w:tabs>
        <w:spacing w:line="226" w:lineRule="exact"/>
        <w:ind w:firstLine="0"/>
      </w:pPr>
      <w:hyperlink w:anchor="bookmark136" w:tooltip="Current Document">
        <w:r>
          <w:rPr>
            <w:rStyle w:val="Verzeichnis3Zchn"/>
          </w:rPr>
          <w:t>Alle Stellen der Bibel zum Thema</w:t>
        </w:r>
        <w:r>
          <w:rPr>
            <w:rStyle w:val="Verzeichnis3Zchn"/>
          </w:rPr>
          <w:tab/>
        </w:r>
        <w:r>
          <w:rPr>
            <w:rStyle w:val="Verzeichnis3Zchn"/>
          </w:rPr>
          <w:t>246</w:t>
        </w:r>
      </w:hyperlink>
    </w:p>
    <w:p w:rsidR="00BB7EDA" w:rsidRDefault="007D72B3">
      <w:pPr>
        <w:pStyle w:val="Verzeichnis3"/>
        <w:numPr>
          <w:ilvl w:val="2"/>
          <w:numId w:val="34"/>
        </w:numPr>
        <w:shd w:val="clear" w:color="auto" w:fill="auto"/>
        <w:tabs>
          <w:tab w:val="left" w:pos="667"/>
          <w:tab w:val="right" w:leader="dot" w:pos="5551"/>
        </w:tabs>
        <w:spacing w:line="226" w:lineRule="exact"/>
        <w:ind w:firstLine="0"/>
      </w:pPr>
      <w:r>
        <w:t xml:space="preserve">Genesis 11,1-9 </w:t>
      </w:r>
      <w:r>
        <w:tab/>
        <w:t>247</w:t>
      </w:r>
    </w:p>
    <w:p w:rsidR="00BB7EDA" w:rsidRDefault="007D72B3">
      <w:pPr>
        <w:pStyle w:val="Verzeichnis3"/>
        <w:numPr>
          <w:ilvl w:val="2"/>
          <w:numId w:val="34"/>
        </w:numPr>
        <w:shd w:val="clear" w:color="auto" w:fill="auto"/>
        <w:tabs>
          <w:tab w:val="left" w:pos="667"/>
          <w:tab w:val="right" w:leader="dot" w:pos="5551"/>
        </w:tabs>
        <w:spacing w:line="226" w:lineRule="exact"/>
        <w:ind w:firstLine="0"/>
      </w:pPr>
      <w:r>
        <w:t xml:space="preserve">Jesaja 28,11-12 </w:t>
      </w:r>
      <w:r>
        <w:tab/>
        <w:t xml:space="preserve"> 247</w:t>
      </w:r>
    </w:p>
    <w:p w:rsidR="00BB7EDA" w:rsidRDefault="007D72B3">
      <w:pPr>
        <w:pStyle w:val="Verzeichnis3"/>
        <w:numPr>
          <w:ilvl w:val="2"/>
          <w:numId w:val="34"/>
        </w:numPr>
        <w:shd w:val="clear" w:color="auto" w:fill="auto"/>
        <w:tabs>
          <w:tab w:val="left" w:pos="667"/>
          <w:tab w:val="right" w:leader="dot" w:pos="5551"/>
        </w:tabs>
        <w:spacing w:line="226" w:lineRule="exact"/>
        <w:ind w:firstLine="0"/>
      </w:pPr>
      <w:r>
        <w:t xml:space="preserve">Markus 16,15-18 </w:t>
      </w:r>
      <w:r>
        <w:tab/>
        <w:t>247</w:t>
      </w:r>
    </w:p>
    <w:p w:rsidR="00BB7EDA" w:rsidRDefault="007D72B3">
      <w:pPr>
        <w:pStyle w:val="Verzeichnis5"/>
        <w:numPr>
          <w:ilvl w:val="2"/>
          <w:numId w:val="34"/>
        </w:numPr>
        <w:shd w:val="clear" w:color="auto" w:fill="auto"/>
        <w:tabs>
          <w:tab w:val="left" w:pos="667"/>
          <w:tab w:val="right" w:leader="dot" w:pos="5551"/>
        </w:tabs>
        <w:spacing w:line="226" w:lineRule="exact"/>
        <w:ind w:firstLine="0"/>
      </w:pPr>
      <w:hyperlink w:anchor="bookmark137" w:tooltip="Current Document">
        <w:r>
          <w:rPr>
            <w:rStyle w:val="Verzeichnis3Zchn"/>
          </w:rPr>
          <w:t xml:space="preserve">Apostelgeschichte 2,1-21 </w:t>
        </w:r>
        <w:r>
          <w:rPr>
            <w:rStyle w:val="Verzeichnis3Zchn"/>
          </w:rPr>
          <w:tab/>
          <w:t>248</w:t>
        </w:r>
      </w:hyperlink>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38" w:tooltip="Current Document">
        <w:r>
          <w:rPr>
            <w:rStyle w:val="Verzeichnis3Zchn"/>
          </w:rPr>
          <w:t>Apostelgeschichte 10,44-48</w:t>
        </w:r>
        <w:r>
          <w:rPr>
            <w:rStyle w:val="Verzeichnis3Zchn"/>
          </w:rPr>
          <w:tab/>
          <w:t>249</w:t>
        </w:r>
      </w:hyperlink>
    </w:p>
    <w:p w:rsidR="00BB7EDA" w:rsidRDefault="007D72B3">
      <w:pPr>
        <w:pStyle w:val="Verzeichnis3"/>
        <w:numPr>
          <w:ilvl w:val="2"/>
          <w:numId w:val="34"/>
        </w:numPr>
        <w:shd w:val="clear" w:color="auto" w:fill="auto"/>
        <w:tabs>
          <w:tab w:val="left" w:pos="663"/>
          <w:tab w:val="right" w:leader="dot" w:pos="5579"/>
        </w:tabs>
        <w:spacing w:line="226" w:lineRule="exact"/>
        <w:ind w:firstLine="0"/>
      </w:pPr>
      <w:r>
        <w:t>Apostelgeschichte 19,1-7</w:t>
      </w:r>
      <w:r>
        <w:tab/>
        <w:t>249</w:t>
      </w:r>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39" w:tooltip="Current Document">
        <w:r>
          <w:rPr>
            <w:rStyle w:val="Verzeichnis3Zchn"/>
          </w:rPr>
          <w:t>1. Korinther 12-14</w:t>
        </w:r>
        <w:r>
          <w:rPr>
            <w:rStyle w:val="Verzeichnis3Zchn"/>
          </w:rPr>
          <w:tab/>
          <w:t>250</w:t>
        </w:r>
      </w:hyperlink>
    </w:p>
    <w:p w:rsidR="00BB7EDA" w:rsidRDefault="007D72B3">
      <w:pPr>
        <w:pStyle w:val="Verzeichnis4"/>
        <w:numPr>
          <w:ilvl w:val="1"/>
          <w:numId w:val="34"/>
        </w:numPr>
        <w:shd w:val="clear" w:color="auto" w:fill="auto"/>
        <w:tabs>
          <w:tab w:val="left" w:pos="663"/>
          <w:tab w:val="right" w:leader="dot" w:pos="5579"/>
        </w:tabs>
        <w:spacing w:line="226" w:lineRule="exact"/>
        <w:ind w:firstLine="0"/>
      </w:pPr>
      <w:hyperlink w:anchor="bookmark140" w:tooltip="Current Document">
        <w:r>
          <w:rPr>
            <w:rStyle w:val="Verzeichnis3Zchn"/>
          </w:rPr>
          <w:t>Sprachliche und exegetische Hinweise</w:t>
        </w:r>
        <w:r>
          <w:rPr>
            <w:rStyle w:val="Verzeichnis3Zchn"/>
          </w:rPr>
          <w:tab/>
          <w:t>250</w:t>
        </w:r>
      </w:hyperlink>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41" w:tooltip="Current Document">
        <w:r>
          <w:rPr>
            <w:rStyle w:val="Verzeichnis3Zchn"/>
          </w:rPr>
          <w:t>„Sprachenreden" contra „Zungenreden"</w:t>
        </w:r>
        <w:r>
          <w:rPr>
            <w:rStyle w:val="Verzeichnis3Zchn"/>
          </w:rPr>
          <w:tab/>
          <w:t>250</w:t>
        </w:r>
      </w:hyperlink>
    </w:p>
    <w:p w:rsidR="00BB7EDA" w:rsidRDefault="007D72B3">
      <w:pPr>
        <w:pStyle w:val="Verzeichnis3"/>
        <w:numPr>
          <w:ilvl w:val="2"/>
          <w:numId w:val="34"/>
        </w:numPr>
        <w:shd w:val="clear" w:color="auto" w:fill="auto"/>
        <w:tabs>
          <w:tab w:val="left" w:pos="663"/>
          <w:tab w:val="right" w:leader="dot" w:pos="5579"/>
        </w:tabs>
        <w:spacing w:line="226" w:lineRule="exact"/>
        <w:ind w:firstLine="0"/>
      </w:pPr>
      <w:r>
        <w:t>„Neue Sprachen"</w:t>
      </w:r>
      <w:r>
        <w:tab/>
        <w:t>251</w:t>
      </w:r>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42" w:tooltip="Current Document">
        <w:r>
          <w:rPr>
            <w:rStyle w:val="Verzeichnis3Zchn"/>
          </w:rPr>
          <w:t>Menschliche Sprachen und Dialekte</w:t>
        </w:r>
        <w:r>
          <w:rPr>
            <w:rStyle w:val="Verzeichnis3Zchn"/>
          </w:rPr>
          <w:tab/>
          <w:t>252</w:t>
        </w:r>
      </w:hyperlink>
    </w:p>
    <w:p w:rsidR="00BB7EDA" w:rsidRDefault="007D72B3">
      <w:pPr>
        <w:pStyle w:val="Tableofcontents0"/>
        <w:numPr>
          <w:ilvl w:val="3"/>
          <w:numId w:val="34"/>
        </w:numPr>
        <w:shd w:val="clear" w:color="auto" w:fill="auto"/>
        <w:tabs>
          <w:tab w:val="left" w:pos="1505"/>
          <w:tab w:val="right" w:leader="dot" w:pos="5579"/>
        </w:tabs>
        <w:spacing w:line="226" w:lineRule="exact"/>
        <w:ind w:left="720"/>
      </w:pPr>
      <w:r>
        <w:t>Klanglich korrekte Aussprache</w:t>
      </w:r>
      <w:r>
        <w:rPr>
          <w:rStyle w:val="TableofcontentsNotItalic"/>
        </w:rPr>
        <w:tab/>
        <w:t>252</w:t>
      </w:r>
    </w:p>
    <w:p w:rsidR="00BB7EDA" w:rsidRDefault="007D72B3">
      <w:pPr>
        <w:pStyle w:val="Tableofcontents0"/>
        <w:numPr>
          <w:ilvl w:val="3"/>
          <w:numId w:val="34"/>
        </w:numPr>
        <w:shd w:val="clear" w:color="auto" w:fill="auto"/>
        <w:tabs>
          <w:tab w:val="left" w:pos="1506"/>
          <w:tab w:val="center" w:pos="4296"/>
          <w:tab w:val="left" w:leader="dot" w:pos="5261"/>
        </w:tabs>
        <w:spacing w:line="226" w:lineRule="exact"/>
        <w:ind w:left="720"/>
      </w:pPr>
      <w:r>
        <w:t>Zwei verschiedene Gruppen von</w:t>
      </w:r>
      <w:r>
        <w:tab/>
        <w:t>Zuhörern</w:t>
      </w:r>
      <w:r>
        <w:rPr>
          <w:rStyle w:val="TableofcontentsNotItalic"/>
        </w:rPr>
        <w:tab/>
        <w:t>253</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Nur ein Typ von Spr</w:t>
      </w:r>
      <w:r>
        <w:t>achenreden im NT</w:t>
      </w:r>
      <w:r>
        <w:rPr>
          <w:rStyle w:val="TableofcontentsNotItalic"/>
        </w:rPr>
        <w:tab/>
        <w:t>253</w:t>
      </w:r>
    </w:p>
    <w:p w:rsidR="00BB7EDA" w:rsidRDefault="007D72B3">
      <w:pPr>
        <w:pStyle w:val="Verzeichnis3"/>
        <w:numPr>
          <w:ilvl w:val="2"/>
          <w:numId w:val="34"/>
        </w:numPr>
        <w:shd w:val="clear" w:color="auto" w:fill="auto"/>
        <w:tabs>
          <w:tab w:val="left" w:pos="663"/>
          <w:tab w:val="right" w:leader="dot" w:pos="5579"/>
        </w:tabs>
        <w:spacing w:line="226" w:lineRule="exact"/>
        <w:ind w:firstLine="0"/>
      </w:pPr>
      <w:r>
        <w:t>Engelsprachen</w:t>
      </w:r>
      <w:r>
        <w:tab/>
        <w:t>254</w:t>
      </w:r>
    </w:p>
    <w:p w:rsidR="00BB7EDA" w:rsidRDefault="007D72B3">
      <w:pPr>
        <w:pStyle w:val="Tableofcontents0"/>
        <w:numPr>
          <w:ilvl w:val="3"/>
          <w:numId w:val="34"/>
        </w:numPr>
        <w:shd w:val="clear" w:color="auto" w:fill="auto"/>
        <w:tabs>
          <w:tab w:val="left" w:pos="1505"/>
          <w:tab w:val="right" w:leader="dot" w:pos="5579"/>
        </w:tabs>
        <w:spacing w:line="226" w:lineRule="exact"/>
        <w:ind w:left="720"/>
      </w:pPr>
      <w:r>
        <w:t>Zur Bedeutung von IKor 13,1</w:t>
      </w:r>
      <w:r>
        <w:rPr>
          <w:rStyle w:val="TableofcontentsNotItalic"/>
        </w:rPr>
        <w:tab/>
        <w:t>254</w:t>
      </w:r>
    </w:p>
    <w:p w:rsidR="00BB7EDA" w:rsidRDefault="007D72B3">
      <w:pPr>
        <w:pStyle w:val="Tableofcontents0"/>
        <w:numPr>
          <w:ilvl w:val="3"/>
          <w:numId w:val="34"/>
        </w:numPr>
        <w:shd w:val="clear" w:color="auto" w:fill="auto"/>
        <w:tabs>
          <w:tab w:val="left" w:pos="1505"/>
          <w:tab w:val="right" w:leader="dot" w:pos="5579"/>
        </w:tabs>
        <w:spacing w:line="226" w:lineRule="exact"/>
        <w:ind w:left="720"/>
      </w:pPr>
      <w:r>
        <w:t>Ein Wenn-dann-Satz</w:t>
      </w:r>
      <w:r>
        <w:rPr>
          <w:rStyle w:val="TableofcontentsNotItalic"/>
        </w:rPr>
        <w:tab/>
        <w:t>254</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Lallen - keine höhere Kommunikation</w:t>
      </w:r>
      <w:r>
        <w:rPr>
          <w:rStyle w:val="TableofcontentsNotItalic"/>
        </w:rPr>
        <w:tab/>
        <w:t>255</w:t>
      </w:r>
    </w:p>
    <w:p w:rsidR="00BB7EDA" w:rsidRDefault="007D72B3">
      <w:pPr>
        <w:pStyle w:val="Tableofcontents0"/>
        <w:numPr>
          <w:ilvl w:val="3"/>
          <w:numId w:val="34"/>
        </w:numPr>
        <w:shd w:val="clear" w:color="auto" w:fill="auto"/>
        <w:tabs>
          <w:tab w:val="left" w:pos="1510"/>
          <w:tab w:val="right" w:leader="dot" w:pos="5579"/>
        </w:tabs>
        <w:spacing w:line="226" w:lineRule="exact"/>
        <w:ind w:left="720"/>
      </w:pPr>
      <w:r>
        <w:t>Zur Bedeutung von Röm 8,26</w:t>
      </w:r>
      <w:r>
        <w:rPr>
          <w:rStyle w:val="TableofcontentsNotItalic"/>
        </w:rPr>
        <w:t xml:space="preserve"> </w:t>
      </w:r>
      <w:r>
        <w:rPr>
          <w:rStyle w:val="TableofcontentsNotItalic"/>
        </w:rPr>
        <w:tab/>
        <w:t xml:space="preserve"> 255</w:t>
      </w:r>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43" w:tooltip="Current Document">
        <w:r>
          <w:rPr>
            <w:rStyle w:val="Verzeichnis3Zchn"/>
          </w:rPr>
          <w:t>Keine Bewusstseins-Einschränkung</w:t>
        </w:r>
        <w:r>
          <w:rPr>
            <w:rStyle w:val="Verzeichnis3Zchn"/>
          </w:rPr>
          <w:tab/>
        </w:r>
        <w:r>
          <w:rPr>
            <w:rStyle w:val="Verzeichnis3Zchn"/>
          </w:rPr>
          <w:t>255</w:t>
        </w:r>
      </w:hyperlink>
    </w:p>
    <w:p w:rsidR="00BB7EDA" w:rsidRDefault="007D72B3">
      <w:pPr>
        <w:pStyle w:val="Verzeichnis3"/>
        <w:numPr>
          <w:ilvl w:val="2"/>
          <w:numId w:val="34"/>
        </w:numPr>
        <w:shd w:val="clear" w:color="auto" w:fill="auto"/>
        <w:tabs>
          <w:tab w:val="left" w:pos="663"/>
          <w:tab w:val="right" w:leader="dot" w:pos="5579"/>
        </w:tabs>
        <w:spacing w:line="226" w:lineRule="exact"/>
        <w:ind w:firstLine="0"/>
      </w:pPr>
      <w:r>
        <w:t>Erbauung durch Sprachenreden</w:t>
      </w:r>
      <w:r>
        <w:tab/>
        <w:t>257</w:t>
      </w:r>
    </w:p>
    <w:p w:rsidR="00BB7EDA" w:rsidRDefault="007D72B3">
      <w:pPr>
        <w:pStyle w:val="Tableofcontents0"/>
        <w:numPr>
          <w:ilvl w:val="3"/>
          <w:numId w:val="34"/>
        </w:numPr>
        <w:shd w:val="clear" w:color="auto" w:fill="auto"/>
        <w:tabs>
          <w:tab w:val="left" w:pos="1505"/>
          <w:tab w:val="right" w:leader="dot" w:pos="5579"/>
        </w:tabs>
        <w:spacing w:line="226" w:lineRule="exact"/>
        <w:ind w:left="720"/>
      </w:pPr>
      <w:r>
        <w:t>Spezialfall Korinth</w:t>
      </w:r>
      <w:r>
        <w:rPr>
          <w:rStyle w:val="TableofcontentsNotItalic"/>
        </w:rPr>
        <w:tab/>
        <w:t>257</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Keine Erbauung durch den Sprachklang</w:t>
      </w:r>
      <w:r>
        <w:rPr>
          <w:rStyle w:val="TableofcontentsNotItalic"/>
        </w:rPr>
        <w:tab/>
        <w:t>257</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Was ist Kommunikation?</w:t>
      </w:r>
      <w:r>
        <w:rPr>
          <w:rStyle w:val="TableofcontentsNotItalic"/>
        </w:rPr>
        <w:tab/>
        <w:t>258</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Verfehlte Kommunikation</w:t>
      </w:r>
      <w:r>
        <w:rPr>
          <w:rStyle w:val="TableofcontentsNotItalic"/>
        </w:rPr>
        <w:tab/>
        <w:t>258</w:t>
      </w:r>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44" w:tooltip="Current Document">
        <w:r>
          <w:rPr>
            <w:rStyle w:val="Verzeichnis3Zchn"/>
          </w:rPr>
          <w:t>Sprachverständnis und Sprachbeherrschung</w:t>
        </w:r>
        <w:r>
          <w:rPr>
            <w:rStyle w:val="Verzeichnis3Zchn"/>
          </w:rPr>
          <w:tab/>
          <w:t>25</w:t>
        </w:r>
        <w:r>
          <w:rPr>
            <w:rStyle w:val="Verzeichnis3Zchn"/>
          </w:rPr>
          <w:t>8</w:t>
        </w:r>
      </w:hyperlink>
    </w:p>
    <w:p w:rsidR="00BB7EDA" w:rsidRDefault="007D72B3">
      <w:pPr>
        <w:pStyle w:val="Tableofcontents0"/>
        <w:numPr>
          <w:ilvl w:val="3"/>
          <w:numId w:val="34"/>
        </w:numPr>
        <w:shd w:val="clear" w:color="auto" w:fill="auto"/>
        <w:tabs>
          <w:tab w:val="left" w:pos="1505"/>
        </w:tabs>
        <w:spacing w:line="226" w:lineRule="exact"/>
        <w:ind w:left="720"/>
      </w:pPr>
      <w:r>
        <w:t>Der menschliche Geist = Aktivist der</w:t>
      </w:r>
    </w:p>
    <w:p w:rsidR="00BB7EDA" w:rsidRDefault="007D72B3">
      <w:pPr>
        <w:pStyle w:val="Tableofcontents0"/>
        <w:shd w:val="clear" w:color="auto" w:fill="auto"/>
        <w:tabs>
          <w:tab w:val="right" w:leader="dot" w:pos="5579"/>
        </w:tabs>
        <w:spacing w:line="226" w:lineRule="exact"/>
        <w:ind w:left="1500"/>
      </w:pPr>
      <w:r>
        <w:t>Sprachenrede</w:t>
      </w:r>
      <w:r>
        <w:rPr>
          <w:rStyle w:val="TableofcontentsNotItalic"/>
        </w:rPr>
        <w:tab/>
        <w:t>258</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Nur der andere ein Barbar</w:t>
      </w:r>
      <w:r>
        <w:rPr>
          <w:rStyle w:val="TableofcontentsNotItalic"/>
        </w:rPr>
        <w:tab/>
        <w:t>259</w:t>
      </w:r>
    </w:p>
    <w:p w:rsidR="00BB7EDA" w:rsidRDefault="007D72B3">
      <w:pPr>
        <w:pStyle w:val="Tableofcontents0"/>
        <w:numPr>
          <w:ilvl w:val="3"/>
          <w:numId w:val="34"/>
        </w:numPr>
        <w:shd w:val="clear" w:color="auto" w:fill="auto"/>
        <w:tabs>
          <w:tab w:val="left" w:pos="1506"/>
          <w:tab w:val="right" w:leader="dot" w:pos="5579"/>
        </w:tabs>
        <w:spacing w:line="226" w:lineRule="exact"/>
        <w:ind w:left="720"/>
      </w:pPr>
      <w:r>
        <w:t>Beten um die Gabe der Auslegung?</w:t>
      </w:r>
      <w:r>
        <w:rPr>
          <w:rStyle w:val="TableofcontentsNotItalic"/>
        </w:rPr>
        <w:tab/>
        <w:t>259</w:t>
      </w:r>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45" w:tooltip="Current Document">
        <w:r>
          <w:rPr>
            <w:rStyle w:val="Verzeichnis3Zchn"/>
          </w:rPr>
          <w:t>Eine Gabe für alle Christen?</w:t>
        </w:r>
        <w:r>
          <w:rPr>
            <w:rStyle w:val="Verzeichnis3Zchn"/>
          </w:rPr>
          <w:tab/>
          <w:t>260</w:t>
        </w:r>
      </w:hyperlink>
    </w:p>
    <w:p w:rsidR="00BB7EDA" w:rsidRDefault="007D72B3">
      <w:pPr>
        <w:pStyle w:val="Verzeichnis5"/>
        <w:numPr>
          <w:ilvl w:val="2"/>
          <w:numId w:val="34"/>
        </w:numPr>
        <w:shd w:val="clear" w:color="auto" w:fill="auto"/>
        <w:tabs>
          <w:tab w:val="left" w:pos="663"/>
          <w:tab w:val="right" w:leader="dot" w:pos="5579"/>
        </w:tabs>
        <w:spacing w:line="226" w:lineRule="exact"/>
        <w:ind w:firstLine="0"/>
      </w:pPr>
      <w:hyperlink w:anchor="bookmark146" w:tooltip="Current Document">
        <w:r>
          <w:rPr>
            <w:rStyle w:val="Verzeichnis3Zchn"/>
          </w:rPr>
          <w:t>Verantwortlichkeit beim Sprachenreden</w:t>
        </w:r>
        <w:r>
          <w:rPr>
            <w:rStyle w:val="Verzeichnis3Zchn"/>
          </w:rPr>
          <w:tab/>
          <w:t>260</w:t>
        </w:r>
      </w:hyperlink>
    </w:p>
    <w:p w:rsidR="00BB7EDA" w:rsidRDefault="007D72B3">
      <w:pPr>
        <w:pStyle w:val="Verzeichnis3"/>
        <w:numPr>
          <w:ilvl w:val="2"/>
          <w:numId w:val="34"/>
        </w:numPr>
        <w:shd w:val="clear" w:color="auto" w:fill="auto"/>
        <w:tabs>
          <w:tab w:val="left" w:pos="728"/>
          <w:tab w:val="right" w:leader="dot" w:pos="5579"/>
        </w:tabs>
        <w:spacing w:line="226" w:lineRule="exact"/>
        <w:ind w:firstLine="0"/>
      </w:pPr>
      <w:r>
        <w:t xml:space="preserve">„Geist" contra „Verstand"? </w:t>
      </w:r>
      <w:r>
        <w:tab/>
        <w:t>261</w:t>
      </w:r>
    </w:p>
    <w:p w:rsidR="00BB7EDA" w:rsidRDefault="007D72B3">
      <w:pPr>
        <w:pStyle w:val="Tableofcontents0"/>
        <w:numPr>
          <w:ilvl w:val="3"/>
          <w:numId w:val="34"/>
        </w:numPr>
        <w:shd w:val="clear" w:color="auto" w:fill="auto"/>
        <w:tabs>
          <w:tab w:val="left" w:pos="1578"/>
          <w:tab w:val="right" w:leader="dot" w:pos="5579"/>
        </w:tabs>
        <w:spacing w:line="226" w:lineRule="exact"/>
        <w:ind w:left="720"/>
      </w:pPr>
      <w:r>
        <w:t>Zum Bedeutungsfeld von „nous"</w:t>
      </w:r>
      <w:r>
        <w:rPr>
          <w:rStyle w:val="TableofcontentsNotItalic"/>
        </w:rPr>
        <w:tab/>
        <w:t>261</w:t>
      </w:r>
    </w:p>
    <w:p w:rsidR="00BB7EDA" w:rsidRDefault="007D72B3">
      <w:pPr>
        <w:pStyle w:val="Tableofcontents0"/>
        <w:numPr>
          <w:ilvl w:val="3"/>
          <w:numId w:val="34"/>
        </w:numPr>
        <w:shd w:val="clear" w:color="auto" w:fill="auto"/>
        <w:tabs>
          <w:tab w:val="left" w:pos="1592"/>
          <w:tab w:val="right" w:leader="dot" w:pos="5579"/>
        </w:tabs>
        <w:spacing w:line="226" w:lineRule="exact"/>
        <w:ind w:left="720"/>
      </w:pPr>
      <w:r>
        <w:t>Was bedeutet „fruchtleer''?</w:t>
      </w:r>
      <w:r>
        <w:rPr>
          <w:rStyle w:val="TableofcontentsNotItalic"/>
        </w:rPr>
        <w:tab/>
        <w:t>261</w:t>
      </w:r>
    </w:p>
    <w:p w:rsidR="00BB7EDA" w:rsidRDefault="007D72B3">
      <w:pPr>
        <w:pStyle w:val="Tableofcontents0"/>
        <w:numPr>
          <w:ilvl w:val="3"/>
          <w:numId w:val="34"/>
        </w:numPr>
        <w:shd w:val="clear" w:color="auto" w:fill="auto"/>
        <w:tabs>
          <w:tab w:val="left" w:pos="1597"/>
          <w:tab w:val="right" w:leader="dot" w:pos="5579"/>
        </w:tabs>
        <w:spacing w:line="226" w:lineRule="exact"/>
        <w:ind w:left="720"/>
      </w:pPr>
      <w:r>
        <w:t>Übersetzung von IKor 14,14-15</w:t>
      </w:r>
      <w:r>
        <w:rPr>
          <w:rStyle w:val="TableofcontentsNotItalic"/>
        </w:rPr>
        <w:tab/>
        <w:t>262</w:t>
      </w:r>
    </w:p>
    <w:p w:rsidR="00BB7EDA" w:rsidRDefault="007D72B3">
      <w:pPr>
        <w:pStyle w:val="Tableofcontents0"/>
        <w:numPr>
          <w:ilvl w:val="3"/>
          <w:numId w:val="34"/>
        </w:numPr>
        <w:shd w:val="clear" w:color="auto" w:fill="auto"/>
        <w:tabs>
          <w:tab w:val="left" w:pos="1597"/>
        </w:tabs>
        <w:spacing w:line="226" w:lineRule="exact"/>
        <w:ind w:left="720"/>
      </w:pPr>
      <w:r>
        <w:t xml:space="preserve">Zur Opposition zwischen </w:t>
      </w:r>
      <w:r>
        <w:t>„nous“ und „phren"....</w:t>
      </w:r>
      <w:r>
        <w:rPr>
          <w:rStyle w:val="TableofcontentsNotItalic"/>
        </w:rPr>
        <w:t xml:space="preserve"> 262</w:t>
      </w:r>
    </w:p>
    <w:p w:rsidR="00BB7EDA" w:rsidRDefault="007D72B3">
      <w:pPr>
        <w:pStyle w:val="Verzeichnis5"/>
        <w:numPr>
          <w:ilvl w:val="2"/>
          <w:numId w:val="34"/>
        </w:numPr>
        <w:shd w:val="clear" w:color="auto" w:fill="auto"/>
        <w:tabs>
          <w:tab w:val="left" w:pos="728"/>
          <w:tab w:val="right" w:leader="dot" w:pos="5579"/>
        </w:tabs>
        <w:spacing w:line="226" w:lineRule="exact"/>
        <w:ind w:firstLine="0"/>
      </w:pPr>
      <w:hyperlink w:anchor="bookmark147" w:tooltip="Current Document">
        <w:r>
          <w:rPr>
            <w:rStyle w:val="Verzeichnis3Zchn"/>
          </w:rPr>
          <w:t>Quellen falscher Sprachenrede</w:t>
        </w:r>
        <w:r>
          <w:rPr>
            <w:rStyle w:val="Verzeichnis3Zchn"/>
          </w:rPr>
          <w:tab/>
          <w:t>263</w:t>
        </w:r>
      </w:hyperlink>
    </w:p>
    <w:p w:rsidR="00BB7EDA" w:rsidRDefault="007D72B3">
      <w:pPr>
        <w:pStyle w:val="Verzeichnis3"/>
        <w:numPr>
          <w:ilvl w:val="2"/>
          <w:numId w:val="34"/>
        </w:numPr>
        <w:shd w:val="clear" w:color="auto" w:fill="auto"/>
        <w:tabs>
          <w:tab w:val="left" w:pos="728"/>
          <w:tab w:val="right" w:leader="dot" w:pos="5579"/>
        </w:tabs>
        <w:spacing w:line="226" w:lineRule="exact"/>
        <w:ind w:firstLine="0"/>
      </w:pPr>
      <w:r>
        <w:t>Sprachenrede wozu?</w:t>
      </w:r>
      <w:r>
        <w:tab/>
        <w:t>265</w:t>
      </w:r>
    </w:p>
    <w:p w:rsidR="00BB7EDA" w:rsidRDefault="007D72B3">
      <w:pPr>
        <w:pStyle w:val="Tableofcontents0"/>
        <w:numPr>
          <w:ilvl w:val="3"/>
          <w:numId w:val="34"/>
        </w:numPr>
        <w:shd w:val="clear" w:color="auto" w:fill="auto"/>
        <w:tabs>
          <w:tab w:val="left" w:pos="1578"/>
          <w:tab w:val="right" w:leader="dot" w:pos="5579"/>
        </w:tabs>
        <w:spacing w:line="226" w:lineRule="exact"/>
        <w:ind w:left="720"/>
      </w:pPr>
      <w:r>
        <w:t>Ein Zeichen für Israel</w:t>
      </w:r>
      <w:r>
        <w:rPr>
          <w:rStyle w:val="TableofcontentsNotItalic"/>
        </w:rPr>
        <w:tab/>
        <w:t>265</w:t>
      </w:r>
    </w:p>
    <w:p w:rsidR="00BB7EDA" w:rsidRDefault="007D72B3">
      <w:pPr>
        <w:pStyle w:val="Tableofcontents0"/>
        <w:numPr>
          <w:ilvl w:val="3"/>
          <w:numId w:val="34"/>
        </w:numPr>
        <w:shd w:val="clear" w:color="auto" w:fill="auto"/>
        <w:tabs>
          <w:tab w:val="left" w:pos="1592"/>
          <w:tab w:val="right" w:leader="dot" w:pos="5579"/>
        </w:tabs>
        <w:spacing w:line="226" w:lineRule="exact"/>
        <w:ind w:left="720"/>
      </w:pPr>
      <w:r>
        <w:t>Gott spricht zu allen Völkern</w:t>
      </w:r>
      <w:r>
        <w:rPr>
          <w:rStyle w:val="TableofcontentsNotItalic"/>
        </w:rPr>
        <w:tab/>
        <w:t>265</w:t>
      </w:r>
    </w:p>
    <w:p w:rsidR="00BB7EDA" w:rsidRDefault="007D72B3">
      <w:pPr>
        <w:pStyle w:val="Tableofcontents0"/>
        <w:numPr>
          <w:ilvl w:val="3"/>
          <w:numId w:val="34"/>
        </w:numPr>
        <w:shd w:val="clear" w:color="auto" w:fill="auto"/>
        <w:tabs>
          <w:tab w:val="left" w:pos="1592"/>
          <w:tab w:val="right" w:leader="dot" w:pos="5579"/>
        </w:tabs>
        <w:spacing w:line="226" w:lineRule="exact"/>
        <w:ind w:left="720"/>
      </w:pPr>
      <w:r>
        <w:t>Die Bibel für alle Völker</w:t>
      </w:r>
      <w:r>
        <w:rPr>
          <w:rStyle w:val="TableofcontentsNotItalic"/>
        </w:rPr>
        <w:tab/>
        <w:t>266</w:t>
      </w:r>
    </w:p>
    <w:p w:rsidR="00BB7EDA" w:rsidRDefault="007D72B3">
      <w:pPr>
        <w:pStyle w:val="Verzeichnis5"/>
        <w:numPr>
          <w:ilvl w:val="2"/>
          <w:numId w:val="34"/>
        </w:numPr>
        <w:shd w:val="clear" w:color="auto" w:fill="auto"/>
        <w:tabs>
          <w:tab w:val="left" w:pos="728"/>
          <w:tab w:val="right" w:leader="dot" w:pos="5579"/>
        </w:tabs>
        <w:spacing w:line="226" w:lineRule="exact"/>
        <w:ind w:firstLine="0"/>
      </w:pPr>
      <w:hyperlink w:anchor="bookmark148" w:tooltip="Current Document">
        <w:r>
          <w:rPr>
            <w:rStyle w:val="Verzeichnis3Zchn"/>
          </w:rPr>
          <w:t xml:space="preserve">Die Sprachenrede sollte einmal abklingen </w:t>
        </w:r>
        <w:r>
          <w:rPr>
            <w:rStyle w:val="Verzeichnis3Zchn"/>
          </w:rPr>
          <w:tab/>
          <w:t>266</w:t>
        </w:r>
      </w:hyperlink>
    </w:p>
    <w:p w:rsidR="00BB7EDA" w:rsidRDefault="007D72B3">
      <w:pPr>
        <w:pStyle w:val="Tableofcontents0"/>
        <w:numPr>
          <w:ilvl w:val="3"/>
          <w:numId w:val="34"/>
        </w:numPr>
        <w:shd w:val="clear" w:color="auto" w:fill="auto"/>
        <w:tabs>
          <w:tab w:val="left" w:pos="1573"/>
        </w:tabs>
        <w:spacing w:line="226" w:lineRule="exact"/>
        <w:ind w:left="720"/>
      </w:pPr>
      <w:r>
        <w:t>Zur Opposition zwischen „katargeö“ und</w:t>
      </w:r>
    </w:p>
    <w:p w:rsidR="00BB7EDA" w:rsidRDefault="007D72B3">
      <w:pPr>
        <w:pStyle w:val="Tableofcontents0"/>
        <w:shd w:val="clear" w:color="auto" w:fill="auto"/>
        <w:tabs>
          <w:tab w:val="right" w:leader="dot" w:pos="5579"/>
        </w:tabs>
        <w:spacing w:line="226" w:lineRule="exact"/>
        <w:ind w:left="1500"/>
      </w:pPr>
      <w:r>
        <w:t>„pauö“</w:t>
      </w:r>
      <w:r>
        <w:rPr>
          <w:rStyle w:val="TableofcontentsNotItalic"/>
        </w:rPr>
        <w:tab/>
        <w:t>266</w:t>
      </w:r>
      <w:r>
        <w:fldChar w:fldCharType="end"/>
      </w:r>
    </w:p>
    <w:p w:rsidR="00BB7EDA" w:rsidRDefault="007D72B3">
      <w:pPr>
        <w:pStyle w:val="Bodytext80"/>
        <w:numPr>
          <w:ilvl w:val="3"/>
          <w:numId w:val="34"/>
        </w:numPr>
        <w:shd w:val="clear" w:color="auto" w:fill="auto"/>
        <w:tabs>
          <w:tab w:val="left" w:pos="1592"/>
        </w:tabs>
        <w:ind w:left="720"/>
      </w:pPr>
      <w:r>
        <w:t>Kirchengeschichtliche Zeugnisse zum Aufhören</w:t>
      </w:r>
    </w:p>
    <w:p w:rsidR="00BB7EDA" w:rsidRDefault="007D72B3">
      <w:pPr>
        <w:pStyle w:val="Tableofcontents0"/>
        <w:shd w:val="clear" w:color="auto" w:fill="auto"/>
        <w:tabs>
          <w:tab w:val="left" w:leader="dot" w:pos="5226"/>
        </w:tabs>
        <w:spacing w:line="226" w:lineRule="exact"/>
        <w:ind w:left="1440"/>
      </w:pPr>
      <w:r>
        <w:fldChar w:fldCharType="begin"/>
      </w:r>
      <w:r>
        <w:instrText xml:space="preserve"> TOC \o "1-5" \h \z </w:instrText>
      </w:r>
      <w:r>
        <w:fldChar w:fldCharType="separate"/>
      </w:r>
      <w:r>
        <w:t>des Sprachenredens</w:t>
      </w:r>
      <w:r>
        <w:rPr>
          <w:rStyle w:val="TableofcontentsNotItalic"/>
        </w:rPr>
        <w:t xml:space="preserve"> / </w:t>
      </w:r>
      <w:r>
        <w:t>der apostolischen Zeichen</w:t>
      </w:r>
      <w:r>
        <w:rPr>
          <w:rStyle w:val="TableofcontentsNotItalic"/>
        </w:rPr>
        <w:tab/>
        <w:t>268</w:t>
      </w:r>
    </w:p>
    <w:p w:rsidR="00BB7EDA" w:rsidRDefault="007D72B3">
      <w:pPr>
        <w:pStyle w:val="Verzeichnis4"/>
        <w:numPr>
          <w:ilvl w:val="1"/>
          <w:numId w:val="34"/>
        </w:numPr>
        <w:shd w:val="clear" w:color="auto" w:fill="auto"/>
        <w:tabs>
          <w:tab w:val="left" w:pos="664"/>
          <w:tab w:val="right" w:leader="dot" w:pos="5545"/>
        </w:tabs>
        <w:spacing w:after="180" w:line="226" w:lineRule="exact"/>
        <w:ind w:firstLine="0"/>
      </w:pPr>
      <w:hyperlink w:anchor="bookmark149" w:tooltip="Current Document">
        <w:r>
          <w:rPr>
            <w:rStyle w:val="Verzeichnis3Zchn"/>
          </w:rPr>
          <w:t>Fazit</w:t>
        </w:r>
        <w:r>
          <w:rPr>
            <w:rStyle w:val="Verzeichnis3Zchn"/>
          </w:rPr>
          <w:tab/>
          <w:t>269</w:t>
        </w:r>
      </w:hyperlink>
    </w:p>
    <w:p w:rsidR="00BB7EDA" w:rsidRDefault="007D72B3">
      <w:pPr>
        <w:pStyle w:val="Verzeichnis3"/>
        <w:numPr>
          <w:ilvl w:val="0"/>
          <w:numId w:val="34"/>
        </w:numPr>
        <w:shd w:val="clear" w:color="auto" w:fill="auto"/>
        <w:tabs>
          <w:tab w:val="left" w:pos="664"/>
          <w:tab w:val="left" w:leader="dot" w:pos="5208"/>
        </w:tabs>
        <w:spacing w:line="226" w:lineRule="exact"/>
        <w:ind w:firstLine="0"/>
      </w:pPr>
      <w:hyperlink w:anchor="bookmark150" w:tooltip="Current Document">
        <w:r>
          <w:t>Ergebnisse der vorliegenden Forschungsarbeit</w:t>
        </w:r>
        <w:r>
          <w:tab/>
          <w:t>271</w:t>
        </w:r>
      </w:hyperlink>
    </w:p>
    <w:p w:rsidR="00BB7EDA" w:rsidRDefault="007D72B3">
      <w:pPr>
        <w:pStyle w:val="Verzeichnis3"/>
        <w:numPr>
          <w:ilvl w:val="1"/>
          <w:numId w:val="34"/>
        </w:numPr>
        <w:shd w:val="clear" w:color="auto" w:fill="auto"/>
        <w:tabs>
          <w:tab w:val="left" w:pos="664"/>
        </w:tabs>
        <w:spacing w:line="226" w:lineRule="exact"/>
        <w:ind w:firstLine="0"/>
      </w:pPr>
      <w:r>
        <w:t>Konsequenzen für die Evolutions- und für die</w:t>
      </w:r>
    </w:p>
    <w:p w:rsidR="00BB7EDA" w:rsidRDefault="007D72B3">
      <w:pPr>
        <w:pStyle w:val="Verzeichnis3"/>
        <w:shd w:val="clear" w:color="auto" w:fill="auto"/>
        <w:tabs>
          <w:tab w:val="right" w:leader="dot" w:pos="5545"/>
        </w:tabs>
        <w:spacing w:line="226" w:lineRule="exact"/>
        <w:ind w:left="720" w:firstLine="0"/>
      </w:pPr>
      <w:r>
        <w:t xml:space="preserve">Schöpfungslehre </w:t>
      </w:r>
      <w:r>
        <w:tab/>
        <w:t>271</w:t>
      </w:r>
    </w:p>
    <w:p w:rsidR="00BB7EDA" w:rsidRDefault="007D72B3">
      <w:pPr>
        <w:pStyle w:val="Verzeichnis3"/>
        <w:numPr>
          <w:ilvl w:val="2"/>
          <w:numId w:val="34"/>
        </w:numPr>
        <w:shd w:val="clear" w:color="auto" w:fill="auto"/>
        <w:tabs>
          <w:tab w:val="left" w:pos="664"/>
        </w:tabs>
        <w:spacing w:line="226" w:lineRule="exact"/>
        <w:ind w:firstLine="0"/>
      </w:pPr>
      <w:r>
        <w:t xml:space="preserve">Das Evolutionsmodell </w:t>
      </w:r>
      <w:r>
        <w:t>- unbrauchbar zur Klärung</w:t>
      </w:r>
    </w:p>
    <w:p w:rsidR="00BB7EDA" w:rsidRDefault="007D72B3">
      <w:pPr>
        <w:pStyle w:val="Verzeichnis3"/>
        <w:shd w:val="clear" w:color="auto" w:fill="auto"/>
        <w:tabs>
          <w:tab w:val="right" w:leader="dot" w:pos="5545"/>
        </w:tabs>
        <w:spacing w:line="226" w:lineRule="exact"/>
        <w:ind w:left="720" w:firstLine="0"/>
      </w:pPr>
      <w:r>
        <w:t>des Sprachursprungs</w:t>
      </w:r>
      <w:r>
        <w:tab/>
        <w:t>271</w:t>
      </w:r>
    </w:p>
    <w:p w:rsidR="00BB7EDA" w:rsidRDefault="007D72B3">
      <w:pPr>
        <w:pStyle w:val="Verzeichnis3"/>
        <w:numPr>
          <w:ilvl w:val="2"/>
          <w:numId w:val="34"/>
        </w:numPr>
        <w:shd w:val="clear" w:color="auto" w:fill="auto"/>
        <w:tabs>
          <w:tab w:val="left" w:pos="664"/>
        </w:tabs>
        <w:spacing w:line="226" w:lineRule="exact"/>
        <w:ind w:firstLine="0"/>
      </w:pPr>
      <w:r>
        <w:t>Das Schöpfungsmodell - ideale Ausgangstage</w:t>
      </w:r>
    </w:p>
    <w:p w:rsidR="00BB7EDA" w:rsidRDefault="007D72B3">
      <w:pPr>
        <w:pStyle w:val="Verzeichnis3"/>
        <w:shd w:val="clear" w:color="auto" w:fill="auto"/>
        <w:tabs>
          <w:tab w:val="right" w:leader="dot" w:pos="5545"/>
        </w:tabs>
        <w:spacing w:line="226" w:lineRule="exact"/>
        <w:ind w:left="720" w:firstLine="0"/>
      </w:pPr>
      <w:r>
        <w:t>für weitere Forschungen</w:t>
      </w:r>
      <w:r>
        <w:tab/>
        <w:t>271</w:t>
      </w:r>
    </w:p>
    <w:p w:rsidR="00BB7EDA" w:rsidRDefault="007D72B3">
      <w:pPr>
        <w:pStyle w:val="Verzeichnis3"/>
        <w:numPr>
          <w:ilvl w:val="1"/>
          <w:numId w:val="34"/>
        </w:numPr>
        <w:shd w:val="clear" w:color="auto" w:fill="auto"/>
        <w:tabs>
          <w:tab w:val="left" w:pos="664"/>
        </w:tabs>
        <w:spacing w:line="226" w:lineRule="exact"/>
        <w:ind w:left="720" w:right="940"/>
        <w:jc w:val="left"/>
      </w:pPr>
      <w:r>
        <w:t>Zusammenfassung der wichtigsten Argumente gegen eine Sprachevolution bzw. für die Lehre</w:t>
      </w:r>
    </w:p>
    <w:p w:rsidR="00BB7EDA" w:rsidRDefault="007D72B3">
      <w:pPr>
        <w:pStyle w:val="Verzeichnis3"/>
        <w:shd w:val="clear" w:color="auto" w:fill="auto"/>
        <w:tabs>
          <w:tab w:val="right" w:leader="dot" w:pos="5545"/>
        </w:tabs>
        <w:spacing w:after="180" w:line="226" w:lineRule="exact"/>
        <w:ind w:left="720" w:firstLine="0"/>
      </w:pPr>
      <w:r>
        <w:t>des göttlichen Sprachursprungs</w:t>
      </w:r>
      <w:r>
        <w:tab/>
        <w:t>272</w:t>
      </w:r>
    </w:p>
    <w:p w:rsidR="00BB7EDA" w:rsidRDefault="007D72B3">
      <w:pPr>
        <w:pStyle w:val="Verzeichnis3"/>
        <w:numPr>
          <w:ilvl w:val="0"/>
          <w:numId w:val="34"/>
        </w:numPr>
        <w:shd w:val="clear" w:color="auto" w:fill="auto"/>
        <w:tabs>
          <w:tab w:val="left" w:pos="664"/>
          <w:tab w:val="right" w:leader="dot" w:pos="5545"/>
        </w:tabs>
        <w:spacing w:line="226" w:lineRule="exact"/>
        <w:ind w:firstLine="0"/>
      </w:pPr>
      <w:hyperlink w:anchor="bookmark156" w:tooltip="Current Document">
        <w:r>
          <w:t>Im Anfang war das Wort</w:t>
        </w:r>
        <w:r>
          <w:tab/>
          <w:t>277</w:t>
        </w:r>
      </w:hyperlink>
    </w:p>
    <w:p w:rsidR="00BB7EDA" w:rsidRDefault="007D72B3">
      <w:pPr>
        <w:pStyle w:val="Verzeichnis4"/>
        <w:numPr>
          <w:ilvl w:val="1"/>
          <w:numId w:val="34"/>
        </w:numPr>
        <w:shd w:val="clear" w:color="auto" w:fill="auto"/>
        <w:tabs>
          <w:tab w:val="left" w:pos="664"/>
          <w:tab w:val="right" w:leader="dot" w:pos="5545"/>
        </w:tabs>
        <w:spacing w:line="226" w:lineRule="exact"/>
        <w:ind w:firstLine="0"/>
      </w:pPr>
      <w:hyperlink w:anchor="bookmark157" w:tooltip="Current Document">
        <w:r>
          <w:rPr>
            <w:rStyle w:val="Verzeichnis3Zchn"/>
          </w:rPr>
          <w:t>Zur Grundlage des Schöpfungsmodells</w:t>
        </w:r>
        <w:r>
          <w:rPr>
            <w:rStyle w:val="Verzeichnis3Zchn"/>
          </w:rPr>
          <w:tab/>
          <w:t>277</w:t>
        </w:r>
      </w:hyperlink>
    </w:p>
    <w:p w:rsidR="00BB7EDA" w:rsidRDefault="007D72B3">
      <w:pPr>
        <w:pStyle w:val="Verzeichnis3"/>
        <w:numPr>
          <w:ilvl w:val="2"/>
          <w:numId w:val="34"/>
        </w:numPr>
        <w:shd w:val="clear" w:color="auto" w:fill="auto"/>
        <w:tabs>
          <w:tab w:val="left" w:pos="664"/>
          <w:tab w:val="right" w:leader="dot" w:pos="5545"/>
        </w:tabs>
        <w:spacing w:line="226" w:lineRule="exact"/>
        <w:ind w:firstLine="0"/>
      </w:pPr>
      <w:r>
        <w:t>Die Bibel = Gottes Wort</w:t>
      </w:r>
      <w:r>
        <w:tab/>
        <w:t>277</w:t>
      </w:r>
    </w:p>
    <w:p w:rsidR="00BB7EDA" w:rsidRDefault="007D72B3">
      <w:pPr>
        <w:pStyle w:val="Tableofcontents0"/>
        <w:numPr>
          <w:ilvl w:val="3"/>
          <w:numId w:val="34"/>
        </w:numPr>
        <w:shd w:val="clear" w:color="auto" w:fill="auto"/>
        <w:tabs>
          <w:tab w:val="left" w:pos="1491"/>
          <w:tab w:val="right" w:leader="dot" w:pos="5545"/>
        </w:tabs>
        <w:spacing w:line="226" w:lineRule="exact"/>
        <w:ind w:left="720"/>
      </w:pPr>
      <w:r>
        <w:t>Prophetie - Gottes Siegel auf die Bibel</w:t>
      </w:r>
      <w:r>
        <w:rPr>
          <w:rStyle w:val="TableofcontentsNotItalic"/>
        </w:rPr>
        <w:tab/>
        <w:t>277</w:t>
      </w:r>
    </w:p>
    <w:p w:rsidR="00BB7EDA" w:rsidRDefault="007D72B3">
      <w:pPr>
        <w:pStyle w:val="Tableofcontents0"/>
        <w:numPr>
          <w:ilvl w:val="3"/>
          <w:numId w:val="34"/>
        </w:numPr>
        <w:shd w:val="clear" w:color="auto" w:fill="auto"/>
        <w:tabs>
          <w:tab w:val="left" w:pos="1501"/>
          <w:tab w:val="right" w:leader="dot" w:pos="5545"/>
        </w:tabs>
        <w:spacing w:line="226" w:lineRule="exact"/>
        <w:ind w:left="720"/>
      </w:pPr>
      <w:r>
        <w:t xml:space="preserve">Messianische </w:t>
      </w:r>
      <w:r>
        <w:t>Prophetie</w:t>
      </w:r>
      <w:r>
        <w:rPr>
          <w:rStyle w:val="TableofcontentsNotItalic"/>
        </w:rPr>
        <w:tab/>
        <w:t>278</w:t>
      </w:r>
    </w:p>
    <w:p w:rsidR="00BB7EDA" w:rsidRDefault="007D72B3">
      <w:pPr>
        <w:pStyle w:val="Tableofcontents0"/>
        <w:numPr>
          <w:ilvl w:val="3"/>
          <w:numId w:val="34"/>
        </w:numPr>
        <w:shd w:val="clear" w:color="auto" w:fill="auto"/>
        <w:tabs>
          <w:tab w:val="left" w:pos="1501"/>
          <w:tab w:val="right" w:leader="dot" w:pos="5545"/>
        </w:tabs>
        <w:spacing w:line="226" w:lineRule="exact"/>
        <w:ind w:left="720"/>
      </w:pPr>
      <w:r>
        <w:t>Prophetie über Weltgeschichte</w:t>
      </w:r>
      <w:r>
        <w:rPr>
          <w:rStyle w:val="TableofcontentsNotItalic"/>
        </w:rPr>
        <w:tab/>
        <w:t>278</w:t>
      </w:r>
    </w:p>
    <w:p w:rsidR="00BB7EDA" w:rsidRDefault="007D72B3">
      <w:pPr>
        <w:pStyle w:val="Verzeichnis4"/>
        <w:numPr>
          <w:ilvl w:val="1"/>
          <w:numId w:val="34"/>
        </w:numPr>
        <w:shd w:val="clear" w:color="auto" w:fill="auto"/>
        <w:tabs>
          <w:tab w:val="left" w:pos="664"/>
          <w:tab w:val="right" w:leader="dot" w:pos="5545"/>
        </w:tabs>
        <w:spacing w:line="226" w:lineRule="exact"/>
        <w:ind w:firstLine="0"/>
      </w:pPr>
      <w:hyperlink w:anchor="bookmark158" w:tooltip="Current Document">
        <w:r>
          <w:rPr>
            <w:rStyle w:val="Verzeichnis3Zchn"/>
          </w:rPr>
          <w:t>Der Mensch: zur Kommunikation geschaffen</w:t>
        </w:r>
        <w:r>
          <w:rPr>
            <w:rStyle w:val="Verzeichnis3Zchn"/>
          </w:rPr>
          <w:tab/>
          <w:t>279</w:t>
        </w:r>
      </w:hyperlink>
    </w:p>
    <w:p w:rsidR="00BB7EDA" w:rsidRDefault="007D72B3">
      <w:pPr>
        <w:pStyle w:val="Verzeichnis4"/>
        <w:numPr>
          <w:ilvl w:val="1"/>
          <w:numId w:val="34"/>
        </w:numPr>
        <w:shd w:val="clear" w:color="auto" w:fill="auto"/>
        <w:tabs>
          <w:tab w:val="left" w:pos="664"/>
          <w:tab w:val="right" w:leader="dot" w:pos="5545"/>
        </w:tabs>
        <w:spacing w:line="226" w:lineRule="exact"/>
        <w:ind w:firstLine="0"/>
      </w:pPr>
      <w:hyperlink w:anchor="bookmark159" w:tooltip="Current Document">
        <w:r>
          <w:rPr>
            <w:rStyle w:val="Verzeichnis3Zchn"/>
          </w:rPr>
          <w:t>Gott: Ein Gott der Kommunikation</w:t>
        </w:r>
        <w:r>
          <w:rPr>
            <w:rStyle w:val="Verzeichnis3Zchn"/>
          </w:rPr>
          <w:tab/>
          <w:t>279</w:t>
        </w:r>
      </w:hyperlink>
    </w:p>
    <w:p w:rsidR="00BB7EDA" w:rsidRDefault="007D72B3">
      <w:pPr>
        <w:pStyle w:val="Verzeichnis4"/>
        <w:numPr>
          <w:ilvl w:val="1"/>
          <w:numId w:val="34"/>
        </w:numPr>
        <w:shd w:val="clear" w:color="auto" w:fill="auto"/>
        <w:tabs>
          <w:tab w:val="left" w:pos="664"/>
          <w:tab w:val="right" w:leader="dot" w:pos="5545"/>
        </w:tabs>
        <w:spacing w:line="226" w:lineRule="exact"/>
        <w:ind w:firstLine="0"/>
      </w:pPr>
      <w:hyperlink w:anchor="bookmark160" w:tooltip="Current Document">
        <w:r>
          <w:rPr>
            <w:rStyle w:val="Verzeichnis3Zchn"/>
          </w:rPr>
          <w:t>Gott hat gesprochen</w:t>
        </w:r>
        <w:r>
          <w:rPr>
            <w:rStyle w:val="Verzeichnis3Zchn"/>
          </w:rPr>
          <w:tab/>
          <w:t>281</w:t>
        </w:r>
      </w:hyperlink>
    </w:p>
    <w:p w:rsidR="00BB7EDA" w:rsidRDefault="007D72B3">
      <w:pPr>
        <w:pStyle w:val="Verzeichnis4"/>
        <w:numPr>
          <w:ilvl w:val="1"/>
          <w:numId w:val="34"/>
        </w:numPr>
        <w:shd w:val="clear" w:color="auto" w:fill="auto"/>
        <w:tabs>
          <w:tab w:val="left" w:pos="664"/>
          <w:tab w:val="right" w:leader="dot" w:pos="5545"/>
        </w:tabs>
        <w:spacing w:line="226" w:lineRule="exact"/>
        <w:ind w:firstLine="0"/>
      </w:pPr>
      <w:hyperlink w:anchor="bookmark161" w:tooltip="Current Document">
        <w:r>
          <w:rPr>
            <w:rStyle w:val="Verzeichnis3Zchn"/>
          </w:rPr>
          <w:t>Bibelsprachen = Gottessprachen</w:t>
        </w:r>
        <w:r>
          <w:rPr>
            <w:rStyle w:val="Verzeichnis3Zchn"/>
          </w:rPr>
          <w:tab/>
          <w:t>283</w:t>
        </w:r>
      </w:hyperlink>
    </w:p>
    <w:p w:rsidR="00BB7EDA" w:rsidRDefault="007D72B3">
      <w:pPr>
        <w:pStyle w:val="Verzeichnis4"/>
        <w:numPr>
          <w:ilvl w:val="1"/>
          <w:numId w:val="34"/>
        </w:numPr>
        <w:shd w:val="clear" w:color="auto" w:fill="auto"/>
        <w:tabs>
          <w:tab w:val="left" w:pos="664"/>
          <w:tab w:val="right" w:leader="dot" w:pos="5545"/>
        </w:tabs>
        <w:spacing w:line="226" w:lineRule="exact"/>
        <w:ind w:firstLine="0"/>
      </w:pPr>
      <w:hyperlink w:anchor="bookmark162" w:tooltip="Current Document">
        <w:r>
          <w:rPr>
            <w:rStyle w:val="Verzeichnis3Zchn"/>
          </w:rPr>
          <w:t xml:space="preserve">Kommunikationsstörung </w:t>
        </w:r>
        <w:r>
          <w:rPr>
            <w:rStyle w:val="Verzeichnis3Zchn"/>
          </w:rPr>
          <w:tab/>
          <w:t>284</w:t>
        </w:r>
      </w:hyperlink>
    </w:p>
    <w:p w:rsidR="00BB7EDA" w:rsidRDefault="007D72B3">
      <w:pPr>
        <w:pStyle w:val="Verzeichnis5"/>
        <w:numPr>
          <w:ilvl w:val="2"/>
          <w:numId w:val="34"/>
        </w:numPr>
        <w:shd w:val="clear" w:color="auto" w:fill="auto"/>
        <w:tabs>
          <w:tab w:val="left" w:pos="664"/>
          <w:tab w:val="right" w:leader="dot" w:pos="5545"/>
        </w:tabs>
        <w:spacing w:line="226" w:lineRule="exact"/>
        <w:ind w:firstLine="0"/>
      </w:pPr>
      <w:hyperlink w:anchor="bookmark163" w:tooltip="Current Document">
        <w:r>
          <w:rPr>
            <w:rStyle w:val="Verzeichnis3Zchn"/>
          </w:rPr>
          <w:t>Ursachen der Kommunikationsstörung</w:t>
        </w:r>
        <w:r>
          <w:rPr>
            <w:rStyle w:val="Verzeichnis3Zchn"/>
          </w:rPr>
          <w:tab/>
          <w:t>284</w:t>
        </w:r>
      </w:hyperlink>
    </w:p>
    <w:p w:rsidR="00BB7EDA" w:rsidRDefault="007D72B3">
      <w:pPr>
        <w:pStyle w:val="Verzeichnis3"/>
        <w:numPr>
          <w:ilvl w:val="2"/>
          <w:numId w:val="34"/>
        </w:numPr>
        <w:shd w:val="clear" w:color="auto" w:fill="auto"/>
        <w:tabs>
          <w:tab w:val="left" w:pos="664"/>
          <w:tab w:val="right" w:leader="dot" w:pos="5545"/>
        </w:tabs>
        <w:spacing w:line="226" w:lineRule="exact"/>
        <w:ind w:firstLine="0"/>
      </w:pPr>
      <w:r>
        <w:t>Heilung des Grundübels</w:t>
      </w:r>
      <w:r>
        <w:tab/>
        <w:t>285</w:t>
      </w:r>
    </w:p>
    <w:p w:rsidR="00BB7EDA" w:rsidRDefault="007D72B3">
      <w:pPr>
        <w:pStyle w:val="Verzeichnis5"/>
        <w:numPr>
          <w:ilvl w:val="2"/>
          <w:numId w:val="34"/>
        </w:numPr>
        <w:shd w:val="clear" w:color="auto" w:fill="auto"/>
        <w:tabs>
          <w:tab w:val="left" w:pos="664"/>
          <w:tab w:val="right" w:leader="dot" w:pos="5545"/>
        </w:tabs>
        <w:spacing w:line="226" w:lineRule="exact"/>
        <w:ind w:firstLine="0"/>
      </w:pPr>
      <w:hyperlink w:anchor="bookmark164" w:tooltip="Current Document">
        <w:r>
          <w:rPr>
            <w:rStyle w:val="Verzeichnis3Zchn"/>
          </w:rPr>
          <w:t>Erneuerte Kommunikation</w:t>
        </w:r>
        <w:r>
          <w:rPr>
            <w:rStyle w:val="Verzeichnis3Zchn"/>
          </w:rPr>
          <w:tab/>
          <w:t>286</w:t>
        </w:r>
      </w:hyperlink>
    </w:p>
    <w:p w:rsidR="00BB7EDA" w:rsidRDefault="007D72B3">
      <w:pPr>
        <w:pStyle w:val="Verzeichnis3"/>
        <w:shd w:val="clear" w:color="auto" w:fill="auto"/>
        <w:tabs>
          <w:tab w:val="right" w:leader="dot" w:pos="5545"/>
        </w:tabs>
        <w:spacing w:line="451" w:lineRule="exact"/>
        <w:ind w:firstLine="0"/>
      </w:pPr>
      <w:hyperlink w:anchor="bookmark165" w:tooltip="Current Document">
        <w:r>
          <w:t>Literatur</w:t>
        </w:r>
        <w:r>
          <w:tab/>
          <w:t>289</w:t>
        </w:r>
      </w:hyperlink>
    </w:p>
    <w:p w:rsidR="00BB7EDA" w:rsidRDefault="007D72B3">
      <w:pPr>
        <w:pStyle w:val="Verzeichnis3"/>
        <w:shd w:val="clear" w:color="auto" w:fill="auto"/>
        <w:tabs>
          <w:tab w:val="right" w:leader="dot" w:pos="5545"/>
        </w:tabs>
        <w:spacing w:line="451" w:lineRule="exact"/>
        <w:ind w:firstLine="0"/>
      </w:pPr>
      <w:hyperlink w:anchor="bookmark166" w:tooltip="Current Document">
        <w:r>
          <w:t>Glossar</w:t>
        </w:r>
        <w:r>
          <w:tab/>
          <w:t>300</w:t>
        </w:r>
      </w:hyperlink>
    </w:p>
    <w:p w:rsidR="00BB7EDA" w:rsidRDefault="007D72B3">
      <w:pPr>
        <w:pStyle w:val="Verzeichnis3"/>
        <w:shd w:val="clear" w:color="auto" w:fill="auto"/>
        <w:tabs>
          <w:tab w:val="right" w:leader="dot" w:pos="5545"/>
        </w:tabs>
        <w:spacing w:line="451" w:lineRule="exact"/>
        <w:ind w:firstLine="0"/>
      </w:pPr>
      <w:hyperlink w:anchor="bookmark167" w:tooltip="Current Document">
        <w:r>
          <w:t>Bibliographie von Roger Liebi</w:t>
        </w:r>
        <w:r>
          <w:tab/>
          <w:t>303</w:t>
        </w:r>
      </w:hyperlink>
    </w:p>
    <w:p w:rsidR="00BB7EDA" w:rsidRDefault="007D72B3">
      <w:pPr>
        <w:pStyle w:val="Verzeichnis3"/>
        <w:shd w:val="clear" w:color="auto" w:fill="auto"/>
        <w:tabs>
          <w:tab w:val="right" w:leader="dot" w:pos="5545"/>
        </w:tabs>
        <w:spacing w:line="451" w:lineRule="exact"/>
        <w:ind w:firstLine="0"/>
      </w:pPr>
      <w:hyperlink w:anchor="bookmark168" w:tooltip="Current Document">
        <w:r>
          <w:t xml:space="preserve">Der Autor </w:t>
        </w:r>
        <w:r>
          <w:tab/>
          <w:t>304</w:t>
        </w:r>
      </w:hyperlink>
      <w:r>
        <w:fldChar w:fldCharType="end"/>
      </w:r>
    </w:p>
    <w:p w:rsidR="00BB7EDA" w:rsidRDefault="007D72B3">
      <w:pPr>
        <w:pStyle w:val="Heading30"/>
        <w:keepNext/>
        <w:keepLines/>
        <w:shd w:val="clear" w:color="auto" w:fill="auto"/>
        <w:spacing w:after="264" w:line="336" w:lineRule="exact"/>
        <w:jc w:val="left"/>
      </w:pPr>
      <w:bookmarkStart w:id="3" w:name="bookmark2"/>
      <w:bookmarkEnd w:id="2"/>
      <w:r>
        <w:t>Abkürzungen, bibliographische Hinweise und Transkriptionen</w:t>
      </w:r>
      <w:bookmarkEnd w:id="3"/>
    </w:p>
    <w:p w:rsidR="00BB7EDA" w:rsidRDefault="007D72B3">
      <w:pPr>
        <w:pStyle w:val="Bodytext20"/>
        <w:shd w:val="clear" w:color="auto" w:fill="auto"/>
        <w:spacing w:before="0" w:line="456" w:lineRule="exact"/>
        <w:ind w:right="3040"/>
        <w:jc w:val="left"/>
      </w:pPr>
      <w:r>
        <w:t>Abkürzungen der Bibelbücher Altes Testament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49"/>
        <w:gridCol w:w="806"/>
        <w:gridCol w:w="1205"/>
      </w:tblGrid>
      <w:tr w:rsidR="00BB7EDA">
        <w:tblPrEx>
          <w:tblCellMar>
            <w:top w:w="0" w:type="dxa"/>
            <w:bottom w:w="0" w:type="dxa"/>
          </w:tblCellMar>
        </w:tblPrEx>
        <w:trPr>
          <w:trHeight w:hRule="exact" w:val="230"/>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Gen</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Genesis (1. Mose)</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Spr</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Sprüche</w:t>
            </w:r>
          </w:p>
        </w:tc>
      </w:tr>
      <w:tr w:rsidR="00BB7EDA">
        <w:tblPrEx>
          <w:tblCellMar>
            <w:top w:w="0" w:type="dxa"/>
            <w:bottom w:w="0" w:type="dxa"/>
          </w:tblCellMar>
        </w:tblPrEx>
        <w:trPr>
          <w:trHeight w:hRule="exact" w:val="226"/>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Ex</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Exodus (2. Mose)</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Pred</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Prediger</w:t>
            </w:r>
          </w:p>
        </w:tc>
      </w:tr>
      <w:tr w:rsidR="00BB7EDA">
        <w:tblPrEx>
          <w:tblCellMar>
            <w:top w:w="0" w:type="dxa"/>
            <w:bottom w:w="0" w:type="dxa"/>
          </w:tblCellMar>
        </w:tblPrEx>
        <w:trPr>
          <w:trHeight w:hRule="exact" w:val="216"/>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Lev</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Levitikus (3. Mose)</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Hld</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Hoheslied</w:t>
            </w:r>
          </w:p>
        </w:tc>
      </w:tr>
      <w:tr w:rsidR="00BB7EDA">
        <w:tblPrEx>
          <w:tblCellMar>
            <w:top w:w="0" w:type="dxa"/>
            <w:bottom w:w="0" w:type="dxa"/>
          </w:tblCellMar>
        </w:tblPrEx>
        <w:trPr>
          <w:trHeight w:hRule="exact" w:val="245"/>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Num</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Numeri (4. Mose)</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Jes</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Jesaja</w:t>
            </w:r>
          </w:p>
        </w:tc>
      </w:tr>
      <w:tr w:rsidR="00BB7EDA">
        <w:tblPrEx>
          <w:tblCellMar>
            <w:top w:w="0" w:type="dxa"/>
            <w:bottom w:w="0" w:type="dxa"/>
          </w:tblCellMar>
        </w:tblPrEx>
        <w:trPr>
          <w:trHeight w:hRule="exact" w:val="226"/>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Deut</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Deuteronomium (5. Mose)</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Jer</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Jeremia</w:t>
            </w:r>
          </w:p>
        </w:tc>
      </w:tr>
      <w:tr w:rsidR="00BB7EDA">
        <w:tblPrEx>
          <w:tblCellMar>
            <w:top w:w="0" w:type="dxa"/>
            <w:bottom w:w="0" w:type="dxa"/>
          </w:tblCellMar>
        </w:tblPrEx>
        <w:trPr>
          <w:trHeight w:hRule="exact" w:val="235"/>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Jos</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Josua</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Klgl</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Klagelieder</w:t>
            </w:r>
          </w:p>
        </w:tc>
      </w:tr>
      <w:tr w:rsidR="00BB7EDA">
        <w:tblPrEx>
          <w:tblCellMar>
            <w:top w:w="0" w:type="dxa"/>
            <w:bottom w:w="0" w:type="dxa"/>
          </w:tblCellMar>
        </w:tblPrEx>
        <w:trPr>
          <w:trHeight w:hRule="exact" w:val="206"/>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Rieh</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Richter</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Hes</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Hesekiel</w:t>
            </w:r>
          </w:p>
        </w:tc>
      </w:tr>
      <w:tr w:rsidR="00BB7EDA">
        <w:tblPrEx>
          <w:tblCellMar>
            <w:top w:w="0" w:type="dxa"/>
            <w:bottom w:w="0" w:type="dxa"/>
          </w:tblCellMar>
        </w:tblPrEx>
        <w:trPr>
          <w:trHeight w:hRule="exact" w:val="230"/>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Ru</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Ruth</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Dan</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Daniel</w:t>
            </w:r>
          </w:p>
        </w:tc>
      </w:tr>
      <w:tr w:rsidR="00BB7EDA">
        <w:tblPrEx>
          <w:tblCellMar>
            <w:top w:w="0" w:type="dxa"/>
            <w:bottom w:w="0" w:type="dxa"/>
          </w:tblCellMar>
        </w:tblPrEx>
        <w:trPr>
          <w:trHeight w:hRule="exact" w:val="230"/>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lSam</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1. Samuel</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Hos</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Hosea</w:t>
            </w:r>
          </w:p>
        </w:tc>
      </w:tr>
      <w:tr w:rsidR="00BB7EDA">
        <w:tblPrEx>
          <w:tblCellMar>
            <w:top w:w="0" w:type="dxa"/>
            <w:bottom w:w="0" w:type="dxa"/>
          </w:tblCellMar>
        </w:tblPrEx>
        <w:trPr>
          <w:trHeight w:hRule="exact" w:val="235"/>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2Sam</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2. Samuel</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Joel</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Joel</w:t>
            </w:r>
          </w:p>
        </w:tc>
      </w:tr>
      <w:tr w:rsidR="00BB7EDA">
        <w:tblPrEx>
          <w:tblCellMar>
            <w:top w:w="0" w:type="dxa"/>
            <w:bottom w:w="0" w:type="dxa"/>
          </w:tblCellMar>
        </w:tblPrEx>
        <w:trPr>
          <w:trHeight w:hRule="exact" w:val="240"/>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lKön</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1. Könige</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Obd</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Obadja</w:t>
            </w:r>
          </w:p>
        </w:tc>
      </w:tr>
      <w:tr w:rsidR="00BB7EDA">
        <w:tblPrEx>
          <w:tblCellMar>
            <w:top w:w="0" w:type="dxa"/>
            <w:bottom w:w="0" w:type="dxa"/>
          </w:tblCellMar>
        </w:tblPrEx>
        <w:trPr>
          <w:trHeight w:hRule="exact" w:val="226"/>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2Kön</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2. Könige</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Jon</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Jona</w:t>
            </w:r>
          </w:p>
        </w:tc>
      </w:tr>
      <w:tr w:rsidR="00BB7EDA">
        <w:tblPrEx>
          <w:tblCellMar>
            <w:top w:w="0" w:type="dxa"/>
            <w:bottom w:w="0" w:type="dxa"/>
          </w:tblCellMar>
        </w:tblPrEx>
        <w:trPr>
          <w:trHeight w:hRule="exact" w:val="211"/>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IChr</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1. Chronika</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Mi</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Micha</w:t>
            </w:r>
          </w:p>
        </w:tc>
      </w:tr>
      <w:tr w:rsidR="00BB7EDA">
        <w:tblPrEx>
          <w:tblCellMar>
            <w:top w:w="0" w:type="dxa"/>
            <w:bottom w:w="0" w:type="dxa"/>
          </w:tblCellMar>
        </w:tblPrEx>
        <w:trPr>
          <w:trHeight w:hRule="exact" w:val="226"/>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2Chr</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2. Chronika</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Nah</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Nahum</w:t>
            </w:r>
          </w:p>
        </w:tc>
      </w:tr>
      <w:tr w:rsidR="00BB7EDA">
        <w:tblPrEx>
          <w:tblCellMar>
            <w:top w:w="0" w:type="dxa"/>
            <w:bottom w:w="0" w:type="dxa"/>
          </w:tblCellMar>
        </w:tblPrEx>
        <w:trPr>
          <w:trHeight w:hRule="exact" w:val="226"/>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Esr</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Esra</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Hab</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Habakuk</w:t>
            </w:r>
          </w:p>
        </w:tc>
      </w:tr>
      <w:tr w:rsidR="00BB7EDA">
        <w:tblPrEx>
          <w:tblCellMar>
            <w:top w:w="0" w:type="dxa"/>
            <w:bottom w:w="0" w:type="dxa"/>
          </w:tblCellMar>
        </w:tblPrEx>
        <w:trPr>
          <w:trHeight w:hRule="exact" w:val="250"/>
          <w:jc w:val="center"/>
        </w:trPr>
        <w:tc>
          <w:tcPr>
            <w:tcW w:w="682"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Neh</w:t>
            </w:r>
          </w:p>
        </w:tc>
        <w:tc>
          <w:tcPr>
            <w:tcW w:w="2549"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Nehemia</w:t>
            </w:r>
          </w:p>
        </w:tc>
        <w:tc>
          <w:tcPr>
            <w:tcW w:w="806"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Zeph</w:t>
            </w:r>
          </w:p>
        </w:tc>
        <w:tc>
          <w:tcPr>
            <w:tcW w:w="1205" w:type="dxa"/>
            <w:shd w:val="clear" w:color="auto" w:fill="FFFFFF"/>
            <w:vAlign w:val="bottom"/>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Zephanja</w:t>
            </w:r>
          </w:p>
        </w:tc>
      </w:tr>
      <w:tr w:rsidR="00BB7EDA">
        <w:tblPrEx>
          <w:tblCellMar>
            <w:top w:w="0" w:type="dxa"/>
            <w:bottom w:w="0" w:type="dxa"/>
          </w:tblCellMar>
        </w:tblPrEx>
        <w:trPr>
          <w:trHeight w:hRule="exact" w:val="226"/>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Est</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Esther</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Hag</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Haggai</w:t>
            </w:r>
          </w:p>
        </w:tc>
      </w:tr>
      <w:tr w:rsidR="00BB7EDA">
        <w:tblPrEx>
          <w:tblCellMar>
            <w:top w:w="0" w:type="dxa"/>
            <w:bottom w:w="0" w:type="dxa"/>
          </w:tblCellMar>
        </w:tblPrEx>
        <w:trPr>
          <w:trHeight w:hRule="exact" w:val="226"/>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Hi</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Hiob</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Sach</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Sacharja</w:t>
            </w:r>
          </w:p>
        </w:tc>
      </w:tr>
      <w:tr w:rsidR="00BB7EDA">
        <w:tblPrEx>
          <w:tblCellMar>
            <w:top w:w="0" w:type="dxa"/>
            <w:bottom w:w="0" w:type="dxa"/>
          </w:tblCellMar>
        </w:tblPrEx>
        <w:trPr>
          <w:trHeight w:hRule="exact" w:val="202"/>
          <w:jc w:val="center"/>
        </w:trPr>
        <w:tc>
          <w:tcPr>
            <w:tcW w:w="682" w:type="dxa"/>
            <w:shd w:val="clear" w:color="auto" w:fill="FFFFFF"/>
          </w:tcPr>
          <w:p w:rsidR="00BB7EDA" w:rsidRDefault="007D72B3">
            <w:pPr>
              <w:pStyle w:val="Bodytext20"/>
              <w:framePr w:w="5242" w:wrap="notBeside" w:vAnchor="text" w:hAnchor="text" w:xAlign="center" w:y="1"/>
              <w:shd w:val="clear" w:color="auto" w:fill="auto"/>
              <w:spacing w:before="0" w:line="180" w:lineRule="exact"/>
              <w:jc w:val="left"/>
            </w:pPr>
            <w:r>
              <w:rPr>
                <w:rStyle w:val="Bodytext21"/>
              </w:rPr>
              <w:t>Ps</w:t>
            </w:r>
          </w:p>
        </w:tc>
        <w:tc>
          <w:tcPr>
            <w:tcW w:w="2549"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Psalmen</w:t>
            </w:r>
          </w:p>
        </w:tc>
        <w:tc>
          <w:tcPr>
            <w:tcW w:w="806"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180"/>
              <w:jc w:val="left"/>
            </w:pPr>
            <w:r>
              <w:rPr>
                <w:rStyle w:val="Bodytext21"/>
              </w:rPr>
              <w:t>Mal</w:t>
            </w:r>
          </w:p>
        </w:tc>
        <w:tc>
          <w:tcPr>
            <w:tcW w:w="1205" w:type="dxa"/>
            <w:shd w:val="clear" w:color="auto" w:fill="FFFFFF"/>
          </w:tcPr>
          <w:p w:rsidR="00BB7EDA" w:rsidRDefault="007D72B3">
            <w:pPr>
              <w:pStyle w:val="Bodytext20"/>
              <w:framePr w:w="5242" w:wrap="notBeside" w:vAnchor="text" w:hAnchor="text" w:xAlign="center" w:y="1"/>
              <w:shd w:val="clear" w:color="auto" w:fill="auto"/>
              <w:spacing w:before="0" w:line="180" w:lineRule="exact"/>
              <w:ind w:left="220"/>
              <w:jc w:val="left"/>
            </w:pPr>
            <w:r>
              <w:rPr>
                <w:rStyle w:val="Bodytext21"/>
              </w:rPr>
              <w:t>Maleachi</w:t>
            </w:r>
          </w:p>
        </w:tc>
      </w:tr>
    </w:tbl>
    <w:p w:rsidR="00BB7EDA" w:rsidRDefault="00BB7EDA">
      <w:pPr>
        <w:framePr w:w="5242" w:wrap="notBeside" w:vAnchor="text" w:hAnchor="text" w:xAlign="center" w:y="1"/>
        <w:rPr>
          <w:sz w:val="2"/>
          <w:szCs w:val="2"/>
        </w:rPr>
      </w:pPr>
    </w:p>
    <w:p w:rsidR="00BB7EDA" w:rsidRDefault="00BB7EDA">
      <w:pPr>
        <w:rPr>
          <w:sz w:val="2"/>
          <w:szCs w:val="2"/>
        </w:rPr>
      </w:pPr>
    </w:p>
    <w:p w:rsidR="00BB7EDA" w:rsidRDefault="007D72B3">
      <w:pPr>
        <w:pStyle w:val="Tablecaption0"/>
        <w:framePr w:w="5338" w:wrap="notBeside" w:vAnchor="text" w:hAnchor="text" w:xAlign="center" w:y="1"/>
        <w:shd w:val="clear" w:color="auto" w:fill="auto"/>
        <w:spacing w:line="180" w:lineRule="exact"/>
      </w:pPr>
      <w:r>
        <w:t>Neues Testament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2"/>
        <w:gridCol w:w="2213"/>
        <w:gridCol w:w="1157"/>
        <w:gridCol w:w="1306"/>
      </w:tblGrid>
      <w:tr w:rsidR="00BB7EDA">
        <w:tblPrEx>
          <w:tblCellMar>
            <w:top w:w="0" w:type="dxa"/>
            <w:bottom w:w="0" w:type="dxa"/>
          </w:tblCellMar>
        </w:tblPrEx>
        <w:trPr>
          <w:trHeight w:hRule="exact" w:val="216"/>
          <w:jc w:val="center"/>
        </w:trPr>
        <w:tc>
          <w:tcPr>
            <w:tcW w:w="662"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Mat</w:t>
            </w:r>
          </w:p>
        </w:tc>
        <w:tc>
          <w:tcPr>
            <w:tcW w:w="2213"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Matthäus</w:t>
            </w:r>
          </w:p>
        </w:tc>
        <w:tc>
          <w:tcPr>
            <w:tcW w:w="1157"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lTim</w:t>
            </w:r>
          </w:p>
        </w:tc>
        <w:tc>
          <w:tcPr>
            <w:tcW w:w="1306"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1. Timotheus</w:t>
            </w:r>
          </w:p>
        </w:tc>
      </w:tr>
      <w:tr w:rsidR="00BB7EDA">
        <w:tblPrEx>
          <w:tblCellMar>
            <w:top w:w="0" w:type="dxa"/>
            <w:bottom w:w="0" w:type="dxa"/>
          </w:tblCellMar>
        </w:tblPrEx>
        <w:trPr>
          <w:trHeight w:hRule="exact" w:val="230"/>
          <w:jc w:val="center"/>
        </w:trPr>
        <w:tc>
          <w:tcPr>
            <w:tcW w:w="662"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Mark</w:t>
            </w:r>
          </w:p>
        </w:tc>
        <w:tc>
          <w:tcPr>
            <w:tcW w:w="2213"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Markus</w:t>
            </w:r>
          </w:p>
        </w:tc>
        <w:tc>
          <w:tcPr>
            <w:tcW w:w="1157"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2Tim</w:t>
            </w:r>
          </w:p>
        </w:tc>
        <w:tc>
          <w:tcPr>
            <w:tcW w:w="1306"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2. Timotheus</w:t>
            </w:r>
          </w:p>
        </w:tc>
      </w:tr>
      <w:tr w:rsidR="00BB7EDA">
        <w:tblPrEx>
          <w:tblCellMar>
            <w:top w:w="0" w:type="dxa"/>
            <w:bottom w:w="0" w:type="dxa"/>
          </w:tblCellMar>
        </w:tblPrEx>
        <w:trPr>
          <w:trHeight w:hRule="exact" w:val="226"/>
          <w:jc w:val="center"/>
        </w:trPr>
        <w:tc>
          <w:tcPr>
            <w:tcW w:w="662"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Luk</w:t>
            </w:r>
          </w:p>
        </w:tc>
        <w:tc>
          <w:tcPr>
            <w:tcW w:w="2213"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Lukas</w:t>
            </w:r>
          </w:p>
        </w:tc>
        <w:tc>
          <w:tcPr>
            <w:tcW w:w="1157"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Tit</w:t>
            </w:r>
          </w:p>
        </w:tc>
        <w:tc>
          <w:tcPr>
            <w:tcW w:w="1306"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Titus</w:t>
            </w:r>
          </w:p>
        </w:tc>
      </w:tr>
      <w:tr w:rsidR="00BB7EDA">
        <w:tblPrEx>
          <w:tblCellMar>
            <w:top w:w="0" w:type="dxa"/>
            <w:bottom w:w="0" w:type="dxa"/>
          </w:tblCellMar>
        </w:tblPrEx>
        <w:trPr>
          <w:trHeight w:hRule="exact" w:val="235"/>
          <w:jc w:val="center"/>
        </w:trPr>
        <w:tc>
          <w:tcPr>
            <w:tcW w:w="662"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Joh</w:t>
            </w:r>
          </w:p>
        </w:tc>
        <w:tc>
          <w:tcPr>
            <w:tcW w:w="2213"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Johannes</w:t>
            </w:r>
          </w:p>
        </w:tc>
        <w:tc>
          <w:tcPr>
            <w:tcW w:w="1157"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Phlm</w:t>
            </w:r>
          </w:p>
        </w:tc>
        <w:tc>
          <w:tcPr>
            <w:tcW w:w="1306"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Philemon</w:t>
            </w:r>
          </w:p>
        </w:tc>
      </w:tr>
      <w:tr w:rsidR="00BB7EDA">
        <w:tblPrEx>
          <w:tblCellMar>
            <w:top w:w="0" w:type="dxa"/>
            <w:bottom w:w="0" w:type="dxa"/>
          </w:tblCellMar>
        </w:tblPrEx>
        <w:trPr>
          <w:trHeight w:hRule="exact" w:val="245"/>
          <w:jc w:val="center"/>
        </w:trPr>
        <w:tc>
          <w:tcPr>
            <w:tcW w:w="662"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left"/>
            </w:pPr>
            <w:r>
              <w:rPr>
                <w:rStyle w:val="Bodytext21"/>
                <w:vertAlign w:val="superscript"/>
              </w:rPr>
              <w:t>A</w:t>
            </w:r>
            <w:r>
              <w:rPr>
                <w:rStyle w:val="Bodytext21"/>
              </w:rPr>
              <w:t>Pg</w:t>
            </w:r>
          </w:p>
        </w:tc>
        <w:tc>
          <w:tcPr>
            <w:tcW w:w="2213"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Apostelgeschichte</w:t>
            </w:r>
          </w:p>
        </w:tc>
        <w:tc>
          <w:tcPr>
            <w:tcW w:w="1157"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Heb</w:t>
            </w:r>
          </w:p>
        </w:tc>
        <w:tc>
          <w:tcPr>
            <w:tcW w:w="1306"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Hebräer</w:t>
            </w:r>
          </w:p>
        </w:tc>
      </w:tr>
      <w:tr w:rsidR="00BB7EDA">
        <w:tblPrEx>
          <w:tblCellMar>
            <w:top w:w="0" w:type="dxa"/>
            <w:bottom w:w="0" w:type="dxa"/>
          </w:tblCellMar>
        </w:tblPrEx>
        <w:trPr>
          <w:trHeight w:hRule="exact" w:val="216"/>
          <w:jc w:val="center"/>
        </w:trPr>
        <w:tc>
          <w:tcPr>
            <w:tcW w:w="662"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Röm</w:t>
            </w:r>
          </w:p>
        </w:tc>
        <w:tc>
          <w:tcPr>
            <w:tcW w:w="2213"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Römer</w:t>
            </w:r>
          </w:p>
        </w:tc>
        <w:tc>
          <w:tcPr>
            <w:tcW w:w="1157"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Jak</w:t>
            </w:r>
          </w:p>
        </w:tc>
        <w:tc>
          <w:tcPr>
            <w:tcW w:w="1306"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Jakobus</w:t>
            </w:r>
          </w:p>
        </w:tc>
      </w:tr>
      <w:tr w:rsidR="00BB7EDA">
        <w:tblPrEx>
          <w:tblCellMar>
            <w:top w:w="0" w:type="dxa"/>
            <w:bottom w:w="0" w:type="dxa"/>
          </w:tblCellMar>
        </w:tblPrEx>
        <w:trPr>
          <w:trHeight w:hRule="exact" w:val="211"/>
          <w:jc w:val="center"/>
        </w:trPr>
        <w:tc>
          <w:tcPr>
            <w:tcW w:w="662"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IKor</w:t>
            </w:r>
          </w:p>
        </w:tc>
        <w:tc>
          <w:tcPr>
            <w:tcW w:w="2213"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1. Korinther</w:t>
            </w:r>
          </w:p>
        </w:tc>
        <w:tc>
          <w:tcPr>
            <w:tcW w:w="1157"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IPet</w:t>
            </w:r>
          </w:p>
        </w:tc>
        <w:tc>
          <w:tcPr>
            <w:tcW w:w="1306"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1. Petrus</w:t>
            </w:r>
          </w:p>
        </w:tc>
      </w:tr>
      <w:tr w:rsidR="00BB7EDA">
        <w:tblPrEx>
          <w:tblCellMar>
            <w:top w:w="0" w:type="dxa"/>
            <w:bottom w:w="0" w:type="dxa"/>
          </w:tblCellMar>
        </w:tblPrEx>
        <w:trPr>
          <w:trHeight w:hRule="exact" w:val="226"/>
          <w:jc w:val="center"/>
        </w:trPr>
        <w:tc>
          <w:tcPr>
            <w:tcW w:w="662"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2Kor</w:t>
            </w:r>
          </w:p>
        </w:tc>
        <w:tc>
          <w:tcPr>
            <w:tcW w:w="2213"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2. Korinther</w:t>
            </w:r>
          </w:p>
        </w:tc>
        <w:tc>
          <w:tcPr>
            <w:tcW w:w="1157"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2Pet</w:t>
            </w:r>
          </w:p>
        </w:tc>
        <w:tc>
          <w:tcPr>
            <w:tcW w:w="1306"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2. Petrus</w:t>
            </w:r>
          </w:p>
        </w:tc>
      </w:tr>
      <w:tr w:rsidR="00BB7EDA">
        <w:tblPrEx>
          <w:tblCellMar>
            <w:top w:w="0" w:type="dxa"/>
            <w:bottom w:w="0" w:type="dxa"/>
          </w:tblCellMar>
        </w:tblPrEx>
        <w:trPr>
          <w:trHeight w:hRule="exact" w:val="240"/>
          <w:jc w:val="center"/>
        </w:trPr>
        <w:tc>
          <w:tcPr>
            <w:tcW w:w="662"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Gal</w:t>
            </w:r>
          </w:p>
        </w:tc>
        <w:tc>
          <w:tcPr>
            <w:tcW w:w="2213"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Galater</w:t>
            </w:r>
          </w:p>
        </w:tc>
        <w:tc>
          <w:tcPr>
            <w:tcW w:w="1157"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ljoh</w:t>
            </w:r>
          </w:p>
        </w:tc>
        <w:tc>
          <w:tcPr>
            <w:tcW w:w="1306" w:type="dxa"/>
            <w:shd w:val="clear" w:color="auto" w:fill="FFFFFF"/>
            <w:vAlign w:val="bottom"/>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1. Johannes</w:t>
            </w:r>
          </w:p>
        </w:tc>
      </w:tr>
      <w:tr w:rsidR="00BB7EDA">
        <w:tblPrEx>
          <w:tblCellMar>
            <w:top w:w="0" w:type="dxa"/>
            <w:bottom w:w="0" w:type="dxa"/>
          </w:tblCellMar>
        </w:tblPrEx>
        <w:trPr>
          <w:trHeight w:hRule="exact" w:val="250"/>
          <w:jc w:val="center"/>
        </w:trPr>
        <w:tc>
          <w:tcPr>
            <w:tcW w:w="662"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left"/>
            </w:pPr>
            <w:r>
              <w:rPr>
                <w:rStyle w:val="Bodytext21"/>
              </w:rPr>
              <w:t>Eph</w:t>
            </w:r>
          </w:p>
        </w:tc>
        <w:tc>
          <w:tcPr>
            <w:tcW w:w="2213"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Epheser</w:t>
            </w:r>
          </w:p>
        </w:tc>
        <w:tc>
          <w:tcPr>
            <w:tcW w:w="1157" w:type="dxa"/>
            <w:shd w:val="clear" w:color="auto" w:fill="FFFFFF"/>
          </w:tcPr>
          <w:p w:rsidR="00BB7EDA" w:rsidRDefault="007D72B3">
            <w:pPr>
              <w:pStyle w:val="Bodytext20"/>
              <w:framePr w:w="5338" w:wrap="notBeside" w:vAnchor="text" w:hAnchor="text" w:xAlign="center" w:y="1"/>
              <w:shd w:val="clear" w:color="auto" w:fill="auto"/>
              <w:spacing w:before="0" w:line="180" w:lineRule="exact"/>
              <w:jc w:val="center"/>
            </w:pPr>
            <w:r>
              <w:rPr>
                <w:rStyle w:val="Bodytext21"/>
              </w:rPr>
              <w:t>2] oh</w:t>
            </w:r>
          </w:p>
        </w:tc>
        <w:tc>
          <w:tcPr>
            <w:tcW w:w="1306" w:type="dxa"/>
            <w:shd w:val="clear" w:color="auto" w:fill="FFFFFF"/>
          </w:tcPr>
          <w:p w:rsidR="00BB7EDA" w:rsidRDefault="007D72B3">
            <w:pPr>
              <w:pStyle w:val="Bodytext20"/>
              <w:framePr w:w="5338" w:wrap="notBeside" w:vAnchor="text" w:hAnchor="text" w:xAlign="center" w:y="1"/>
              <w:shd w:val="clear" w:color="auto" w:fill="auto"/>
              <w:spacing w:before="0" w:line="180" w:lineRule="exact"/>
              <w:ind w:left="220"/>
              <w:jc w:val="left"/>
            </w:pPr>
            <w:r>
              <w:rPr>
                <w:rStyle w:val="Bodytext21"/>
              </w:rPr>
              <w:t>2. Johannes</w:t>
            </w:r>
          </w:p>
        </w:tc>
      </w:tr>
    </w:tbl>
    <w:p w:rsidR="00BB7EDA" w:rsidRDefault="00BB7EDA">
      <w:pPr>
        <w:framePr w:w="5338" w:wrap="notBeside" w:vAnchor="text" w:hAnchor="text" w:xAlign="center" w:y="1"/>
        <w:rPr>
          <w:sz w:val="2"/>
          <w:szCs w:val="2"/>
        </w:rPr>
      </w:pPr>
    </w:p>
    <w:p w:rsidR="00BB7EDA" w:rsidRDefault="00BB7ED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107"/>
        <w:gridCol w:w="1147"/>
        <w:gridCol w:w="1339"/>
      </w:tblGrid>
      <w:tr w:rsidR="00BB7EDA">
        <w:tblPrEx>
          <w:tblCellMar>
            <w:top w:w="0" w:type="dxa"/>
            <w:bottom w:w="0" w:type="dxa"/>
          </w:tblCellMar>
        </w:tblPrEx>
        <w:trPr>
          <w:trHeight w:hRule="exact" w:val="230"/>
          <w:jc w:val="center"/>
        </w:trPr>
        <w:tc>
          <w:tcPr>
            <w:tcW w:w="720"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left"/>
            </w:pPr>
            <w:r>
              <w:rPr>
                <w:rStyle w:val="Bodytext21"/>
              </w:rPr>
              <w:t>Phil</w:t>
            </w:r>
          </w:p>
        </w:tc>
        <w:tc>
          <w:tcPr>
            <w:tcW w:w="2107"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160"/>
              <w:jc w:val="left"/>
            </w:pPr>
            <w:r>
              <w:rPr>
                <w:rStyle w:val="Bodytext21"/>
              </w:rPr>
              <w:t>Philipper</w:t>
            </w:r>
          </w:p>
        </w:tc>
        <w:tc>
          <w:tcPr>
            <w:tcW w:w="1147"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center"/>
            </w:pPr>
            <w:r>
              <w:rPr>
                <w:rStyle w:val="Bodytext21"/>
              </w:rPr>
              <w:t>3Joh</w:t>
            </w:r>
          </w:p>
        </w:tc>
        <w:tc>
          <w:tcPr>
            <w:tcW w:w="1339"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260"/>
              <w:jc w:val="left"/>
            </w:pPr>
            <w:r>
              <w:rPr>
                <w:rStyle w:val="Bodytext21"/>
              </w:rPr>
              <w:t>3. Johannes</w:t>
            </w:r>
          </w:p>
        </w:tc>
      </w:tr>
      <w:tr w:rsidR="00BB7EDA">
        <w:tblPrEx>
          <w:tblCellMar>
            <w:top w:w="0" w:type="dxa"/>
            <w:bottom w:w="0" w:type="dxa"/>
          </w:tblCellMar>
        </w:tblPrEx>
        <w:trPr>
          <w:trHeight w:hRule="exact" w:val="221"/>
          <w:jc w:val="center"/>
        </w:trPr>
        <w:tc>
          <w:tcPr>
            <w:tcW w:w="720"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left"/>
            </w:pPr>
            <w:r>
              <w:rPr>
                <w:rStyle w:val="Bodytext21"/>
              </w:rPr>
              <w:t>Kol</w:t>
            </w:r>
          </w:p>
        </w:tc>
        <w:tc>
          <w:tcPr>
            <w:tcW w:w="2107"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160"/>
              <w:jc w:val="left"/>
            </w:pPr>
            <w:r>
              <w:rPr>
                <w:rStyle w:val="Bodytext21"/>
              </w:rPr>
              <w:t>Kolosser</w:t>
            </w:r>
          </w:p>
        </w:tc>
        <w:tc>
          <w:tcPr>
            <w:tcW w:w="1147"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center"/>
            </w:pPr>
            <w:r>
              <w:rPr>
                <w:rStyle w:val="Bodytext21"/>
              </w:rPr>
              <w:t>Jud</w:t>
            </w:r>
          </w:p>
        </w:tc>
        <w:tc>
          <w:tcPr>
            <w:tcW w:w="1339"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260"/>
              <w:jc w:val="left"/>
            </w:pPr>
            <w:r>
              <w:rPr>
                <w:rStyle w:val="Bodytext21"/>
              </w:rPr>
              <w:t>Judas</w:t>
            </w:r>
          </w:p>
        </w:tc>
      </w:tr>
      <w:tr w:rsidR="00BB7EDA">
        <w:tblPrEx>
          <w:tblCellMar>
            <w:top w:w="0" w:type="dxa"/>
            <w:bottom w:w="0" w:type="dxa"/>
          </w:tblCellMar>
        </w:tblPrEx>
        <w:trPr>
          <w:trHeight w:hRule="exact" w:val="235"/>
          <w:jc w:val="center"/>
        </w:trPr>
        <w:tc>
          <w:tcPr>
            <w:tcW w:w="720"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left"/>
            </w:pPr>
            <w:r>
              <w:rPr>
                <w:rStyle w:val="Bodytext21"/>
              </w:rPr>
              <w:t>IThess</w:t>
            </w:r>
          </w:p>
        </w:tc>
        <w:tc>
          <w:tcPr>
            <w:tcW w:w="2107"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160"/>
              <w:jc w:val="left"/>
            </w:pPr>
            <w:r>
              <w:rPr>
                <w:rStyle w:val="Bodytext21"/>
              </w:rPr>
              <w:t>1. Thessalonicher</w:t>
            </w:r>
          </w:p>
        </w:tc>
        <w:tc>
          <w:tcPr>
            <w:tcW w:w="1147"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center"/>
            </w:pPr>
            <w:r>
              <w:rPr>
                <w:rStyle w:val="Bodytext21"/>
              </w:rPr>
              <w:t>Off</w:t>
            </w:r>
          </w:p>
        </w:tc>
        <w:tc>
          <w:tcPr>
            <w:tcW w:w="1339"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260"/>
              <w:jc w:val="left"/>
            </w:pPr>
            <w:r>
              <w:rPr>
                <w:rStyle w:val="Bodytext21"/>
              </w:rPr>
              <w:t>Offenbarung</w:t>
            </w:r>
          </w:p>
        </w:tc>
      </w:tr>
      <w:tr w:rsidR="00BB7EDA">
        <w:tblPrEx>
          <w:tblCellMar>
            <w:top w:w="0" w:type="dxa"/>
            <w:bottom w:w="0" w:type="dxa"/>
          </w:tblCellMar>
        </w:tblPrEx>
        <w:trPr>
          <w:trHeight w:hRule="exact" w:val="192"/>
          <w:jc w:val="center"/>
        </w:trPr>
        <w:tc>
          <w:tcPr>
            <w:tcW w:w="720" w:type="dxa"/>
            <w:shd w:val="clear" w:color="auto" w:fill="FFFFFF"/>
          </w:tcPr>
          <w:p w:rsidR="00BB7EDA" w:rsidRDefault="007D72B3">
            <w:pPr>
              <w:pStyle w:val="Bodytext20"/>
              <w:framePr w:w="5314" w:wrap="notBeside" w:vAnchor="text" w:hAnchor="text" w:xAlign="center" w:y="1"/>
              <w:shd w:val="clear" w:color="auto" w:fill="auto"/>
              <w:spacing w:before="0" w:line="180" w:lineRule="exact"/>
              <w:jc w:val="left"/>
            </w:pPr>
            <w:r>
              <w:rPr>
                <w:rStyle w:val="Bodytext21"/>
              </w:rPr>
              <w:t>2Thess</w:t>
            </w:r>
          </w:p>
        </w:tc>
        <w:tc>
          <w:tcPr>
            <w:tcW w:w="2107" w:type="dxa"/>
            <w:shd w:val="clear" w:color="auto" w:fill="FFFFFF"/>
          </w:tcPr>
          <w:p w:rsidR="00BB7EDA" w:rsidRDefault="007D72B3">
            <w:pPr>
              <w:pStyle w:val="Bodytext20"/>
              <w:framePr w:w="5314" w:wrap="notBeside" w:vAnchor="text" w:hAnchor="text" w:xAlign="center" w:y="1"/>
              <w:shd w:val="clear" w:color="auto" w:fill="auto"/>
              <w:spacing w:before="0" w:line="180" w:lineRule="exact"/>
              <w:ind w:left="160"/>
              <w:jc w:val="left"/>
            </w:pPr>
            <w:r>
              <w:rPr>
                <w:rStyle w:val="Bodytext21"/>
              </w:rPr>
              <w:t>2. Thessalonicher</w:t>
            </w:r>
          </w:p>
        </w:tc>
        <w:tc>
          <w:tcPr>
            <w:tcW w:w="1147" w:type="dxa"/>
            <w:shd w:val="clear" w:color="auto" w:fill="FFFFFF"/>
          </w:tcPr>
          <w:p w:rsidR="00BB7EDA" w:rsidRDefault="00BB7EDA">
            <w:pPr>
              <w:framePr w:w="5314" w:wrap="notBeside" w:vAnchor="text" w:hAnchor="text" w:xAlign="center" w:y="1"/>
              <w:rPr>
                <w:sz w:val="10"/>
                <w:szCs w:val="10"/>
              </w:rPr>
            </w:pPr>
          </w:p>
        </w:tc>
        <w:tc>
          <w:tcPr>
            <w:tcW w:w="1339" w:type="dxa"/>
            <w:shd w:val="clear" w:color="auto" w:fill="FFFFFF"/>
          </w:tcPr>
          <w:p w:rsidR="00BB7EDA" w:rsidRDefault="00BB7EDA">
            <w:pPr>
              <w:framePr w:w="5314" w:wrap="notBeside" w:vAnchor="text" w:hAnchor="text" w:xAlign="center" w:y="1"/>
              <w:rPr>
                <w:sz w:val="10"/>
                <w:szCs w:val="10"/>
              </w:rPr>
            </w:pPr>
          </w:p>
        </w:tc>
      </w:tr>
    </w:tbl>
    <w:p w:rsidR="00BB7EDA" w:rsidRDefault="00BB7EDA">
      <w:pPr>
        <w:framePr w:w="5314" w:wrap="notBeside" w:vAnchor="text" w:hAnchor="text" w:xAlign="center" w:y="1"/>
        <w:rPr>
          <w:sz w:val="2"/>
          <w:szCs w:val="2"/>
        </w:rPr>
      </w:pPr>
    </w:p>
    <w:p w:rsidR="00BB7EDA" w:rsidRDefault="00BB7EDA">
      <w:pPr>
        <w:rPr>
          <w:sz w:val="2"/>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62"/>
        <w:gridCol w:w="3192"/>
      </w:tblGrid>
      <w:tr w:rsidR="00BB7EDA">
        <w:tblPrEx>
          <w:tblCellMar>
            <w:top w:w="0" w:type="dxa"/>
            <w:bottom w:w="0" w:type="dxa"/>
          </w:tblCellMar>
        </w:tblPrEx>
        <w:trPr>
          <w:trHeight w:hRule="exact" w:val="350"/>
        </w:trPr>
        <w:tc>
          <w:tcPr>
            <w:tcW w:w="3854" w:type="dxa"/>
            <w:gridSpan w:val="2"/>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Bold"/>
              </w:rPr>
              <w:t>Allgemeine Abkürzungen</w:t>
            </w:r>
          </w:p>
        </w:tc>
      </w:tr>
      <w:tr w:rsidR="00BB7EDA">
        <w:tblPrEx>
          <w:tblCellMar>
            <w:top w:w="0" w:type="dxa"/>
            <w:bottom w:w="0" w:type="dxa"/>
          </w:tblCellMar>
        </w:tblPrEx>
        <w:trPr>
          <w:trHeight w:hRule="exact" w:val="346"/>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a.a.O.</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am angeführten Ort</w:t>
            </w:r>
          </w:p>
        </w:tc>
      </w:tr>
      <w:tr w:rsidR="00BB7EDA">
        <w:tblPrEx>
          <w:tblCellMar>
            <w:top w:w="0" w:type="dxa"/>
            <w:bottom w:w="0" w:type="dxa"/>
          </w:tblCellMar>
        </w:tblPrEx>
        <w:trPr>
          <w:trHeight w:hRule="exact" w:val="206"/>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AT</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Altes Testament</w:t>
            </w:r>
          </w:p>
        </w:tc>
      </w:tr>
      <w:tr w:rsidR="00BB7EDA">
        <w:tblPrEx>
          <w:tblCellMar>
            <w:top w:w="0" w:type="dxa"/>
            <w:bottom w:w="0" w:type="dxa"/>
          </w:tblCellMar>
        </w:tblPrEx>
        <w:trPr>
          <w:trHeight w:hRule="exact" w:val="235"/>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Bd.</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Band</w:t>
            </w:r>
          </w:p>
        </w:tc>
      </w:tr>
      <w:tr w:rsidR="00BB7EDA">
        <w:tblPrEx>
          <w:tblCellMar>
            <w:top w:w="0" w:type="dxa"/>
            <w:bottom w:w="0" w:type="dxa"/>
          </w:tblCellMar>
        </w:tblPrEx>
        <w:trPr>
          <w:trHeight w:hRule="exact" w:val="230"/>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Bde.</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Bände</w:t>
            </w:r>
          </w:p>
        </w:tc>
      </w:tr>
      <w:tr w:rsidR="00BB7EDA">
        <w:tblPrEx>
          <w:tblCellMar>
            <w:top w:w="0" w:type="dxa"/>
            <w:bottom w:w="0" w:type="dxa"/>
          </w:tblCellMar>
        </w:tblPrEx>
        <w:trPr>
          <w:trHeight w:hRule="exact" w:val="235"/>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d.h.</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das heißt</w:t>
            </w:r>
          </w:p>
        </w:tc>
      </w:tr>
      <w:tr w:rsidR="00BB7EDA">
        <w:tblPrEx>
          <w:tblCellMar>
            <w:top w:w="0" w:type="dxa"/>
            <w:bottom w:w="0" w:type="dxa"/>
          </w:tblCellMar>
        </w:tblPrEx>
        <w:trPr>
          <w:trHeight w:hRule="exact" w:val="216"/>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etc.</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et cetera, und so weiter</w:t>
            </w:r>
          </w:p>
        </w:tc>
      </w:tr>
      <w:tr w:rsidR="00BB7EDA">
        <w:tblPrEx>
          <w:tblCellMar>
            <w:top w:w="0" w:type="dxa"/>
            <w:bottom w:w="0" w:type="dxa"/>
          </w:tblCellMar>
        </w:tblPrEx>
        <w:trPr>
          <w:trHeight w:hRule="exact" w:val="230"/>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fern.</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femininum</w:t>
            </w:r>
          </w:p>
        </w:tc>
      </w:tr>
      <w:tr w:rsidR="00BB7EDA">
        <w:tblPrEx>
          <w:tblCellMar>
            <w:top w:w="0" w:type="dxa"/>
            <w:bottom w:w="0" w:type="dxa"/>
          </w:tblCellMar>
        </w:tblPrEx>
        <w:trPr>
          <w:trHeight w:hRule="exact" w:val="254"/>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ff.</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folgende</w:t>
            </w:r>
          </w:p>
        </w:tc>
      </w:tr>
      <w:tr w:rsidR="00BB7EDA">
        <w:tblPrEx>
          <w:tblCellMar>
            <w:top w:w="0" w:type="dxa"/>
            <w:bottom w:w="0" w:type="dxa"/>
          </w:tblCellMar>
        </w:tblPrEx>
        <w:trPr>
          <w:trHeight w:hRule="exact" w:val="226"/>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griech.</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griechisch</w:t>
            </w:r>
          </w:p>
        </w:tc>
      </w:tr>
      <w:tr w:rsidR="00BB7EDA">
        <w:tblPrEx>
          <w:tblCellMar>
            <w:top w:w="0" w:type="dxa"/>
            <w:bottom w:w="0" w:type="dxa"/>
          </w:tblCellMar>
        </w:tblPrEx>
        <w:trPr>
          <w:trHeight w:hRule="exact" w:val="211"/>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hebr.</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hebräisch</w:t>
            </w:r>
          </w:p>
        </w:tc>
      </w:tr>
      <w:tr w:rsidR="00BB7EDA">
        <w:tblPrEx>
          <w:tblCellMar>
            <w:top w:w="0" w:type="dxa"/>
            <w:bottom w:w="0" w:type="dxa"/>
          </w:tblCellMar>
        </w:tblPrEx>
        <w:trPr>
          <w:trHeight w:hRule="exact" w:val="235"/>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Jh.</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Jahrhundert</w:t>
            </w:r>
          </w:p>
        </w:tc>
      </w:tr>
      <w:tr w:rsidR="00BB7EDA">
        <w:tblPrEx>
          <w:tblCellMar>
            <w:top w:w="0" w:type="dxa"/>
            <w:bottom w:w="0" w:type="dxa"/>
          </w:tblCellMar>
        </w:tblPrEx>
        <w:trPr>
          <w:trHeight w:hRule="exact" w:val="216"/>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lat.</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lateinisch</w:t>
            </w:r>
          </w:p>
        </w:tc>
      </w:tr>
      <w:tr w:rsidR="00BB7EDA">
        <w:tblPrEx>
          <w:tblCellMar>
            <w:top w:w="0" w:type="dxa"/>
            <w:bottom w:w="0" w:type="dxa"/>
          </w:tblCellMar>
        </w:tblPrEx>
        <w:trPr>
          <w:trHeight w:hRule="exact" w:val="226"/>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m.E.</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meines Erachtens</w:t>
            </w:r>
          </w:p>
        </w:tc>
      </w:tr>
      <w:tr w:rsidR="00BB7EDA">
        <w:tblPrEx>
          <w:tblCellMar>
            <w:top w:w="0" w:type="dxa"/>
            <w:bottom w:w="0" w:type="dxa"/>
          </w:tblCellMar>
        </w:tblPrEx>
        <w:trPr>
          <w:trHeight w:hRule="exact" w:val="230"/>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mask.</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maskulinum</w:t>
            </w:r>
          </w:p>
        </w:tc>
      </w:tr>
      <w:tr w:rsidR="00BB7EDA">
        <w:tblPrEx>
          <w:tblCellMar>
            <w:top w:w="0" w:type="dxa"/>
            <w:bottom w:w="0" w:type="dxa"/>
          </w:tblCellMar>
        </w:tblPrEx>
        <w:trPr>
          <w:trHeight w:hRule="exact" w:val="235"/>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n. Chr.</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nach Christi Geburt</w:t>
            </w:r>
          </w:p>
        </w:tc>
      </w:tr>
      <w:tr w:rsidR="00BB7EDA">
        <w:tblPrEx>
          <w:tblCellMar>
            <w:top w:w="0" w:type="dxa"/>
            <w:bottom w:w="0" w:type="dxa"/>
          </w:tblCellMar>
        </w:tblPrEx>
        <w:trPr>
          <w:trHeight w:hRule="exact" w:val="221"/>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neutr.</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neutrum</w:t>
            </w:r>
          </w:p>
        </w:tc>
      </w:tr>
      <w:tr w:rsidR="00BB7EDA">
        <w:tblPrEx>
          <w:tblCellMar>
            <w:top w:w="0" w:type="dxa"/>
            <w:bottom w:w="0" w:type="dxa"/>
          </w:tblCellMar>
        </w:tblPrEx>
        <w:trPr>
          <w:trHeight w:hRule="exact" w:val="226"/>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Nr.</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Nummer</w:t>
            </w:r>
          </w:p>
        </w:tc>
      </w:tr>
      <w:tr w:rsidR="00BB7EDA">
        <w:tblPrEx>
          <w:tblCellMar>
            <w:top w:w="0" w:type="dxa"/>
            <w:bottom w:w="0" w:type="dxa"/>
          </w:tblCellMar>
        </w:tblPrEx>
        <w:trPr>
          <w:trHeight w:hRule="exact" w:val="230"/>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NT</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Neues Testament</w:t>
            </w:r>
          </w:p>
        </w:tc>
      </w:tr>
      <w:tr w:rsidR="00BB7EDA">
        <w:tblPrEx>
          <w:tblCellMar>
            <w:top w:w="0" w:type="dxa"/>
            <w:bottom w:w="0" w:type="dxa"/>
          </w:tblCellMar>
        </w:tblPrEx>
        <w:trPr>
          <w:trHeight w:hRule="exact" w:val="254"/>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o.J.</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 xml:space="preserve">ohne Jahrgang, keine </w:t>
            </w:r>
            <w:r>
              <w:rPr>
                <w:rStyle w:val="Bodytext21"/>
              </w:rPr>
              <w:t>Jahrzahlangabe</w:t>
            </w:r>
          </w:p>
        </w:tc>
      </w:tr>
      <w:tr w:rsidR="00BB7EDA">
        <w:tblPrEx>
          <w:tblCellMar>
            <w:top w:w="0" w:type="dxa"/>
            <w:bottom w:w="0" w:type="dxa"/>
          </w:tblCellMar>
        </w:tblPrEx>
        <w:trPr>
          <w:trHeight w:hRule="exact" w:val="221"/>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o.O.</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ohne Ortsangabe</w:t>
            </w:r>
          </w:p>
        </w:tc>
      </w:tr>
      <w:tr w:rsidR="00BB7EDA">
        <w:tblPrEx>
          <w:tblCellMar>
            <w:top w:w="0" w:type="dxa"/>
            <w:bottom w:w="0" w:type="dxa"/>
          </w:tblCellMar>
        </w:tblPrEx>
        <w:trPr>
          <w:trHeight w:hRule="exact" w:val="202"/>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Pers.</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Person</w:t>
            </w:r>
          </w:p>
        </w:tc>
      </w:tr>
      <w:tr w:rsidR="00BB7EDA">
        <w:tblPrEx>
          <w:tblCellMar>
            <w:top w:w="0" w:type="dxa"/>
            <w:bottom w:w="0" w:type="dxa"/>
          </w:tblCellMar>
        </w:tblPrEx>
        <w:trPr>
          <w:trHeight w:hRule="exact" w:val="230"/>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PI.</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Plural, Mehrzahl</w:t>
            </w:r>
          </w:p>
        </w:tc>
      </w:tr>
      <w:tr w:rsidR="00BB7EDA">
        <w:tblPrEx>
          <w:tblCellMar>
            <w:top w:w="0" w:type="dxa"/>
            <w:bottom w:w="0" w:type="dxa"/>
          </w:tblCellMar>
        </w:tblPrEx>
        <w:trPr>
          <w:trHeight w:hRule="exact" w:val="254"/>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KL</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Kogei Liebi</w:t>
            </w:r>
          </w:p>
        </w:tc>
      </w:tr>
      <w:tr w:rsidR="00BB7EDA">
        <w:tblPrEx>
          <w:tblCellMar>
            <w:top w:w="0" w:type="dxa"/>
            <w:bottom w:w="0" w:type="dxa"/>
          </w:tblCellMar>
        </w:tblPrEx>
        <w:trPr>
          <w:trHeight w:hRule="exact" w:val="211"/>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S.</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Seite/Seiten</w:t>
            </w:r>
          </w:p>
        </w:tc>
      </w:tr>
      <w:tr w:rsidR="00BB7EDA">
        <w:tblPrEx>
          <w:tblCellMar>
            <w:top w:w="0" w:type="dxa"/>
            <w:bottom w:w="0" w:type="dxa"/>
          </w:tblCellMar>
        </w:tblPrEx>
        <w:trPr>
          <w:trHeight w:hRule="exact" w:val="216"/>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s.</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siehe</w:t>
            </w:r>
          </w:p>
        </w:tc>
      </w:tr>
      <w:tr w:rsidR="00BB7EDA">
        <w:tblPrEx>
          <w:tblCellMar>
            <w:top w:w="0" w:type="dxa"/>
            <w:bottom w:w="0" w:type="dxa"/>
          </w:tblCellMar>
        </w:tblPrEx>
        <w:trPr>
          <w:trHeight w:hRule="exact" w:val="230"/>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s.d.</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siehe dort</w:t>
            </w:r>
          </w:p>
        </w:tc>
      </w:tr>
      <w:tr w:rsidR="00BB7EDA">
        <w:tblPrEx>
          <w:tblCellMar>
            <w:top w:w="0" w:type="dxa"/>
            <w:bottom w:w="0" w:type="dxa"/>
          </w:tblCellMar>
        </w:tblPrEx>
        <w:trPr>
          <w:trHeight w:hRule="exact" w:val="250"/>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Sing-</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Singular, Einzahl</w:t>
            </w:r>
          </w:p>
        </w:tc>
      </w:tr>
      <w:tr w:rsidR="00BB7EDA">
        <w:tblPrEx>
          <w:tblCellMar>
            <w:top w:w="0" w:type="dxa"/>
            <w:bottom w:w="0" w:type="dxa"/>
          </w:tblCellMar>
        </w:tblPrEx>
        <w:trPr>
          <w:trHeight w:hRule="exact" w:val="216"/>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u.Ä.</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und Ähnliches</w:t>
            </w:r>
          </w:p>
        </w:tc>
      </w:tr>
      <w:tr w:rsidR="00BB7EDA">
        <w:tblPrEx>
          <w:tblCellMar>
            <w:top w:w="0" w:type="dxa"/>
            <w:bottom w:w="0" w:type="dxa"/>
          </w:tblCellMar>
        </w:tblPrEx>
        <w:trPr>
          <w:trHeight w:hRule="exact" w:val="221"/>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u.a.</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unter anderem</w:t>
            </w:r>
          </w:p>
        </w:tc>
      </w:tr>
      <w:tr w:rsidR="00BB7EDA">
        <w:tblPrEx>
          <w:tblCellMar>
            <w:top w:w="0" w:type="dxa"/>
            <w:bottom w:w="0" w:type="dxa"/>
          </w:tblCellMar>
        </w:tblPrEx>
        <w:trPr>
          <w:trHeight w:hRule="exact" w:val="221"/>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u.U.</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unter Umständen</w:t>
            </w:r>
          </w:p>
        </w:tc>
      </w:tr>
      <w:tr w:rsidR="00BB7EDA">
        <w:tblPrEx>
          <w:tblCellMar>
            <w:top w:w="0" w:type="dxa"/>
            <w:bottom w:w="0" w:type="dxa"/>
          </w:tblCellMar>
        </w:tblPrEx>
        <w:trPr>
          <w:trHeight w:hRule="exact" w:val="230"/>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v. Chr.</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vor Christi Geburt</w:t>
            </w:r>
          </w:p>
        </w:tc>
      </w:tr>
      <w:tr w:rsidR="00BB7EDA">
        <w:tblPrEx>
          <w:tblCellMar>
            <w:top w:w="0" w:type="dxa"/>
            <w:bottom w:w="0" w:type="dxa"/>
          </w:tblCellMar>
        </w:tblPrEx>
        <w:trPr>
          <w:trHeight w:hRule="exact" w:val="245"/>
        </w:trPr>
        <w:tc>
          <w:tcPr>
            <w:tcW w:w="66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vgl.</w:t>
            </w:r>
          </w:p>
        </w:tc>
        <w:tc>
          <w:tcPr>
            <w:tcW w:w="3192" w:type="dxa"/>
            <w:shd w:val="clear" w:color="auto" w:fill="FFFFFF"/>
            <w:vAlign w:val="bottom"/>
          </w:tcPr>
          <w:p w:rsidR="00BB7EDA" w:rsidRDefault="007D72B3">
            <w:pPr>
              <w:pStyle w:val="Bodytext20"/>
              <w:framePr w:w="3854" w:wrap="notBeside" w:vAnchor="text" w:hAnchor="text" w:y="1"/>
              <w:shd w:val="clear" w:color="auto" w:fill="auto"/>
              <w:spacing w:before="0" w:line="180" w:lineRule="exact"/>
              <w:jc w:val="left"/>
            </w:pPr>
            <w:r>
              <w:rPr>
                <w:rStyle w:val="Bodytext21"/>
              </w:rPr>
              <w:t>vergleiche</w:t>
            </w:r>
          </w:p>
        </w:tc>
      </w:tr>
      <w:tr w:rsidR="00BB7EDA">
        <w:tblPrEx>
          <w:tblCellMar>
            <w:top w:w="0" w:type="dxa"/>
            <w:bottom w:w="0" w:type="dxa"/>
          </w:tblCellMar>
        </w:tblPrEx>
        <w:trPr>
          <w:trHeight w:hRule="exact" w:val="192"/>
        </w:trPr>
        <w:tc>
          <w:tcPr>
            <w:tcW w:w="66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z.T.</w:t>
            </w:r>
          </w:p>
        </w:tc>
        <w:tc>
          <w:tcPr>
            <w:tcW w:w="3192" w:type="dxa"/>
            <w:shd w:val="clear" w:color="auto" w:fill="FFFFFF"/>
          </w:tcPr>
          <w:p w:rsidR="00BB7EDA" w:rsidRDefault="007D72B3">
            <w:pPr>
              <w:pStyle w:val="Bodytext20"/>
              <w:framePr w:w="3854" w:wrap="notBeside" w:vAnchor="text" w:hAnchor="text" w:y="1"/>
              <w:shd w:val="clear" w:color="auto" w:fill="auto"/>
              <w:spacing w:before="0" w:line="180" w:lineRule="exact"/>
              <w:jc w:val="left"/>
            </w:pPr>
            <w:r>
              <w:rPr>
                <w:rStyle w:val="Bodytext21"/>
              </w:rPr>
              <w:t>zum Teil</w:t>
            </w:r>
          </w:p>
        </w:tc>
      </w:tr>
    </w:tbl>
    <w:p w:rsidR="00BB7EDA" w:rsidRDefault="00BB7EDA">
      <w:pPr>
        <w:framePr w:w="3854" w:wrap="notBeside" w:vAnchor="text" w:hAnchor="text" w:y="1"/>
        <w:rPr>
          <w:sz w:val="2"/>
          <w:szCs w:val="2"/>
        </w:rPr>
      </w:pPr>
    </w:p>
    <w:p w:rsidR="00BB7EDA" w:rsidRDefault="00BB7EDA">
      <w:pPr>
        <w:rPr>
          <w:sz w:val="2"/>
          <w:szCs w:val="2"/>
        </w:rPr>
      </w:pPr>
    </w:p>
    <w:p w:rsidR="00BB7EDA" w:rsidRDefault="007D72B3">
      <w:pPr>
        <w:pStyle w:val="Heading40"/>
        <w:keepNext/>
        <w:keepLines/>
        <w:shd w:val="clear" w:color="auto" w:fill="auto"/>
        <w:spacing w:after="152" w:line="210" w:lineRule="exact"/>
      </w:pPr>
      <w:bookmarkStart w:id="4" w:name="bookmark3"/>
      <w:r>
        <w:t>Bibliographische Hinweise</w:t>
      </w:r>
      <w:bookmarkEnd w:id="4"/>
    </w:p>
    <w:p w:rsidR="00BB7EDA" w:rsidRDefault="007D72B3">
      <w:pPr>
        <w:pStyle w:val="Bodytext20"/>
        <w:shd w:val="clear" w:color="auto" w:fill="auto"/>
        <w:spacing w:before="0" w:line="226" w:lineRule="exact"/>
      </w:pPr>
      <w:r>
        <w:t>Bibliographische Angaben werden wie folgt verzeichnet:</w:t>
      </w:r>
    </w:p>
    <w:p w:rsidR="00BB7EDA" w:rsidRDefault="007D72B3">
      <w:pPr>
        <w:pStyle w:val="Bodytext20"/>
        <w:shd w:val="clear" w:color="auto" w:fill="auto"/>
        <w:spacing w:before="0" w:after="433" w:line="226" w:lineRule="exact"/>
        <w:ind w:firstLine="320"/>
      </w:pPr>
      <w:r>
        <w:t xml:space="preserve">Bereits bei erstmaliger Anführung von Literatur, wird in den Fußnoten eine abgekürzte bibliographische Angabe vermerkt (in der Regel: Autor, </w:t>
      </w:r>
      <w:r>
        <w:t>Titdel und Seitenzahlen). Die vollständigen An</w:t>
      </w:r>
      <w:r>
        <w:softHyphen/>
        <w:t>gaben sind alphabetisch geordnet im Literaturverzeichnis aufge</w:t>
      </w:r>
      <w:r>
        <w:softHyphen/>
        <w:t>führt.</w:t>
      </w:r>
    </w:p>
    <w:p w:rsidR="00BB7EDA" w:rsidRDefault="007D72B3">
      <w:pPr>
        <w:pStyle w:val="Heading40"/>
        <w:keepNext/>
        <w:keepLines/>
        <w:shd w:val="clear" w:color="auto" w:fill="auto"/>
        <w:spacing w:after="181" w:line="210" w:lineRule="exact"/>
      </w:pPr>
      <w:bookmarkStart w:id="5" w:name="bookmark4"/>
      <w:r>
        <w:t>Bibelzitate</w:t>
      </w:r>
      <w:bookmarkEnd w:id="5"/>
    </w:p>
    <w:p w:rsidR="00BB7EDA" w:rsidRDefault="007D72B3">
      <w:pPr>
        <w:pStyle w:val="Bodytext20"/>
        <w:shd w:val="clear" w:color="auto" w:fill="auto"/>
        <w:spacing w:before="0" w:after="228" w:line="226" w:lineRule="exact"/>
      </w:pPr>
      <w:r>
        <w:t>Die Bibelzitate erfolgen nach der Elberfelder-Übersetzung, Wupper</w:t>
      </w:r>
      <w:r>
        <w:softHyphen/>
        <w:t xml:space="preserve">tal-Elberfeld </w:t>
      </w:r>
      <w:r>
        <w:rPr>
          <w:rStyle w:val="Bodytext28pt"/>
        </w:rPr>
        <w:t xml:space="preserve">1905, </w:t>
      </w:r>
      <w:r>
        <w:t xml:space="preserve">allerdings in einer durch Roger </w:t>
      </w:r>
      <w:r>
        <w:rPr>
          <w:rStyle w:val="Bodytext28ptSmallCaps"/>
        </w:rPr>
        <w:t xml:space="preserve">Liebi </w:t>
      </w:r>
      <w:r>
        <w:t>lei</w:t>
      </w:r>
      <w:r>
        <w:t>cht revi</w:t>
      </w:r>
      <w:r>
        <w:softHyphen/>
        <w:t>dierten Form. Die Grundlage für das AT bildet der masoretische Text der Biblia Hebraica Stuttgartensia.</w:t>
      </w:r>
      <w:r>
        <w:rPr>
          <w:vertAlign w:val="superscript"/>
        </w:rPr>
        <w:footnoteReference w:id="1"/>
      </w:r>
      <w:r>
        <w:t xml:space="preserve"> Im NT fand der Mehrheits</w:t>
      </w:r>
      <w:r>
        <w:softHyphen/>
        <w:t xml:space="preserve">text in der Edition von </w:t>
      </w:r>
      <w:r>
        <w:rPr>
          <w:rStyle w:val="Bodytext28ptSmallCaps"/>
        </w:rPr>
        <w:t xml:space="preserve">Robinson </w:t>
      </w:r>
      <w:r>
        <w:t xml:space="preserve">und </w:t>
      </w:r>
      <w:r>
        <w:rPr>
          <w:rStyle w:val="Bodytext28ptSmallCaps"/>
        </w:rPr>
        <w:t xml:space="preserve">Pierpont </w:t>
      </w:r>
      <w:r>
        <w:t>Verwendung.</w:t>
      </w:r>
      <w:r>
        <w:rPr>
          <w:vertAlign w:val="superscript"/>
        </w:rPr>
        <w:footnoteReference w:id="2"/>
      </w:r>
      <w:r>
        <w:t xml:space="preserve"> Bei poetischen Texten wurde jeweils auf die Wiedergabe der</w:t>
      </w:r>
      <w:r>
        <w:t xml:space="preserve"> Verszeilen geachtet.</w:t>
      </w:r>
    </w:p>
    <w:p w:rsidR="00BB7EDA" w:rsidRDefault="007D72B3">
      <w:pPr>
        <w:pStyle w:val="Heading40"/>
        <w:keepNext/>
        <w:keepLines/>
        <w:shd w:val="clear" w:color="auto" w:fill="auto"/>
        <w:spacing w:after="0" w:line="466" w:lineRule="exact"/>
      </w:pPr>
      <w:bookmarkStart w:id="6" w:name="bookmark5"/>
      <w:r>
        <w:t>Transkriptionen</w:t>
      </w:r>
      <w:bookmarkEnd w:id="6"/>
    </w:p>
    <w:p w:rsidR="00BB7EDA" w:rsidRDefault="007D72B3">
      <w:pPr>
        <w:pStyle w:val="Heading50"/>
        <w:keepNext/>
        <w:keepLines/>
        <w:shd w:val="clear" w:color="auto" w:fill="auto"/>
      </w:pPr>
      <w:bookmarkStart w:id="7" w:name="bookmark6"/>
      <w:r>
        <w:t>Hebräisch und Aramäisch</w:t>
      </w:r>
      <w:bookmarkEnd w:id="7"/>
    </w:p>
    <w:p w:rsidR="00BB7EDA" w:rsidRDefault="007D72B3">
      <w:pPr>
        <w:pStyle w:val="Bodytext20"/>
        <w:shd w:val="clear" w:color="auto" w:fill="auto"/>
        <w:spacing w:before="0" w:line="226" w:lineRule="exact"/>
      </w:pPr>
      <w:r>
        <w:t xml:space="preserve">In der Hebraistik hat sich bis heute keine allgemein verbindliche Transkription durchgesetzt. Deshalb habe ich in diesem Bu&lt; h von der nach wie vor bestehenden Freiheit Gebrauch gemacht, eine </w:t>
      </w:r>
      <w:r>
        <w:t>besonders einfache Umschrift anzuwenden. Leser, die kein Hebrä</w:t>
      </w:r>
      <w:r>
        <w:softHyphen/>
        <w:t>isch verstehen, können so die Aussprache mühelos nachvollziehen. Solche, die das Hebräische beherrschen, sind in der Lage im Allge</w:t>
      </w:r>
      <w:r>
        <w:softHyphen/>
        <w:t>meinen ohne Schwierigkeiten sofort auf die dahinter liegende h</w:t>
      </w:r>
      <w:r>
        <w:t>e</w:t>
      </w:r>
      <w:r>
        <w:softHyphen/>
        <w:t>bräische Schrift zurückzuschließen.</w:t>
      </w:r>
    </w:p>
    <w:p w:rsidR="00BB7EDA" w:rsidRDefault="007D72B3">
      <w:pPr>
        <w:pStyle w:val="Bodytext20"/>
        <w:shd w:val="clear" w:color="auto" w:fill="auto"/>
        <w:spacing w:before="0" w:line="226" w:lineRule="exact"/>
        <w:ind w:firstLine="320"/>
      </w:pPr>
      <w:r>
        <w:t>Die folgenden Angaben zur Aussprache des hebräischen bzw. aramäischen Konsonanten-Alphabets orientieren sich an der heuti</w:t>
      </w:r>
      <w:r>
        <w:softHyphen/>
        <w:t>gen in Israel allgemein üblichen Aussprache.</w:t>
      </w:r>
    </w:p>
    <w:p w:rsidR="00BB7EDA" w:rsidRDefault="007D72B3">
      <w:pPr>
        <w:pStyle w:val="Bodytext20"/>
        <w:shd w:val="clear" w:color="auto" w:fill="auto"/>
        <w:spacing w:before="0" w:line="226" w:lineRule="exact"/>
      </w:pPr>
      <w:r>
        <w:t>Bezüglich der Vokal-Transskription ist Folgendes zu</w:t>
      </w:r>
      <w:r>
        <w:t xml:space="preserve"> sagen: Bei den Vokalen fl, </w:t>
      </w:r>
      <w:r>
        <w:rPr>
          <w:rStyle w:val="Bodytext2Italic0"/>
        </w:rPr>
        <w:t>e, i, o</w:t>
      </w:r>
      <w:r>
        <w:t xml:space="preserve"> und </w:t>
      </w:r>
      <w:r>
        <w:rPr>
          <w:rStyle w:val="Bodytext2Italic0"/>
        </w:rPr>
        <w:t>u</w:t>
      </w:r>
      <w:r>
        <w:t xml:space="preserve"> in der Umschrift wurde weiter nicht zwischen kurz und lang unterschieden, nicht einmal da, wo es sich lediglich um den Murmelvokal Schwa handelt. Die Vokalqualität von </w:t>
      </w:r>
      <w:r>
        <w:rPr>
          <w:rStyle w:val="Bodytext2Italic0"/>
        </w:rPr>
        <w:t>e</w:t>
      </w:r>
      <w:r>
        <w:t xml:space="preserve"> hat in der Aussprache vielfach eine leichte </w:t>
      </w:r>
      <w:r>
        <w:t xml:space="preserve">Neigung hin zum </w:t>
      </w:r>
      <w:r>
        <w:rPr>
          <w:rStyle w:val="Bodytext2Italic0"/>
        </w:rPr>
        <w:t xml:space="preserve">ä. </w:t>
      </w:r>
      <w:r>
        <w:t>Konsonantenverdoppelungen infolge des bestimmten Artikels wur</w:t>
      </w:r>
      <w:r>
        <w:softHyphen/>
        <w:t>den nicht transkribiert.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4"/>
        <w:gridCol w:w="1896"/>
        <w:gridCol w:w="2592"/>
      </w:tblGrid>
      <w:tr w:rsidR="00BB7EDA">
        <w:tblPrEx>
          <w:tblCellMar>
            <w:top w:w="0" w:type="dxa"/>
            <w:bottom w:w="0" w:type="dxa"/>
          </w:tblCellMar>
        </w:tblPrEx>
        <w:trPr>
          <w:trHeight w:hRule="exact" w:val="350"/>
          <w:jc w:val="center"/>
        </w:trPr>
        <w:tc>
          <w:tcPr>
            <w:tcW w:w="974" w:type="dxa"/>
            <w:shd w:val="clear" w:color="auto" w:fill="FFFFFF"/>
          </w:tcPr>
          <w:p w:rsidR="00BB7EDA" w:rsidRDefault="007D72B3">
            <w:pPr>
              <w:pStyle w:val="Bodytext20"/>
              <w:framePr w:w="5462" w:wrap="notBeside" w:vAnchor="text" w:hAnchor="text" w:xAlign="center" w:y="1"/>
              <w:shd w:val="clear" w:color="auto" w:fill="auto"/>
              <w:spacing w:before="0" w:line="180" w:lineRule="exact"/>
              <w:jc w:val="left"/>
            </w:pPr>
            <w:r>
              <w:rPr>
                <w:rStyle w:val="Bodytext2Italic1"/>
              </w:rPr>
              <w:t>Hebräisch</w:t>
            </w:r>
          </w:p>
        </w:tc>
        <w:tc>
          <w:tcPr>
            <w:tcW w:w="1896" w:type="dxa"/>
            <w:shd w:val="clear" w:color="auto" w:fill="FFFFFF"/>
          </w:tcPr>
          <w:p w:rsidR="00BB7EDA" w:rsidRDefault="007D72B3">
            <w:pPr>
              <w:pStyle w:val="Bodytext20"/>
              <w:framePr w:w="5462" w:wrap="notBeside" w:vAnchor="text" w:hAnchor="text" w:xAlign="center" w:y="1"/>
              <w:shd w:val="clear" w:color="auto" w:fill="auto"/>
              <w:spacing w:before="0" w:line="180" w:lineRule="exact"/>
              <w:jc w:val="left"/>
            </w:pPr>
            <w:r>
              <w:rPr>
                <w:rStyle w:val="Bodytext2Italic1"/>
              </w:rPr>
              <w:t>Transkription</w:t>
            </w:r>
          </w:p>
        </w:tc>
        <w:tc>
          <w:tcPr>
            <w:tcW w:w="2592" w:type="dxa"/>
            <w:shd w:val="clear" w:color="auto" w:fill="FFFFFF"/>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Italic1"/>
              </w:rPr>
              <w:t>Aussprache</w:t>
            </w:r>
          </w:p>
        </w:tc>
      </w:tr>
      <w:tr w:rsidR="00BB7EDA">
        <w:tblPrEx>
          <w:tblCellMar>
            <w:top w:w="0" w:type="dxa"/>
            <w:bottom w:w="0" w:type="dxa"/>
          </w:tblCellMar>
        </w:tblPrEx>
        <w:trPr>
          <w:trHeight w:hRule="exact" w:val="1142"/>
          <w:jc w:val="center"/>
        </w:trPr>
        <w:tc>
          <w:tcPr>
            <w:tcW w:w="974" w:type="dxa"/>
            <w:shd w:val="clear" w:color="auto" w:fill="FFFFFF"/>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K</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226" w:lineRule="exact"/>
              <w:jc w:val="left"/>
            </w:pPr>
            <w:r>
              <w:rPr>
                <w:rStyle w:val="Bodytext2Italic1"/>
              </w:rPr>
              <w:t>'</w:t>
            </w:r>
            <w:r>
              <w:rPr>
                <w:rStyle w:val="Bodytext21"/>
              </w:rPr>
              <w:t xml:space="preserve"> (Aleph als nicht hörbare Lesestütze wurde nicht trans</w:t>
            </w:r>
            <w:r>
              <w:rPr>
                <w:rStyle w:val="Bodytext21"/>
              </w:rPr>
              <w:softHyphen/>
              <w:t>kribiert)</w:t>
            </w:r>
          </w:p>
        </w:tc>
        <w:tc>
          <w:tcPr>
            <w:tcW w:w="2592" w:type="dxa"/>
            <w:shd w:val="clear" w:color="auto" w:fill="FFFFFF"/>
          </w:tcPr>
          <w:p w:rsidR="00BB7EDA" w:rsidRDefault="007D72B3">
            <w:pPr>
              <w:pStyle w:val="Bodytext20"/>
              <w:framePr w:w="5462" w:wrap="notBeside" w:vAnchor="text" w:hAnchor="text" w:xAlign="center" w:y="1"/>
              <w:shd w:val="clear" w:color="auto" w:fill="auto"/>
              <w:spacing w:before="0"/>
              <w:ind w:left="240"/>
              <w:jc w:val="left"/>
            </w:pPr>
            <w:r>
              <w:rPr>
                <w:rStyle w:val="Bodytext21"/>
              </w:rPr>
              <w:t xml:space="preserve">wie der Knacklaut vor </w:t>
            </w:r>
            <w:r>
              <w:rPr>
                <w:rStyle w:val="Bodytext2Italic1"/>
              </w:rPr>
              <w:t xml:space="preserve">ei </w:t>
            </w:r>
            <w:r>
              <w:rPr>
                <w:rStyle w:val="Bodytext21"/>
              </w:rPr>
              <w:t xml:space="preserve">in </w:t>
            </w:r>
            <w:r>
              <w:rPr>
                <w:rStyle w:val="Bodytext2Italic1"/>
              </w:rPr>
              <w:t>ent-eism</w:t>
            </w:r>
            <w:r>
              <w:rPr>
                <w:rStyle w:val="Bodytext21"/>
              </w:rPr>
              <w:t xml:space="preserve"> (nicht: verreisen)</w:t>
            </w:r>
          </w:p>
        </w:tc>
      </w:tr>
      <w:tr w:rsidR="00BB7EDA">
        <w:tblPrEx>
          <w:tblCellMar>
            <w:top w:w="0" w:type="dxa"/>
            <w:bottom w:w="0" w:type="dxa"/>
          </w:tblCellMar>
        </w:tblPrEx>
        <w:trPr>
          <w:trHeight w:hRule="exact" w:val="456"/>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3</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b</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1"/>
              </w:rPr>
              <w:t xml:space="preserve">wie </w:t>
            </w:r>
            <w:r>
              <w:rPr>
                <w:rStyle w:val="Bodytext2Italic1"/>
              </w:rPr>
              <w:t>b</w:t>
            </w:r>
            <w:r>
              <w:rPr>
                <w:rStyle w:val="Bodytext21"/>
              </w:rPr>
              <w:t xml:space="preserve"> in </w:t>
            </w:r>
            <w:r>
              <w:rPr>
                <w:rStyle w:val="Bodytext2Italic1"/>
              </w:rPr>
              <w:t>Bote</w:t>
            </w:r>
          </w:p>
        </w:tc>
      </w:tr>
      <w:tr w:rsidR="00BB7EDA">
        <w:tblPrEx>
          <w:tblCellMar>
            <w:top w:w="0" w:type="dxa"/>
            <w:bottom w:w="0" w:type="dxa"/>
          </w:tblCellMar>
        </w:tblPrEx>
        <w:trPr>
          <w:trHeight w:hRule="exact" w:val="451"/>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n</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V</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1"/>
              </w:rPr>
              <w:t xml:space="preserve">wie </w:t>
            </w:r>
            <w:r>
              <w:rPr>
                <w:rStyle w:val="Bodytext2Italic1"/>
              </w:rPr>
              <w:t>w</w:t>
            </w:r>
            <w:r>
              <w:rPr>
                <w:rStyle w:val="Bodytext21"/>
              </w:rPr>
              <w:t xml:space="preserve"> in </w:t>
            </w:r>
            <w:r>
              <w:rPr>
                <w:rStyle w:val="Bodytext2Italic1"/>
              </w:rPr>
              <w:t>wir</w:t>
            </w:r>
          </w:p>
        </w:tc>
      </w:tr>
      <w:tr w:rsidR="00BB7EDA">
        <w:tblPrEx>
          <w:tblCellMar>
            <w:top w:w="0" w:type="dxa"/>
            <w:bottom w:w="0" w:type="dxa"/>
          </w:tblCellMar>
        </w:tblPrEx>
        <w:trPr>
          <w:trHeight w:hRule="exact" w:val="461"/>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i</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g</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1"/>
              </w:rPr>
              <w:t xml:space="preserve">wie </w:t>
            </w:r>
            <w:r>
              <w:rPr>
                <w:rStyle w:val="Bodytext2Italic1"/>
              </w:rPr>
              <w:t>g</w:t>
            </w:r>
            <w:r>
              <w:rPr>
                <w:rStyle w:val="Bodytext21"/>
              </w:rPr>
              <w:t xml:space="preserve"> in </w:t>
            </w:r>
            <w:r>
              <w:rPr>
                <w:rStyle w:val="Bodytext2Italic1"/>
              </w:rPr>
              <w:t>gut</w:t>
            </w:r>
          </w:p>
        </w:tc>
      </w:tr>
      <w:tr w:rsidR="00BB7EDA">
        <w:tblPrEx>
          <w:tblCellMar>
            <w:top w:w="0" w:type="dxa"/>
            <w:bottom w:w="0" w:type="dxa"/>
          </w:tblCellMar>
        </w:tblPrEx>
        <w:trPr>
          <w:trHeight w:hRule="exact" w:val="432"/>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Italic1"/>
              </w:rPr>
              <w:t>i</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d</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1"/>
              </w:rPr>
              <w:t xml:space="preserve">wie </w:t>
            </w:r>
            <w:r>
              <w:rPr>
                <w:rStyle w:val="Bodytext2Italic1"/>
              </w:rPr>
              <w:t>d</w:t>
            </w:r>
            <w:r>
              <w:rPr>
                <w:rStyle w:val="Bodytext21"/>
              </w:rPr>
              <w:t xml:space="preserve"> in </w:t>
            </w:r>
            <w:r>
              <w:rPr>
                <w:rStyle w:val="Bodytext2Italic1"/>
              </w:rPr>
              <w:t>dieser</w:t>
            </w:r>
          </w:p>
        </w:tc>
      </w:tr>
      <w:tr w:rsidR="00BB7EDA">
        <w:tblPrEx>
          <w:tblCellMar>
            <w:top w:w="0" w:type="dxa"/>
            <w:bottom w:w="0" w:type="dxa"/>
          </w:tblCellMar>
        </w:tblPrEx>
        <w:trPr>
          <w:trHeight w:hRule="exact" w:val="475"/>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n</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h</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1"/>
              </w:rPr>
              <w:t xml:space="preserve">wie </w:t>
            </w:r>
            <w:r>
              <w:rPr>
                <w:rStyle w:val="Bodytext2Italic1"/>
              </w:rPr>
              <w:t>h</w:t>
            </w:r>
            <w:r>
              <w:rPr>
                <w:rStyle w:val="Bodytext21"/>
              </w:rPr>
              <w:t xml:space="preserve"> in </w:t>
            </w:r>
            <w:r>
              <w:rPr>
                <w:rStyle w:val="Bodytext2Italic1"/>
              </w:rPr>
              <w:t>heute</w:t>
            </w:r>
          </w:p>
        </w:tc>
      </w:tr>
      <w:tr w:rsidR="00BB7EDA">
        <w:tblPrEx>
          <w:tblCellMar>
            <w:top w:w="0" w:type="dxa"/>
            <w:bottom w:w="0" w:type="dxa"/>
          </w:tblCellMar>
        </w:tblPrEx>
        <w:trPr>
          <w:trHeight w:hRule="exact" w:val="893"/>
          <w:jc w:val="center"/>
        </w:trPr>
        <w:tc>
          <w:tcPr>
            <w:tcW w:w="974" w:type="dxa"/>
            <w:shd w:val="clear" w:color="auto" w:fill="FFFFFF"/>
          </w:tcPr>
          <w:p w:rsidR="00BB7EDA" w:rsidRDefault="00BB7EDA">
            <w:pPr>
              <w:framePr w:w="5462" w:wrap="notBeside" w:vAnchor="text" w:hAnchor="text" w:xAlign="center" w:y="1"/>
              <w:rPr>
                <w:sz w:val="10"/>
                <w:szCs w:val="10"/>
              </w:rPr>
            </w:pPr>
          </w:p>
        </w:tc>
        <w:tc>
          <w:tcPr>
            <w:tcW w:w="1896" w:type="dxa"/>
            <w:shd w:val="clear" w:color="auto" w:fill="FFFFFF"/>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W / 0 / u</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226" w:lineRule="exact"/>
              <w:ind w:left="240"/>
              <w:jc w:val="left"/>
            </w:pPr>
            <w:r>
              <w:rPr>
                <w:rStyle w:val="Bodytext21"/>
              </w:rPr>
              <w:t xml:space="preserve">wie </w:t>
            </w:r>
            <w:r>
              <w:rPr>
                <w:rStyle w:val="Bodytext2Italic1"/>
              </w:rPr>
              <w:t>w</w:t>
            </w:r>
            <w:r>
              <w:rPr>
                <w:rStyle w:val="Bodytext21"/>
              </w:rPr>
              <w:t xml:space="preserve"> in </w:t>
            </w:r>
            <w:r>
              <w:rPr>
                <w:rStyle w:val="Bodytext2Italic1"/>
              </w:rPr>
              <w:t xml:space="preserve">wir </w:t>
            </w:r>
            <w:r>
              <w:rPr>
                <w:rStyle w:val="Bodytext21"/>
              </w:rPr>
              <w:t xml:space="preserve">wie o in </w:t>
            </w:r>
            <w:r>
              <w:rPr>
                <w:rStyle w:val="Bodytext2Italic1"/>
              </w:rPr>
              <w:t xml:space="preserve">wollen </w:t>
            </w:r>
            <w:r>
              <w:rPr>
                <w:rStyle w:val="Bodytext21"/>
              </w:rPr>
              <w:t xml:space="preserve">wie u in </w:t>
            </w:r>
            <w:r>
              <w:rPr>
                <w:rStyle w:val="Bodytext2Italic1"/>
              </w:rPr>
              <w:t>unter</w:t>
            </w:r>
          </w:p>
        </w:tc>
      </w:tr>
      <w:tr w:rsidR="00BB7EDA">
        <w:tblPrEx>
          <w:tblCellMar>
            <w:top w:w="0" w:type="dxa"/>
            <w:bottom w:w="0" w:type="dxa"/>
          </w:tblCellMar>
        </w:tblPrEx>
        <w:trPr>
          <w:trHeight w:hRule="exact" w:val="682"/>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T</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z</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after="60" w:line="180" w:lineRule="exact"/>
              <w:ind w:left="240"/>
              <w:jc w:val="left"/>
            </w:pPr>
            <w:r>
              <w:rPr>
                <w:rStyle w:val="Bodytext21"/>
              </w:rPr>
              <w:t>stimmhaftes z</w:t>
            </w:r>
          </w:p>
          <w:p w:rsidR="00BB7EDA" w:rsidRDefault="007D72B3">
            <w:pPr>
              <w:pStyle w:val="Bodytext20"/>
              <w:framePr w:w="5462" w:wrap="notBeside" w:vAnchor="text" w:hAnchor="text" w:xAlign="center" w:y="1"/>
              <w:shd w:val="clear" w:color="auto" w:fill="auto"/>
              <w:spacing w:before="60" w:line="180" w:lineRule="exact"/>
              <w:ind w:left="240"/>
              <w:jc w:val="left"/>
            </w:pPr>
            <w:r>
              <w:rPr>
                <w:rStyle w:val="Bodytext21"/>
              </w:rPr>
              <w:t xml:space="preserve">wie in Französisch </w:t>
            </w:r>
            <w:r>
              <w:rPr>
                <w:rStyle w:val="Bodytext2Italic1"/>
              </w:rPr>
              <w:t>zero</w:t>
            </w:r>
          </w:p>
        </w:tc>
      </w:tr>
      <w:tr w:rsidR="00BB7EDA">
        <w:tblPrEx>
          <w:tblCellMar>
            <w:top w:w="0" w:type="dxa"/>
            <w:bottom w:w="0" w:type="dxa"/>
          </w:tblCellMar>
        </w:tblPrEx>
        <w:trPr>
          <w:trHeight w:hRule="exact" w:val="1142"/>
          <w:jc w:val="center"/>
        </w:trPr>
        <w:tc>
          <w:tcPr>
            <w:tcW w:w="974" w:type="dxa"/>
            <w:shd w:val="clear" w:color="auto" w:fill="FFFFFF"/>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n</w:t>
            </w:r>
          </w:p>
        </w:tc>
        <w:tc>
          <w:tcPr>
            <w:tcW w:w="1896" w:type="dxa"/>
            <w:shd w:val="clear" w:color="auto" w:fill="FFFFFF"/>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ch</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226" w:lineRule="exact"/>
              <w:ind w:left="240"/>
              <w:jc w:val="left"/>
            </w:pPr>
            <w:r>
              <w:rPr>
                <w:rStyle w:val="Bodytext21"/>
              </w:rPr>
              <w:t xml:space="preserve">wie </w:t>
            </w:r>
            <w:r>
              <w:rPr>
                <w:rStyle w:val="Bodytext2Italic1"/>
              </w:rPr>
              <w:t>ch</w:t>
            </w:r>
            <w:r>
              <w:rPr>
                <w:rStyle w:val="Bodytext21"/>
              </w:rPr>
              <w:t xml:space="preserve"> in </w:t>
            </w:r>
            <w:r>
              <w:rPr>
                <w:rStyle w:val="Bodytext2Italic1"/>
              </w:rPr>
              <w:t>Loch</w:t>
            </w:r>
            <w:r>
              <w:rPr>
                <w:rStyle w:val="Bodytext21"/>
              </w:rPr>
              <w:t xml:space="preserve"> (schweizer- deutsch ausgesprochen); oder stark gehauchtes </w:t>
            </w:r>
            <w:r>
              <w:rPr>
                <w:rStyle w:val="Bodytext2Italic1"/>
              </w:rPr>
              <w:t xml:space="preserve">h </w:t>
            </w:r>
            <w:r>
              <w:rPr>
                <w:rStyle w:val="Bodytext21"/>
              </w:rPr>
              <w:t>ohne Kratzen</w:t>
            </w:r>
          </w:p>
        </w:tc>
      </w:tr>
      <w:tr w:rsidR="00BB7EDA">
        <w:tblPrEx>
          <w:tblCellMar>
            <w:top w:w="0" w:type="dxa"/>
            <w:bottom w:w="0" w:type="dxa"/>
          </w:tblCellMar>
        </w:tblPrEx>
        <w:trPr>
          <w:trHeight w:hRule="exact" w:val="451"/>
          <w:jc w:val="center"/>
        </w:trPr>
        <w:tc>
          <w:tcPr>
            <w:tcW w:w="974"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jc w:val="left"/>
            </w:pPr>
            <w:r>
              <w:rPr>
                <w:rStyle w:val="Bodytext2ItalicSmallCaps"/>
              </w:rPr>
              <w:t>ö</w:t>
            </w:r>
          </w:p>
        </w:tc>
        <w:tc>
          <w:tcPr>
            <w:tcW w:w="1896" w:type="dxa"/>
            <w:shd w:val="clear" w:color="auto" w:fill="FFFFFF"/>
            <w:vAlign w:val="center"/>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t</w:t>
            </w:r>
          </w:p>
        </w:tc>
        <w:tc>
          <w:tcPr>
            <w:tcW w:w="2592" w:type="dxa"/>
            <w:shd w:val="clear" w:color="auto" w:fill="FFFFFF"/>
            <w:vAlign w:val="center"/>
          </w:tcPr>
          <w:p w:rsidR="00BB7EDA" w:rsidRDefault="007D72B3">
            <w:pPr>
              <w:pStyle w:val="Bodytext20"/>
              <w:framePr w:w="5462" w:wrap="notBeside" w:vAnchor="text" w:hAnchor="text" w:xAlign="center" w:y="1"/>
              <w:shd w:val="clear" w:color="auto" w:fill="auto"/>
              <w:spacing w:before="0" w:line="180" w:lineRule="exact"/>
              <w:ind w:left="240"/>
              <w:jc w:val="left"/>
            </w:pPr>
            <w:r>
              <w:rPr>
                <w:rStyle w:val="Bodytext21"/>
              </w:rPr>
              <w:t xml:space="preserve">wie </w:t>
            </w:r>
            <w:r>
              <w:rPr>
                <w:rStyle w:val="Bodytext2Italic1"/>
              </w:rPr>
              <w:t>t</w:t>
            </w:r>
            <w:r>
              <w:rPr>
                <w:rStyle w:val="Bodytext21"/>
              </w:rPr>
              <w:t xml:space="preserve"> in </w:t>
            </w:r>
            <w:r>
              <w:rPr>
                <w:rStyle w:val="Bodytext2Italic1"/>
              </w:rPr>
              <w:t>Tier</w:t>
            </w:r>
          </w:p>
        </w:tc>
      </w:tr>
      <w:tr w:rsidR="00BB7EDA">
        <w:tblPrEx>
          <w:tblCellMar>
            <w:top w:w="0" w:type="dxa"/>
            <w:bottom w:w="0" w:type="dxa"/>
          </w:tblCellMar>
        </w:tblPrEx>
        <w:trPr>
          <w:trHeight w:hRule="exact" w:val="595"/>
          <w:jc w:val="center"/>
        </w:trPr>
        <w:tc>
          <w:tcPr>
            <w:tcW w:w="974" w:type="dxa"/>
            <w:shd w:val="clear" w:color="auto" w:fill="FFFFFF"/>
          </w:tcPr>
          <w:p w:rsidR="00BB7EDA" w:rsidRDefault="007D72B3">
            <w:pPr>
              <w:pStyle w:val="Bodytext20"/>
              <w:framePr w:w="5462" w:wrap="notBeside" w:vAnchor="text" w:hAnchor="text" w:xAlign="center" w:y="1"/>
              <w:shd w:val="clear" w:color="auto" w:fill="auto"/>
              <w:spacing w:before="0" w:line="180" w:lineRule="exact"/>
              <w:jc w:val="left"/>
            </w:pPr>
            <w:r>
              <w:rPr>
                <w:rStyle w:val="Bodytext21"/>
              </w:rPr>
              <w:t>*</w:t>
            </w:r>
          </w:p>
        </w:tc>
        <w:tc>
          <w:tcPr>
            <w:tcW w:w="1896" w:type="dxa"/>
            <w:shd w:val="clear" w:color="auto" w:fill="FFFFFF"/>
          </w:tcPr>
          <w:p w:rsidR="00BB7EDA" w:rsidRDefault="007D72B3">
            <w:pPr>
              <w:pStyle w:val="Bodytext20"/>
              <w:framePr w:w="5462" w:wrap="notBeside" w:vAnchor="text" w:hAnchor="text" w:xAlign="center" w:y="1"/>
              <w:shd w:val="clear" w:color="auto" w:fill="auto"/>
              <w:spacing w:before="0" w:line="100" w:lineRule="exact"/>
              <w:jc w:val="left"/>
            </w:pPr>
            <w:r>
              <w:rPr>
                <w:rStyle w:val="Bodytext25ptSpacing2pt"/>
              </w:rPr>
              <w:t>j/i</w:t>
            </w:r>
          </w:p>
        </w:tc>
        <w:tc>
          <w:tcPr>
            <w:tcW w:w="2592" w:type="dxa"/>
            <w:shd w:val="clear" w:color="auto" w:fill="FFFFFF"/>
            <w:vAlign w:val="bottom"/>
          </w:tcPr>
          <w:p w:rsidR="00BB7EDA" w:rsidRDefault="007D72B3">
            <w:pPr>
              <w:pStyle w:val="Bodytext20"/>
              <w:framePr w:w="5462" w:wrap="notBeside" w:vAnchor="text" w:hAnchor="text" w:xAlign="center" w:y="1"/>
              <w:shd w:val="clear" w:color="auto" w:fill="auto"/>
              <w:spacing w:before="0" w:line="226" w:lineRule="exact"/>
              <w:ind w:left="240"/>
              <w:jc w:val="left"/>
            </w:pPr>
            <w:r>
              <w:rPr>
                <w:rStyle w:val="Bodytext21"/>
              </w:rPr>
              <w:t xml:space="preserve">wie </w:t>
            </w:r>
            <w:r>
              <w:rPr>
                <w:rStyle w:val="Bodytext2Italic1"/>
              </w:rPr>
              <w:t>i</w:t>
            </w:r>
            <w:r>
              <w:rPr>
                <w:rStyle w:val="Bodytext21"/>
              </w:rPr>
              <w:t xml:space="preserve"> in </w:t>
            </w:r>
            <w:r>
              <w:rPr>
                <w:rStyle w:val="Bodytext2Italic1"/>
              </w:rPr>
              <w:t>singen</w:t>
            </w:r>
            <w:r>
              <w:rPr>
                <w:rStyle w:val="Bodytext21"/>
              </w:rPr>
              <w:t xml:space="preserve"> bzw. </w:t>
            </w:r>
            <w:r>
              <w:rPr>
                <w:rStyle w:val="Bodytext2Italic1"/>
              </w:rPr>
              <w:t xml:space="preserve">dienen; </w:t>
            </w:r>
            <w:r>
              <w:rPr>
                <w:rStyle w:val="Bodytext21"/>
              </w:rPr>
              <w:t xml:space="preserve">wie </w:t>
            </w:r>
            <w:r>
              <w:rPr>
                <w:rStyle w:val="Bodytext2Italic1"/>
              </w:rPr>
              <w:t>j</w:t>
            </w:r>
            <w:r>
              <w:rPr>
                <w:rStyle w:val="Bodytext21"/>
              </w:rPr>
              <w:t xml:space="preserve"> in </w:t>
            </w:r>
            <w:r>
              <w:rPr>
                <w:rStyle w:val="Bodytext2Italic1"/>
              </w:rPr>
              <w:t>jener</w:t>
            </w:r>
          </w:p>
        </w:tc>
      </w:tr>
    </w:tbl>
    <w:p w:rsidR="00BB7EDA" w:rsidRDefault="00BB7EDA">
      <w:pPr>
        <w:framePr w:w="5462" w:wrap="notBeside" w:vAnchor="text" w:hAnchor="text" w:xAlign="center" w:y="1"/>
        <w:rPr>
          <w:sz w:val="2"/>
          <w:szCs w:val="2"/>
        </w:rPr>
      </w:pPr>
    </w:p>
    <w:p w:rsidR="00BB7EDA" w:rsidRDefault="00BB7ED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1613"/>
        <w:gridCol w:w="3158"/>
      </w:tblGrid>
      <w:tr w:rsidR="00BB7EDA">
        <w:tblPrEx>
          <w:tblCellMar>
            <w:top w:w="0" w:type="dxa"/>
            <w:bottom w:w="0" w:type="dxa"/>
          </w:tblCellMar>
        </w:tblPrEx>
        <w:trPr>
          <w:trHeight w:hRule="exact" w:val="322"/>
          <w:jc w:val="center"/>
        </w:trPr>
        <w:tc>
          <w:tcPr>
            <w:tcW w:w="624" w:type="dxa"/>
            <w:shd w:val="clear" w:color="auto" w:fill="FFFFFF"/>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3</w:t>
            </w:r>
          </w:p>
        </w:tc>
        <w:tc>
          <w:tcPr>
            <w:tcW w:w="1613" w:type="dxa"/>
            <w:shd w:val="clear" w:color="auto" w:fill="FFFFFF"/>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k</w:t>
            </w:r>
          </w:p>
        </w:tc>
        <w:tc>
          <w:tcPr>
            <w:tcW w:w="3158" w:type="dxa"/>
            <w:shd w:val="clear" w:color="auto" w:fill="FFFFFF"/>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k</w:t>
            </w:r>
            <w:r>
              <w:rPr>
                <w:rStyle w:val="Bodytext21"/>
              </w:rPr>
              <w:t xml:space="preserve"> in </w:t>
            </w:r>
            <w:r>
              <w:rPr>
                <w:rStyle w:val="Bodytext2Italic1"/>
              </w:rPr>
              <w:t>keiner</w:t>
            </w:r>
          </w:p>
        </w:tc>
      </w:tr>
      <w:tr w:rsidR="00BB7EDA">
        <w:tblPrEx>
          <w:tblCellMar>
            <w:top w:w="0" w:type="dxa"/>
            <w:bottom w:w="0" w:type="dxa"/>
          </w:tblCellMar>
        </w:tblPrEx>
        <w:trPr>
          <w:trHeight w:hRule="exact" w:val="456"/>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3</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kh</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ch</w:t>
            </w:r>
            <w:r>
              <w:rPr>
                <w:rStyle w:val="Bodytext21"/>
              </w:rPr>
              <w:t xml:space="preserve"> in </w:t>
            </w:r>
            <w:r>
              <w:rPr>
                <w:rStyle w:val="Bodytext2Italic1"/>
              </w:rPr>
              <w:t>Loch</w:t>
            </w:r>
          </w:p>
        </w:tc>
      </w:tr>
      <w:tr w:rsidR="00BB7EDA">
        <w:tblPrEx>
          <w:tblCellMar>
            <w:top w:w="0" w:type="dxa"/>
            <w:bottom w:w="0" w:type="dxa"/>
          </w:tblCellMar>
        </w:tblPrEx>
        <w:trPr>
          <w:trHeight w:hRule="exact" w:val="466"/>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s</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1</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wie / in Lied</w:t>
            </w:r>
          </w:p>
        </w:tc>
      </w:tr>
      <w:tr w:rsidR="00BB7EDA">
        <w:tblPrEx>
          <w:tblCellMar>
            <w:top w:w="0" w:type="dxa"/>
            <w:bottom w:w="0" w:type="dxa"/>
          </w:tblCellMar>
        </w:tblPrEx>
        <w:trPr>
          <w:trHeight w:hRule="exact" w:val="475"/>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0</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m</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m</w:t>
            </w:r>
            <w:r>
              <w:rPr>
                <w:rStyle w:val="Bodytext21"/>
              </w:rPr>
              <w:t xml:space="preserve"> in Mann</w:t>
            </w:r>
          </w:p>
        </w:tc>
      </w:tr>
      <w:tr w:rsidR="00BB7EDA">
        <w:tblPrEx>
          <w:tblCellMar>
            <w:top w:w="0" w:type="dxa"/>
            <w:bottom w:w="0" w:type="dxa"/>
          </w:tblCellMar>
        </w:tblPrEx>
        <w:trPr>
          <w:trHeight w:hRule="exact" w:val="456"/>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Italic1"/>
              </w:rPr>
              <w:t>:</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n</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n</w:t>
            </w:r>
            <w:r>
              <w:rPr>
                <w:rStyle w:val="Bodytext21"/>
              </w:rPr>
              <w:t xml:space="preserve"> in </w:t>
            </w:r>
            <w:r>
              <w:rPr>
                <w:rStyle w:val="Bodytext2Italic1"/>
              </w:rPr>
              <w:t>nie</w:t>
            </w:r>
          </w:p>
        </w:tc>
      </w:tr>
      <w:tr w:rsidR="00BB7EDA">
        <w:tblPrEx>
          <w:tblCellMar>
            <w:top w:w="0" w:type="dxa"/>
            <w:bottom w:w="0" w:type="dxa"/>
          </w:tblCellMar>
        </w:tblPrEx>
        <w:trPr>
          <w:trHeight w:hRule="exact" w:val="442"/>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70" w:lineRule="exact"/>
              <w:jc w:val="left"/>
            </w:pPr>
            <w:r>
              <w:rPr>
                <w:rStyle w:val="Bodytext2Tahoma85ptItalic"/>
              </w:rPr>
              <w:t>a</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s</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s</w:t>
            </w:r>
            <w:r>
              <w:rPr>
                <w:rStyle w:val="Bodytext21"/>
              </w:rPr>
              <w:t xml:space="preserve"> in </w:t>
            </w:r>
            <w:r>
              <w:rPr>
                <w:rStyle w:val="Bodytext2Italic1"/>
              </w:rPr>
              <w:t>essen</w:t>
            </w:r>
          </w:p>
        </w:tc>
      </w:tr>
      <w:tr w:rsidR="00BB7EDA">
        <w:tblPrEx>
          <w:tblCellMar>
            <w:top w:w="0" w:type="dxa"/>
            <w:bottom w:w="0" w:type="dxa"/>
          </w:tblCellMar>
        </w:tblPrEx>
        <w:trPr>
          <w:trHeight w:hRule="exact" w:val="1166"/>
          <w:jc w:val="center"/>
        </w:trPr>
        <w:tc>
          <w:tcPr>
            <w:tcW w:w="624" w:type="dxa"/>
            <w:shd w:val="clear" w:color="auto" w:fill="FFFFFF"/>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y</w:t>
            </w:r>
          </w:p>
        </w:tc>
        <w:tc>
          <w:tcPr>
            <w:tcW w:w="1613" w:type="dxa"/>
            <w:shd w:val="clear" w:color="auto" w:fill="FFFFFF"/>
          </w:tcPr>
          <w:p w:rsidR="00BB7EDA" w:rsidRDefault="00BB7EDA">
            <w:pPr>
              <w:framePr w:w="5395" w:wrap="notBeside" w:vAnchor="text" w:hAnchor="text" w:xAlign="center" w:y="1"/>
              <w:rPr>
                <w:sz w:val="10"/>
                <w:szCs w:val="10"/>
              </w:rPr>
            </w:pP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226" w:lineRule="exact"/>
              <w:ind w:left="900"/>
              <w:jc w:val="left"/>
            </w:pPr>
            <w:r>
              <w:rPr>
                <w:rStyle w:val="Bodytext21"/>
              </w:rPr>
              <w:t xml:space="preserve">wie der Knacklaut vor </w:t>
            </w:r>
            <w:r>
              <w:rPr>
                <w:rStyle w:val="Bodytext2Italic1"/>
              </w:rPr>
              <w:t>ei</w:t>
            </w:r>
            <w:r>
              <w:rPr>
                <w:rStyle w:val="Bodytext21"/>
              </w:rPr>
              <w:t xml:space="preserve"> in </w:t>
            </w:r>
            <w:r>
              <w:rPr>
                <w:rStyle w:val="Bodytext2Italic1"/>
              </w:rPr>
              <w:t>ver-eisen</w:t>
            </w:r>
            <w:r>
              <w:rPr>
                <w:rStyle w:val="Bodytext21"/>
              </w:rPr>
              <w:t xml:space="preserve"> (nicht: verreisen); oder Knacklaut mit Kehl</w:t>
            </w:r>
            <w:r>
              <w:rPr>
                <w:rStyle w:val="Bodytext21"/>
              </w:rPr>
              <w:softHyphen/>
              <w:t>kopfpressung</w:t>
            </w:r>
          </w:p>
        </w:tc>
      </w:tr>
      <w:tr w:rsidR="00BB7EDA">
        <w:tblPrEx>
          <w:tblCellMar>
            <w:top w:w="0" w:type="dxa"/>
            <w:bottom w:w="0" w:type="dxa"/>
          </w:tblCellMar>
        </w:tblPrEx>
        <w:trPr>
          <w:trHeight w:hRule="exact" w:val="437"/>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3</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P</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p</w:t>
            </w:r>
            <w:r>
              <w:rPr>
                <w:rStyle w:val="Bodytext21"/>
              </w:rPr>
              <w:t xml:space="preserve"> in </w:t>
            </w:r>
            <w:r>
              <w:rPr>
                <w:rStyle w:val="Bodytext2Italic1"/>
              </w:rPr>
              <w:t>Palme</w:t>
            </w:r>
          </w:p>
        </w:tc>
      </w:tr>
      <w:tr w:rsidR="00BB7EDA">
        <w:tblPrEx>
          <w:tblCellMar>
            <w:top w:w="0" w:type="dxa"/>
            <w:bottom w:w="0" w:type="dxa"/>
          </w:tblCellMar>
        </w:tblPrEx>
        <w:trPr>
          <w:trHeight w:hRule="exact" w:val="480"/>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3</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ph</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wie/</w:t>
            </w:r>
            <w:r>
              <w:rPr>
                <w:rStyle w:val="Bodytext285ptItalic"/>
              </w:rPr>
              <w:t xml:space="preserve">in </w:t>
            </w:r>
            <w:r>
              <w:rPr>
                <w:rStyle w:val="Bodytext2Italic1"/>
              </w:rPr>
              <w:t>fahren</w:t>
            </w:r>
          </w:p>
        </w:tc>
      </w:tr>
      <w:tr w:rsidR="00BB7EDA">
        <w:tblPrEx>
          <w:tblCellMar>
            <w:top w:w="0" w:type="dxa"/>
            <w:bottom w:w="0" w:type="dxa"/>
          </w:tblCellMar>
        </w:tblPrEx>
        <w:trPr>
          <w:trHeight w:hRule="exact" w:val="427"/>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00" w:lineRule="exact"/>
              <w:jc w:val="left"/>
            </w:pPr>
            <w:r>
              <w:rPr>
                <w:rStyle w:val="Bodytext2TrebuchetMS5ptItalicSpacing-1pt"/>
              </w:rPr>
              <w:t>X</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tz</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tz</w:t>
            </w:r>
            <w:r>
              <w:rPr>
                <w:rStyle w:val="Bodytext21"/>
              </w:rPr>
              <w:t xml:space="preserve"> in </w:t>
            </w:r>
            <w:r>
              <w:rPr>
                <w:rStyle w:val="Bodytext2Italic1"/>
              </w:rPr>
              <w:t>sitzen</w:t>
            </w:r>
          </w:p>
        </w:tc>
      </w:tr>
      <w:tr w:rsidR="00BB7EDA">
        <w:tblPrEx>
          <w:tblCellMar>
            <w:top w:w="0" w:type="dxa"/>
            <w:bottom w:w="0" w:type="dxa"/>
          </w:tblCellMar>
        </w:tblPrEx>
        <w:trPr>
          <w:trHeight w:hRule="exact" w:val="466"/>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Italic1"/>
              </w:rPr>
              <w:t>?</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240" w:lineRule="exact"/>
              <w:ind w:left="500"/>
              <w:jc w:val="left"/>
            </w:pPr>
            <w:r>
              <w:rPr>
                <w:rStyle w:val="Bodytext212pt"/>
              </w:rPr>
              <w:t>q</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k</w:t>
            </w:r>
            <w:r>
              <w:rPr>
                <w:rStyle w:val="Bodytext21"/>
              </w:rPr>
              <w:t xml:space="preserve"> in </w:t>
            </w:r>
            <w:r>
              <w:rPr>
                <w:rStyle w:val="Bodytext2Italic1"/>
              </w:rPr>
              <w:t>keiner</w:t>
            </w:r>
          </w:p>
        </w:tc>
      </w:tr>
      <w:tr w:rsidR="00BB7EDA">
        <w:tblPrEx>
          <w:tblCellMar>
            <w:top w:w="0" w:type="dxa"/>
            <w:bottom w:w="0" w:type="dxa"/>
          </w:tblCellMar>
        </w:tblPrEx>
        <w:trPr>
          <w:trHeight w:hRule="exact" w:val="466"/>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jc w:val="left"/>
            </w:pPr>
            <w:r>
              <w:rPr>
                <w:rStyle w:val="Bodytext2Italic1"/>
              </w:rPr>
              <w:t>~\</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r</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r</w:t>
            </w:r>
            <w:r>
              <w:rPr>
                <w:rStyle w:val="Bodytext21"/>
              </w:rPr>
              <w:t xml:space="preserve"> in </w:t>
            </w:r>
            <w:r>
              <w:rPr>
                <w:rStyle w:val="Bodytext2Italic1"/>
              </w:rPr>
              <w:t>reiten</w:t>
            </w:r>
          </w:p>
        </w:tc>
      </w:tr>
      <w:tr w:rsidR="00BB7EDA">
        <w:tblPrEx>
          <w:tblCellMar>
            <w:top w:w="0" w:type="dxa"/>
            <w:bottom w:w="0" w:type="dxa"/>
          </w:tblCellMar>
        </w:tblPrEx>
        <w:trPr>
          <w:trHeight w:hRule="exact" w:val="437"/>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00" w:lineRule="exact"/>
              <w:jc w:val="left"/>
            </w:pPr>
            <w:r>
              <w:rPr>
                <w:rStyle w:val="Bodytext2TrebuchetMS5ptItalicSpacing-1pt"/>
              </w:rPr>
              <w:t>IV</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s</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ss</w:t>
            </w:r>
            <w:r>
              <w:rPr>
                <w:rStyle w:val="Bodytext21"/>
              </w:rPr>
              <w:t xml:space="preserve"> in </w:t>
            </w:r>
            <w:r>
              <w:rPr>
                <w:rStyle w:val="Bodytext2Italic1"/>
              </w:rPr>
              <w:t>essen</w:t>
            </w:r>
          </w:p>
        </w:tc>
      </w:tr>
      <w:tr w:rsidR="00BB7EDA">
        <w:tblPrEx>
          <w:tblCellMar>
            <w:top w:w="0" w:type="dxa"/>
            <w:bottom w:w="0" w:type="dxa"/>
          </w:tblCellMar>
        </w:tblPrEx>
        <w:trPr>
          <w:trHeight w:hRule="exact" w:val="461"/>
          <w:jc w:val="center"/>
        </w:trPr>
        <w:tc>
          <w:tcPr>
            <w:tcW w:w="624" w:type="dxa"/>
            <w:shd w:val="clear" w:color="auto" w:fill="FFFFFF"/>
            <w:vAlign w:val="center"/>
          </w:tcPr>
          <w:p w:rsidR="00BB7EDA" w:rsidRDefault="007D72B3">
            <w:pPr>
              <w:pStyle w:val="Bodytext20"/>
              <w:framePr w:w="5395" w:wrap="notBeside" w:vAnchor="text" w:hAnchor="text" w:xAlign="center" w:y="1"/>
              <w:shd w:val="clear" w:color="auto" w:fill="auto"/>
              <w:spacing w:before="0" w:line="100" w:lineRule="exact"/>
              <w:jc w:val="left"/>
            </w:pPr>
            <w:r>
              <w:rPr>
                <w:rStyle w:val="Bodytext2TrebuchetMS5ptItalicSpacing-1pt"/>
              </w:rPr>
              <w:t>w</w:t>
            </w:r>
          </w:p>
        </w:tc>
        <w:tc>
          <w:tcPr>
            <w:tcW w:w="1613"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s</w:t>
            </w:r>
          </w:p>
        </w:tc>
        <w:tc>
          <w:tcPr>
            <w:tcW w:w="3158" w:type="dxa"/>
            <w:shd w:val="clear" w:color="auto" w:fill="FFFFFF"/>
            <w:vAlign w:val="center"/>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sch</w:t>
            </w:r>
            <w:r>
              <w:rPr>
                <w:rStyle w:val="Bodytext21"/>
              </w:rPr>
              <w:t xml:space="preserve"> in </w:t>
            </w:r>
            <w:r>
              <w:rPr>
                <w:rStyle w:val="Bodytext2Italic1"/>
              </w:rPr>
              <w:t>schön</w:t>
            </w:r>
          </w:p>
        </w:tc>
      </w:tr>
      <w:tr w:rsidR="00BB7EDA">
        <w:tblPrEx>
          <w:tblCellMar>
            <w:top w:w="0" w:type="dxa"/>
            <w:bottom w:w="0" w:type="dxa"/>
          </w:tblCellMar>
        </w:tblPrEx>
        <w:trPr>
          <w:trHeight w:hRule="exact" w:val="322"/>
          <w:jc w:val="center"/>
        </w:trPr>
        <w:tc>
          <w:tcPr>
            <w:tcW w:w="624" w:type="dxa"/>
            <w:shd w:val="clear" w:color="auto" w:fill="FFFFFF"/>
            <w:vAlign w:val="bottom"/>
          </w:tcPr>
          <w:p w:rsidR="00BB7EDA" w:rsidRDefault="007D72B3">
            <w:pPr>
              <w:pStyle w:val="Bodytext20"/>
              <w:framePr w:w="5395" w:wrap="notBeside" w:vAnchor="text" w:hAnchor="text" w:xAlign="center" w:y="1"/>
              <w:shd w:val="clear" w:color="auto" w:fill="auto"/>
              <w:spacing w:before="0" w:line="180" w:lineRule="exact"/>
              <w:jc w:val="left"/>
            </w:pPr>
            <w:r>
              <w:rPr>
                <w:rStyle w:val="Bodytext21"/>
              </w:rPr>
              <w:t>n</w:t>
            </w:r>
          </w:p>
        </w:tc>
        <w:tc>
          <w:tcPr>
            <w:tcW w:w="1613" w:type="dxa"/>
            <w:shd w:val="clear" w:color="auto" w:fill="FFFFFF"/>
            <w:vAlign w:val="bottom"/>
          </w:tcPr>
          <w:p w:rsidR="00BB7EDA" w:rsidRDefault="007D72B3">
            <w:pPr>
              <w:pStyle w:val="Bodytext20"/>
              <w:framePr w:w="5395" w:wrap="notBeside" w:vAnchor="text" w:hAnchor="text" w:xAlign="center" w:y="1"/>
              <w:shd w:val="clear" w:color="auto" w:fill="auto"/>
              <w:spacing w:before="0" w:line="180" w:lineRule="exact"/>
              <w:ind w:left="500"/>
              <w:jc w:val="left"/>
            </w:pPr>
            <w:r>
              <w:rPr>
                <w:rStyle w:val="Bodytext21"/>
              </w:rPr>
              <w:t>th</w:t>
            </w:r>
          </w:p>
        </w:tc>
        <w:tc>
          <w:tcPr>
            <w:tcW w:w="3158" w:type="dxa"/>
            <w:shd w:val="clear" w:color="auto" w:fill="FFFFFF"/>
            <w:vAlign w:val="bottom"/>
          </w:tcPr>
          <w:p w:rsidR="00BB7EDA" w:rsidRDefault="007D72B3">
            <w:pPr>
              <w:pStyle w:val="Bodytext20"/>
              <w:framePr w:w="5395" w:wrap="notBeside" w:vAnchor="text" w:hAnchor="text" w:xAlign="center" w:y="1"/>
              <w:shd w:val="clear" w:color="auto" w:fill="auto"/>
              <w:spacing w:before="0" w:line="180" w:lineRule="exact"/>
              <w:ind w:left="900"/>
              <w:jc w:val="left"/>
            </w:pPr>
            <w:r>
              <w:rPr>
                <w:rStyle w:val="Bodytext21"/>
              </w:rPr>
              <w:t xml:space="preserve">wie </w:t>
            </w:r>
            <w:r>
              <w:rPr>
                <w:rStyle w:val="Bodytext2Italic1"/>
              </w:rPr>
              <w:t>t</w:t>
            </w:r>
            <w:r>
              <w:rPr>
                <w:rStyle w:val="Bodytext21"/>
              </w:rPr>
              <w:t xml:space="preserve"> in </w:t>
            </w:r>
            <w:r>
              <w:rPr>
                <w:rStyle w:val="Bodytext2Italic1"/>
              </w:rPr>
              <w:t>Tier</w:t>
            </w:r>
          </w:p>
        </w:tc>
      </w:tr>
    </w:tbl>
    <w:p w:rsidR="00BB7EDA" w:rsidRDefault="00BB7EDA">
      <w:pPr>
        <w:framePr w:w="5395" w:wrap="notBeside" w:vAnchor="text" w:hAnchor="text" w:xAlign="center" w:y="1"/>
        <w:rPr>
          <w:sz w:val="2"/>
          <w:szCs w:val="2"/>
        </w:rPr>
      </w:pPr>
    </w:p>
    <w:p w:rsidR="00BB7EDA" w:rsidRDefault="00BB7EDA">
      <w:pPr>
        <w:rPr>
          <w:sz w:val="2"/>
          <w:szCs w:val="2"/>
        </w:rPr>
      </w:pPr>
    </w:p>
    <w:p w:rsidR="00BB7EDA" w:rsidRDefault="007D72B3">
      <w:pPr>
        <w:pStyle w:val="Heading50"/>
        <w:keepNext/>
        <w:keepLines/>
        <w:shd w:val="clear" w:color="auto" w:fill="auto"/>
        <w:spacing w:before="470" w:after="163" w:line="180" w:lineRule="exact"/>
      </w:pPr>
      <w:bookmarkStart w:id="8" w:name="bookmark7"/>
      <w:r>
        <w:t>Griechisch</w:t>
      </w:r>
      <w:bookmarkEnd w:id="8"/>
    </w:p>
    <w:p w:rsidR="00BB7EDA" w:rsidRDefault="007D72B3">
      <w:pPr>
        <w:pStyle w:val="Bodytext20"/>
        <w:shd w:val="clear" w:color="auto" w:fill="auto"/>
        <w:spacing w:before="0" w:line="226" w:lineRule="exact"/>
      </w:pPr>
      <w:r>
        <w:t>Die folgenden Angaben zur Aussprache des griechischen Alphabets orientieren sich an der im deutschen Sprachraum allgemein verbrei</w:t>
      </w:r>
      <w:r>
        <w:softHyphen/>
        <w:t xml:space="preserve">teten Schulaussprache. Da, wo in der dritten Spalte der Tabelle keine Bemerkung </w:t>
      </w:r>
      <w:r>
        <w:t>vorliegt, entspricht die im germanischen Kulturkreis übliche Aussprache der deutschen Transkription.</w:t>
      </w:r>
      <w:r>
        <w:br w:type="page"/>
      </w:r>
    </w:p>
    <w:p w:rsidR="00BB7EDA" w:rsidRDefault="007D72B3">
      <w:pPr>
        <w:pStyle w:val="Bodytext20"/>
        <w:shd w:val="clear" w:color="auto" w:fill="auto"/>
        <w:spacing w:before="0" w:after="641" w:line="456" w:lineRule="exact"/>
        <w:jc w:val="left"/>
      </w:pPr>
      <w:r>
        <w:rPr>
          <w:rStyle w:val="Bodytext2Italic0"/>
        </w:rPr>
        <w:t xml:space="preserve">Aussprache </w:t>
      </w:r>
      <w:r>
        <w:t xml:space="preserve">langes od. kurzes </w:t>
      </w:r>
      <w:r>
        <w:rPr>
          <w:rStyle w:val="Bodytext2Italic0"/>
        </w:rPr>
        <w:t>a</w:t>
      </w:r>
    </w:p>
    <w:p w:rsidR="00BB7EDA" w:rsidRDefault="007D72B3">
      <w:pPr>
        <w:pStyle w:val="Bodytext20"/>
        <w:shd w:val="clear" w:color="auto" w:fill="auto"/>
        <w:spacing w:before="0" w:after="154" w:line="180" w:lineRule="exact"/>
        <w:jc w:val="left"/>
      </w:pPr>
      <w:r>
        <w:pict>
          <v:shape id="_x0000_s1032" type="#_x0000_t202" style="position:absolute;margin-left:-2pt;margin-top:-70.1pt;width:126.95pt;height:.05pt;z-index:-125829375;mso-wrap-distance-left:5pt;mso-wrap-distance-right:28.5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18"/>
                    <w:gridCol w:w="1421"/>
                  </w:tblGrid>
                  <w:tr w:rsidR="00BB7EDA">
                    <w:tblPrEx>
                      <w:tblCellMar>
                        <w:top w:w="0" w:type="dxa"/>
                        <w:bottom w:w="0" w:type="dxa"/>
                      </w:tblCellMar>
                    </w:tblPrEx>
                    <w:trPr>
                      <w:trHeight w:hRule="exact" w:val="355"/>
                      <w:jc w:val="center"/>
                    </w:trPr>
                    <w:tc>
                      <w:tcPr>
                        <w:tcW w:w="1118" w:type="dxa"/>
                        <w:shd w:val="clear" w:color="auto" w:fill="FFFFFF"/>
                      </w:tcPr>
                      <w:p w:rsidR="00BB7EDA" w:rsidRDefault="007D72B3">
                        <w:pPr>
                          <w:pStyle w:val="Bodytext20"/>
                          <w:shd w:val="clear" w:color="auto" w:fill="auto"/>
                          <w:spacing w:before="0" w:line="180" w:lineRule="exact"/>
                          <w:jc w:val="left"/>
                        </w:pPr>
                        <w:r>
                          <w:rPr>
                            <w:rStyle w:val="Bodytext2Italic"/>
                          </w:rPr>
                          <w:t>Griechisch</w:t>
                        </w:r>
                      </w:p>
                    </w:tc>
                    <w:tc>
                      <w:tcPr>
                        <w:tcW w:w="1421" w:type="dxa"/>
                        <w:shd w:val="clear" w:color="auto" w:fill="FFFFFF"/>
                      </w:tcPr>
                      <w:p w:rsidR="00BB7EDA" w:rsidRDefault="007D72B3">
                        <w:pPr>
                          <w:pStyle w:val="Bodytext20"/>
                          <w:shd w:val="clear" w:color="auto" w:fill="auto"/>
                          <w:spacing w:before="0" w:line="180" w:lineRule="exact"/>
                          <w:ind w:left="220"/>
                          <w:jc w:val="left"/>
                        </w:pPr>
                        <w:r>
                          <w:rPr>
                            <w:rStyle w:val="Bodytext2Italic"/>
                          </w:rPr>
                          <w:t>Transkription</w:t>
                        </w:r>
                      </w:p>
                    </w:tc>
                  </w:tr>
                  <w:tr w:rsidR="00BB7EDA">
                    <w:tblPrEx>
                      <w:tblCellMar>
                        <w:top w:w="0" w:type="dxa"/>
                        <w:bottom w:w="0" w:type="dxa"/>
                      </w:tblCellMar>
                    </w:tblPrEx>
                    <w:trPr>
                      <w:trHeight w:hRule="exact" w:val="317"/>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1"/>
                          </w:rPr>
                          <w:t xml:space="preserve">A </w:t>
                        </w:r>
                        <w:r>
                          <w:rPr>
                            <w:rStyle w:val="Bodytext2Italic"/>
                          </w:rPr>
                          <w:t>a</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a</w:t>
                        </w:r>
                      </w:p>
                    </w:tc>
                  </w:tr>
                  <w:tr w:rsidR="00BB7EDA">
                    <w:tblPrEx>
                      <w:tblCellMar>
                        <w:top w:w="0" w:type="dxa"/>
                        <w:bottom w:w="0" w:type="dxa"/>
                      </w:tblCellMar>
                    </w:tblPrEx>
                    <w:trPr>
                      <w:trHeight w:hRule="exact" w:val="240"/>
                      <w:jc w:val="center"/>
                    </w:trPr>
                    <w:tc>
                      <w:tcPr>
                        <w:tcW w:w="1118" w:type="dxa"/>
                        <w:shd w:val="clear" w:color="auto" w:fill="FFFFFF"/>
                      </w:tcPr>
                      <w:p w:rsidR="00BB7EDA" w:rsidRDefault="007D72B3">
                        <w:pPr>
                          <w:pStyle w:val="Bodytext20"/>
                          <w:shd w:val="clear" w:color="auto" w:fill="auto"/>
                          <w:spacing w:before="0" w:line="180" w:lineRule="exact"/>
                          <w:ind w:right="760"/>
                          <w:jc w:val="right"/>
                        </w:pPr>
                        <w:r>
                          <w:rPr>
                            <w:rStyle w:val="Bodytext21"/>
                          </w:rPr>
                          <w:t>B ß</w:t>
                        </w:r>
                      </w:p>
                    </w:tc>
                    <w:tc>
                      <w:tcPr>
                        <w:tcW w:w="1421" w:type="dxa"/>
                        <w:shd w:val="clear" w:color="auto" w:fill="FFFFFF"/>
                      </w:tcPr>
                      <w:p w:rsidR="00BB7EDA" w:rsidRDefault="007D72B3">
                        <w:pPr>
                          <w:pStyle w:val="Bodytext20"/>
                          <w:shd w:val="clear" w:color="auto" w:fill="auto"/>
                          <w:spacing w:before="0" w:line="150" w:lineRule="exact"/>
                          <w:ind w:left="220"/>
                          <w:jc w:val="left"/>
                        </w:pPr>
                        <w:r>
                          <w:rPr>
                            <w:rStyle w:val="Bodytext275pt"/>
                          </w:rPr>
                          <w:t>b</w:t>
                        </w:r>
                      </w:p>
                    </w:tc>
                  </w:tr>
                  <w:tr w:rsidR="00BB7EDA">
                    <w:tblPrEx>
                      <w:tblCellMar>
                        <w:top w:w="0" w:type="dxa"/>
                        <w:bottom w:w="0" w:type="dxa"/>
                      </w:tblCellMar>
                    </w:tblPrEx>
                    <w:trPr>
                      <w:trHeight w:hRule="exact" w:val="230"/>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75pt"/>
                          </w:rPr>
                          <w:t xml:space="preserve">r </w:t>
                        </w:r>
                        <w:r>
                          <w:rPr>
                            <w:rStyle w:val="Bodytext2Italic"/>
                          </w:rPr>
                          <w:t>y</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g</w:t>
                        </w:r>
                      </w:p>
                    </w:tc>
                  </w:tr>
                  <w:tr w:rsidR="00BB7EDA">
                    <w:tblPrEx>
                      <w:tblCellMar>
                        <w:top w:w="0" w:type="dxa"/>
                        <w:bottom w:w="0" w:type="dxa"/>
                      </w:tblCellMar>
                    </w:tblPrEx>
                    <w:trPr>
                      <w:trHeight w:hRule="exact" w:val="221"/>
                      <w:jc w:val="center"/>
                    </w:trPr>
                    <w:tc>
                      <w:tcPr>
                        <w:tcW w:w="1118" w:type="dxa"/>
                        <w:shd w:val="clear" w:color="auto" w:fill="FFFFFF"/>
                      </w:tcPr>
                      <w:p w:rsidR="00BB7EDA" w:rsidRDefault="007D72B3">
                        <w:pPr>
                          <w:pStyle w:val="Bodytext20"/>
                          <w:shd w:val="clear" w:color="auto" w:fill="auto"/>
                          <w:spacing w:before="0" w:line="180" w:lineRule="exact"/>
                          <w:ind w:right="760"/>
                          <w:jc w:val="right"/>
                        </w:pPr>
                        <w:r>
                          <w:rPr>
                            <w:rStyle w:val="Bodytext21"/>
                          </w:rPr>
                          <w:t>A 8</w:t>
                        </w:r>
                      </w:p>
                    </w:tc>
                    <w:tc>
                      <w:tcPr>
                        <w:tcW w:w="1421" w:type="dxa"/>
                        <w:shd w:val="clear" w:color="auto" w:fill="FFFFFF"/>
                      </w:tcPr>
                      <w:p w:rsidR="00BB7EDA" w:rsidRDefault="007D72B3">
                        <w:pPr>
                          <w:pStyle w:val="Bodytext20"/>
                          <w:shd w:val="clear" w:color="auto" w:fill="auto"/>
                          <w:spacing w:before="0" w:line="150" w:lineRule="exact"/>
                          <w:ind w:left="220"/>
                          <w:jc w:val="left"/>
                        </w:pPr>
                        <w:r>
                          <w:rPr>
                            <w:rStyle w:val="Bodytext275pt"/>
                          </w:rPr>
                          <w:t>d</w:t>
                        </w:r>
                      </w:p>
                    </w:tc>
                  </w:tr>
                  <w:tr w:rsidR="00BB7EDA">
                    <w:tblPrEx>
                      <w:tblCellMar>
                        <w:top w:w="0" w:type="dxa"/>
                        <w:bottom w:w="0" w:type="dxa"/>
                      </w:tblCellMar>
                    </w:tblPrEx>
                    <w:trPr>
                      <w:trHeight w:hRule="exact" w:val="230"/>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1"/>
                          </w:rPr>
                          <w:t xml:space="preserve">E </w:t>
                        </w:r>
                        <w:r>
                          <w:rPr>
                            <w:rStyle w:val="Bodytext275pt"/>
                          </w:rPr>
                          <w:t>£</w:t>
                        </w:r>
                      </w:p>
                    </w:tc>
                    <w:tc>
                      <w:tcPr>
                        <w:tcW w:w="1421" w:type="dxa"/>
                        <w:shd w:val="clear" w:color="auto" w:fill="FFFFFF"/>
                        <w:vAlign w:val="bottom"/>
                      </w:tcPr>
                      <w:p w:rsidR="00BB7EDA" w:rsidRDefault="007D72B3">
                        <w:pPr>
                          <w:pStyle w:val="Bodytext20"/>
                          <w:shd w:val="clear" w:color="auto" w:fill="auto"/>
                          <w:spacing w:before="0" w:line="180" w:lineRule="exact"/>
                          <w:ind w:left="220"/>
                          <w:jc w:val="left"/>
                        </w:pPr>
                        <w:r>
                          <w:rPr>
                            <w:rStyle w:val="Bodytext21"/>
                          </w:rPr>
                          <w:t>e</w:t>
                        </w:r>
                      </w:p>
                    </w:tc>
                  </w:tr>
                  <w:tr w:rsidR="00BB7EDA">
                    <w:tblPrEx>
                      <w:tblCellMar>
                        <w:top w:w="0" w:type="dxa"/>
                        <w:bottom w:w="0" w:type="dxa"/>
                      </w:tblCellMar>
                    </w:tblPrEx>
                    <w:trPr>
                      <w:trHeight w:hRule="exact" w:val="235"/>
                      <w:jc w:val="center"/>
                    </w:trPr>
                    <w:tc>
                      <w:tcPr>
                        <w:tcW w:w="1118" w:type="dxa"/>
                        <w:shd w:val="clear" w:color="auto" w:fill="FFFFFF"/>
                        <w:vAlign w:val="bottom"/>
                      </w:tcPr>
                      <w:p w:rsidR="00BB7EDA" w:rsidRDefault="007D72B3">
                        <w:pPr>
                          <w:pStyle w:val="Bodytext20"/>
                          <w:shd w:val="clear" w:color="auto" w:fill="auto"/>
                          <w:spacing w:before="0" w:line="240" w:lineRule="exact"/>
                          <w:ind w:right="760"/>
                          <w:jc w:val="right"/>
                        </w:pPr>
                        <w:r>
                          <w:rPr>
                            <w:rStyle w:val="Bodytext212pt"/>
                          </w:rPr>
                          <w:t xml:space="preserve">z </w:t>
                        </w:r>
                        <w:r>
                          <w:rPr>
                            <w:rStyle w:val="Bodytext275pt"/>
                          </w:rPr>
                          <w:t>c</w:t>
                        </w:r>
                      </w:p>
                    </w:tc>
                    <w:tc>
                      <w:tcPr>
                        <w:tcW w:w="1421" w:type="dxa"/>
                        <w:shd w:val="clear" w:color="auto" w:fill="FFFFFF"/>
                        <w:vAlign w:val="bottom"/>
                      </w:tcPr>
                      <w:p w:rsidR="00BB7EDA" w:rsidRDefault="007D72B3">
                        <w:pPr>
                          <w:pStyle w:val="Bodytext20"/>
                          <w:shd w:val="clear" w:color="auto" w:fill="auto"/>
                          <w:spacing w:before="0" w:line="110" w:lineRule="exact"/>
                          <w:ind w:left="220"/>
                          <w:jc w:val="left"/>
                        </w:pPr>
                        <w:r>
                          <w:rPr>
                            <w:rStyle w:val="Bodytext255pt"/>
                          </w:rPr>
                          <w:t>z</w:t>
                        </w:r>
                      </w:p>
                    </w:tc>
                  </w:tr>
                  <w:tr w:rsidR="00BB7EDA">
                    <w:tblPrEx>
                      <w:tblCellMar>
                        <w:top w:w="0" w:type="dxa"/>
                        <w:bottom w:w="0" w:type="dxa"/>
                      </w:tblCellMar>
                    </w:tblPrEx>
                    <w:trPr>
                      <w:trHeight w:hRule="exact" w:val="226"/>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1"/>
                          </w:rPr>
                          <w:t xml:space="preserve">H </w:t>
                        </w:r>
                        <w:r>
                          <w:rPr>
                            <w:rStyle w:val="Bodytext275pt"/>
                          </w:rPr>
                          <w:t>TI</w:t>
                        </w:r>
                      </w:p>
                    </w:tc>
                    <w:tc>
                      <w:tcPr>
                        <w:tcW w:w="1421" w:type="dxa"/>
                        <w:shd w:val="clear" w:color="auto" w:fill="FFFFFF"/>
                        <w:vAlign w:val="bottom"/>
                      </w:tcPr>
                      <w:p w:rsidR="00BB7EDA" w:rsidRDefault="007D72B3">
                        <w:pPr>
                          <w:pStyle w:val="Bodytext20"/>
                          <w:shd w:val="clear" w:color="auto" w:fill="auto"/>
                          <w:spacing w:before="0" w:line="180" w:lineRule="exact"/>
                          <w:ind w:left="220"/>
                          <w:jc w:val="left"/>
                        </w:pPr>
                        <w:r>
                          <w:rPr>
                            <w:rStyle w:val="Bodytext21"/>
                          </w:rPr>
                          <w:t>e</w:t>
                        </w:r>
                      </w:p>
                    </w:tc>
                  </w:tr>
                  <w:tr w:rsidR="00BB7EDA">
                    <w:tblPrEx>
                      <w:tblCellMar>
                        <w:top w:w="0" w:type="dxa"/>
                        <w:bottom w:w="0" w:type="dxa"/>
                      </w:tblCellMar>
                    </w:tblPrEx>
                    <w:trPr>
                      <w:trHeight w:hRule="exact" w:val="221"/>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1"/>
                          </w:rPr>
                          <w:t>0 0</w:t>
                        </w:r>
                      </w:p>
                    </w:tc>
                    <w:tc>
                      <w:tcPr>
                        <w:tcW w:w="1421" w:type="dxa"/>
                        <w:shd w:val="clear" w:color="auto" w:fill="FFFFFF"/>
                      </w:tcPr>
                      <w:p w:rsidR="00BB7EDA" w:rsidRDefault="007D72B3">
                        <w:pPr>
                          <w:pStyle w:val="Bodytext20"/>
                          <w:shd w:val="clear" w:color="auto" w:fill="auto"/>
                          <w:spacing w:before="0" w:line="180" w:lineRule="exact"/>
                          <w:ind w:left="220"/>
                          <w:jc w:val="left"/>
                        </w:pPr>
                        <w:r>
                          <w:rPr>
                            <w:rStyle w:val="Bodytext21"/>
                          </w:rPr>
                          <w:t>th</w:t>
                        </w:r>
                      </w:p>
                    </w:tc>
                  </w:tr>
                  <w:tr w:rsidR="00BB7EDA">
                    <w:tblPrEx>
                      <w:tblCellMar>
                        <w:top w:w="0" w:type="dxa"/>
                        <w:bottom w:w="0" w:type="dxa"/>
                      </w:tblCellMar>
                    </w:tblPrEx>
                    <w:trPr>
                      <w:trHeight w:hRule="exact" w:val="245"/>
                      <w:jc w:val="center"/>
                    </w:trPr>
                    <w:tc>
                      <w:tcPr>
                        <w:tcW w:w="1118" w:type="dxa"/>
                        <w:shd w:val="clear" w:color="auto" w:fill="FFFFFF"/>
                        <w:vAlign w:val="bottom"/>
                      </w:tcPr>
                      <w:p w:rsidR="00BB7EDA" w:rsidRDefault="007D72B3">
                        <w:pPr>
                          <w:pStyle w:val="Bodytext20"/>
                          <w:shd w:val="clear" w:color="auto" w:fill="auto"/>
                          <w:spacing w:before="0" w:line="150" w:lineRule="exact"/>
                          <w:jc w:val="left"/>
                        </w:pPr>
                        <w:r>
                          <w:rPr>
                            <w:rStyle w:val="Bodytext275pt"/>
                          </w:rPr>
                          <w:t>I i</w:t>
                        </w:r>
                      </w:p>
                    </w:tc>
                    <w:tc>
                      <w:tcPr>
                        <w:tcW w:w="1421" w:type="dxa"/>
                        <w:shd w:val="clear" w:color="auto" w:fill="FFFFFF"/>
                        <w:vAlign w:val="bottom"/>
                      </w:tcPr>
                      <w:p w:rsidR="00BB7EDA" w:rsidRDefault="007D72B3">
                        <w:pPr>
                          <w:pStyle w:val="Bodytext20"/>
                          <w:shd w:val="clear" w:color="auto" w:fill="auto"/>
                          <w:spacing w:before="0" w:line="180" w:lineRule="exact"/>
                          <w:ind w:left="220"/>
                          <w:jc w:val="left"/>
                        </w:pPr>
                        <w:r>
                          <w:rPr>
                            <w:rStyle w:val="Bodytext21"/>
                          </w:rPr>
                          <w:t xml:space="preserve">i </w:t>
                        </w:r>
                        <w:r>
                          <w:rPr>
                            <w:rStyle w:val="Bodytext275pt"/>
                          </w:rPr>
                          <w:t xml:space="preserve">/ </w:t>
                        </w:r>
                        <w:r>
                          <w:rPr>
                            <w:rStyle w:val="Bodytext21"/>
                          </w:rPr>
                          <w:t xml:space="preserve">j </w:t>
                        </w:r>
                        <w:r>
                          <w:rPr>
                            <w:rStyle w:val="Bodytext275pt"/>
                          </w:rPr>
                          <w:t xml:space="preserve">/ </w:t>
                        </w:r>
                        <w:r>
                          <w:rPr>
                            <w:rStyle w:val="Bodytext21"/>
                          </w:rPr>
                          <w:t>i</w:t>
                        </w:r>
                      </w:p>
                    </w:tc>
                  </w:tr>
                  <w:tr w:rsidR="00BB7EDA">
                    <w:tblPrEx>
                      <w:tblCellMar>
                        <w:top w:w="0" w:type="dxa"/>
                        <w:bottom w:w="0" w:type="dxa"/>
                      </w:tblCellMar>
                    </w:tblPrEx>
                    <w:trPr>
                      <w:trHeight w:hRule="exact" w:val="216"/>
                      <w:jc w:val="center"/>
                    </w:trPr>
                    <w:tc>
                      <w:tcPr>
                        <w:tcW w:w="1118" w:type="dxa"/>
                        <w:shd w:val="clear" w:color="auto" w:fill="FFFFFF"/>
                      </w:tcPr>
                      <w:p w:rsidR="00BB7EDA" w:rsidRDefault="007D72B3">
                        <w:pPr>
                          <w:pStyle w:val="Bodytext20"/>
                          <w:shd w:val="clear" w:color="auto" w:fill="auto"/>
                          <w:spacing w:before="0" w:line="180" w:lineRule="exact"/>
                          <w:ind w:right="760"/>
                          <w:jc w:val="right"/>
                        </w:pPr>
                        <w:r>
                          <w:rPr>
                            <w:rStyle w:val="Bodytext21"/>
                          </w:rPr>
                          <w:t xml:space="preserve">K </w:t>
                        </w:r>
                        <w:r>
                          <w:rPr>
                            <w:rStyle w:val="Bodytext275pt"/>
                          </w:rPr>
                          <w:t>K</w:t>
                        </w:r>
                      </w:p>
                    </w:tc>
                    <w:tc>
                      <w:tcPr>
                        <w:tcW w:w="1421" w:type="dxa"/>
                        <w:shd w:val="clear" w:color="auto" w:fill="FFFFFF"/>
                      </w:tcPr>
                      <w:p w:rsidR="00BB7EDA" w:rsidRDefault="007D72B3">
                        <w:pPr>
                          <w:pStyle w:val="Bodytext20"/>
                          <w:shd w:val="clear" w:color="auto" w:fill="auto"/>
                          <w:spacing w:before="0" w:line="150" w:lineRule="exact"/>
                          <w:ind w:left="220"/>
                          <w:jc w:val="left"/>
                        </w:pPr>
                        <w:r>
                          <w:rPr>
                            <w:rStyle w:val="Bodytext275pt"/>
                          </w:rPr>
                          <w:t>k</w:t>
                        </w:r>
                      </w:p>
                    </w:tc>
                  </w:tr>
                  <w:tr w:rsidR="00BB7EDA">
                    <w:tblPrEx>
                      <w:tblCellMar>
                        <w:top w:w="0" w:type="dxa"/>
                        <w:bottom w:w="0" w:type="dxa"/>
                      </w:tblCellMar>
                    </w:tblPrEx>
                    <w:trPr>
                      <w:trHeight w:hRule="exact" w:val="235"/>
                      <w:jc w:val="center"/>
                    </w:trPr>
                    <w:tc>
                      <w:tcPr>
                        <w:tcW w:w="1118" w:type="dxa"/>
                        <w:shd w:val="clear" w:color="auto" w:fill="FFFFFF"/>
                        <w:vAlign w:val="center"/>
                      </w:tcPr>
                      <w:p w:rsidR="00BB7EDA" w:rsidRDefault="007D72B3">
                        <w:pPr>
                          <w:pStyle w:val="Bodytext20"/>
                          <w:shd w:val="clear" w:color="auto" w:fill="auto"/>
                          <w:spacing w:before="0" w:line="180" w:lineRule="exact"/>
                          <w:ind w:right="760"/>
                          <w:jc w:val="right"/>
                        </w:pPr>
                        <w:r>
                          <w:rPr>
                            <w:rStyle w:val="Bodytext275pt"/>
                          </w:rPr>
                          <w:t xml:space="preserve">A </w:t>
                        </w:r>
                        <w:r>
                          <w:rPr>
                            <w:rStyle w:val="Bodytext2Italic"/>
                          </w:rPr>
                          <w:t>X</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1</w:t>
                        </w:r>
                      </w:p>
                    </w:tc>
                  </w:tr>
                  <w:tr w:rsidR="00BB7EDA">
                    <w:tblPrEx>
                      <w:tblCellMar>
                        <w:top w:w="0" w:type="dxa"/>
                        <w:bottom w:w="0" w:type="dxa"/>
                      </w:tblCellMar>
                    </w:tblPrEx>
                    <w:trPr>
                      <w:trHeight w:hRule="exact" w:val="230"/>
                      <w:jc w:val="center"/>
                    </w:trPr>
                    <w:tc>
                      <w:tcPr>
                        <w:tcW w:w="1118" w:type="dxa"/>
                        <w:shd w:val="clear" w:color="auto" w:fill="FFFFFF"/>
                        <w:vAlign w:val="bottom"/>
                      </w:tcPr>
                      <w:p w:rsidR="00BB7EDA" w:rsidRDefault="007D72B3">
                        <w:pPr>
                          <w:pStyle w:val="Bodytext20"/>
                          <w:shd w:val="clear" w:color="auto" w:fill="auto"/>
                          <w:spacing w:before="0" w:line="150" w:lineRule="exact"/>
                          <w:ind w:right="760"/>
                          <w:jc w:val="right"/>
                        </w:pPr>
                        <w:r>
                          <w:rPr>
                            <w:rStyle w:val="Bodytext275pt"/>
                          </w:rPr>
                          <w:t>M g</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m</w:t>
                        </w:r>
                      </w:p>
                    </w:tc>
                  </w:tr>
                  <w:tr w:rsidR="00BB7EDA">
                    <w:tblPrEx>
                      <w:tblCellMar>
                        <w:top w:w="0" w:type="dxa"/>
                        <w:bottom w:w="0" w:type="dxa"/>
                      </w:tblCellMar>
                    </w:tblPrEx>
                    <w:trPr>
                      <w:trHeight w:hRule="exact" w:val="216"/>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1"/>
                          </w:rPr>
                          <w:t>N v</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n</w:t>
                        </w:r>
                      </w:p>
                    </w:tc>
                  </w:tr>
                  <w:tr w:rsidR="00BB7EDA">
                    <w:tblPrEx>
                      <w:tblCellMar>
                        <w:top w:w="0" w:type="dxa"/>
                        <w:bottom w:w="0" w:type="dxa"/>
                      </w:tblCellMar>
                    </w:tblPrEx>
                    <w:trPr>
                      <w:trHeight w:hRule="exact" w:val="254"/>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75pt"/>
                          </w:rPr>
                          <w:t xml:space="preserve">H </w:t>
                        </w:r>
                        <w:r>
                          <w:rPr>
                            <w:rStyle w:val="Bodytext2Italic"/>
                          </w:rPr>
                          <w:t>£,</w:t>
                        </w:r>
                      </w:p>
                    </w:tc>
                    <w:tc>
                      <w:tcPr>
                        <w:tcW w:w="1421" w:type="dxa"/>
                        <w:shd w:val="clear" w:color="auto" w:fill="FFFFFF"/>
                        <w:vAlign w:val="bottom"/>
                      </w:tcPr>
                      <w:p w:rsidR="00BB7EDA" w:rsidRDefault="007D72B3">
                        <w:pPr>
                          <w:pStyle w:val="Bodytext20"/>
                          <w:shd w:val="clear" w:color="auto" w:fill="auto"/>
                          <w:spacing w:before="0" w:line="110" w:lineRule="exact"/>
                          <w:ind w:left="220"/>
                          <w:jc w:val="left"/>
                        </w:pPr>
                        <w:r>
                          <w:rPr>
                            <w:rStyle w:val="Bodytext255pt"/>
                          </w:rPr>
                          <w:t>X</w:t>
                        </w:r>
                      </w:p>
                    </w:tc>
                  </w:tr>
                  <w:tr w:rsidR="00BB7EDA">
                    <w:tblPrEx>
                      <w:tblCellMar>
                        <w:top w:w="0" w:type="dxa"/>
                        <w:bottom w:w="0" w:type="dxa"/>
                      </w:tblCellMar>
                    </w:tblPrEx>
                    <w:trPr>
                      <w:trHeight w:hRule="exact" w:val="216"/>
                      <w:jc w:val="center"/>
                    </w:trPr>
                    <w:tc>
                      <w:tcPr>
                        <w:tcW w:w="1118" w:type="dxa"/>
                        <w:shd w:val="clear" w:color="auto" w:fill="FFFFFF"/>
                        <w:vAlign w:val="center"/>
                      </w:tcPr>
                      <w:p w:rsidR="00BB7EDA" w:rsidRDefault="007D72B3">
                        <w:pPr>
                          <w:pStyle w:val="Bodytext20"/>
                          <w:shd w:val="clear" w:color="auto" w:fill="auto"/>
                          <w:spacing w:before="0" w:line="180" w:lineRule="exact"/>
                          <w:ind w:right="760"/>
                          <w:jc w:val="right"/>
                        </w:pPr>
                        <w:r>
                          <w:rPr>
                            <w:rStyle w:val="Bodytext21"/>
                          </w:rPr>
                          <w:t>0 o</w:t>
                        </w:r>
                      </w:p>
                    </w:tc>
                    <w:tc>
                      <w:tcPr>
                        <w:tcW w:w="1421" w:type="dxa"/>
                        <w:shd w:val="clear" w:color="auto" w:fill="FFFFFF"/>
                        <w:vAlign w:val="center"/>
                      </w:tcPr>
                      <w:p w:rsidR="00BB7EDA" w:rsidRDefault="007D72B3">
                        <w:pPr>
                          <w:pStyle w:val="Bodytext20"/>
                          <w:shd w:val="clear" w:color="auto" w:fill="auto"/>
                          <w:spacing w:before="0" w:line="150" w:lineRule="exact"/>
                          <w:ind w:left="220"/>
                          <w:jc w:val="left"/>
                        </w:pPr>
                        <w:r>
                          <w:rPr>
                            <w:rStyle w:val="Bodytext275pt"/>
                          </w:rPr>
                          <w:t>0</w:t>
                        </w:r>
                      </w:p>
                    </w:tc>
                  </w:tr>
                  <w:tr w:rsidR="00BB7EDA">
                    <w:tblPrEx>
                      <w:tblCellMar>
                        <w:top w:w="0" w:type="dxa"/>
                        <w:bottom w:w="0" w:type="dxa"/>
                      </w:tblCellMar>
                    </w:tblPrEx>
                    <w:trPr>
                      <w:trHeight w:hRule="exact" w:val="245"/>
                      <w:jc w:val="center"/>
                    </w:trPr>
                    <w:tc>
                      <w:tcPr>
                        <w:tcW w:w="1118" w:type="dxa"/>
                        <w:shd w:val="clear" w:color="auto" w:fill="FFFFFF"/>
                        <w:vAlign w:val="bottom"/>
                      </w:tcPr>
                      <w:p w:rsidR="00BB7EDA" w:rsidRDefault="007D72B3">
                        <w:pPr>
                          <w:pStyle w:val="Bodytext20"/>
                          <w:shd w:val="clear" w:color="auto" w:fill="auto"/>
                          <w:spacing w:before="0" w:line="150" w:lineRule="exact"/>
                          <w:ind w:right="760"/>
                          <w:jc w:val="right"/>
                        </w:pPr>
                        <w:r>
                          <w:rPr>
                            <w:rStyle w:val="Bodytext275pt"/>
                          </w:rPr>
                          <w:t>n Ti</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P</w:t>
                        </w:r>
                      </w:p>
                    </w:tc>
                  </w:tr>
                  <w:tr w:rsidR="00BB7EDA">
                    <w:tblPrEx>
                      <w:tblCellMar>
                        <w:top w:w="0" w:type="dxa"/>
                        <w:bottom w:w="0" w:type="dxa"/>
                      </w:tblCellMar>
                    </w:tblPrEx>
                    <w:trPr>
                      <w:trHeight w:hRule="exact" w:val="221"/>
                      <w:jc w:val="center"/>
                    </w:trPr>
                    <w:tc>
                      <w:tcPr>
                        <w:tcW w:w="1118" w:type="dxa"/>
                        <w:shd w:val="clear" w:color="auto" w:fill="FFFFFF"/>
                        <w:vAlign w:val="bottom"/>
                      </w:tcPr>
                      <w:p w:rsidR="00BB7EDA" w:rsidRDefault="007D72B3">
                        <w:pPr>
                          <w:pStyle w:val="Bodytext20"/>
                          <w:shd w:val="clear" w:color="auto" w:fill="auto"/>
                          <w:spacing w:before="0" w:line="150" w:lineRule="exact"/>
                          <w:ind w:right="760"/>
                          <w:jc w:val="right"/>
                        </w:pPr>
                        <w:r>
                          <w:rPr>
                            <w:rStyle w:val="Bodytext275pt"/>
                          </w:rPr>
                          <w:t xml:space="preserve">p </w:t>
                        </w:r>
                        <w:r>
                          <w:rPr>
                            <w:rStyle w:val="Bodytext275pt"/>
                            <w:vertAlign w:val="subscript"/>
                          </w:rPr>
                          <w:t>P</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r</w:t>
                        </w:r>
                      </w:p>
                    </w:tc>
                  </w:tr>
                  <w:tr w:rsidR="00BB7EDA">
                    <w:tblPrEx>
                      <w:tblCellMar>
                        <w:top w:w="0" w:type="dxa"/>
                        <w:bottom w:w="0" w:type="dxa"/>
                      </w:tblCellMar>
                    </w:tblPrEx>
                    <w:trPr>
                      <w:trHeight w:hRule="exact" w:val="216"/>
                      <w:jc w:val="center"/>
                    </w:trPr>
                    <w:tc>
                      <w:tcPr>
                        <w:tcW w:w="1118" w:type="dxa"/>
                        <w:shd w:val="clear" w:color="auto" w:fill="FFFFFF"/>
                      </w:tcPr>
                      <w:p w:rsidR="00BB7EDA" w:rsidRDefault="007D72B3">
                        <w:pPr>
                          <w:pStyle w:val="Bodytext20"/>
                          <w:shd w:val="clear" w:color="auto" w:fill="auto"/>
                          <w:spacing w:before="0" w:line="190" w:lineRule="exact"/>
                          <w:ind w:right="760"/>
                          <w:jc w:val="right"/>
                        </w:pPr>
                        <w:r>
                          <w:rPr>
                            <w:rStyle w:val="Bodytext275pt"/>
                          </w:rPr>
                          <w:t xml:space="preserve">X </w:t>
                        </w:r>
                        <w:r>
                          <w:rPr>
                            <w:rStyle w:val="Bodytext2Constantia95pt"/>
                          </w:rPr>
                          <w:t>0</w:t>
                        </w:r>
                      </w:p>
                    </w:tc>
                    <w:tc>
                      <w:tcPr>
                        <w:tcW w:w="1421" w:type="dxa"/>
                        <w:shd w:val="clear" w:color="auto" w:fill="FFFFFF"/>
                      </w:tcPr>
                      <w:p w:rsidR="00BB7EDA" w:rsidRDefault="007D72B3">
                        <w:pPr>
                          <w:pStyle w:val="Bodytext20"/>
                          <w:shd w:val="clear" w:color="auto" w:fill="auto"/>
                          <w:spacing w:before="0" w:line="150" w:lineRule="exact"/>
                          <w:ind w:left="220"/>
                          <w:jc w:val="left"/>
                        </w:pPr>
                        <w:r>
                          <w:rPr>
                            <w:rStyle w:val="Bodytext275pt"/>
                          </w:rPr>
                          <w:t>s</w:t>
                        </w:r>
                      </w:p>
                    </w:tc>
                  </w:tr>
                  <w:tr w:rsidR="00BB7EDA">
                    <w:tblPrEx>
                      <w:tblCellMar>
                        <w:top w:w="0" w:type="dxa"/>
                        <w:bottom w:w="0" w:type="dxa"/>
                      </w:tblCellMar>
                    </w:tblPrEx>
                    <w:trPr>
                      <w:trHeight w:hRule="exact" w:val="230"/>
                      <w:jc w:val="center"/>
                    </w:trPr>
                    <w:tc>
                      <w:tcPr>
                        <w:tcW w:w="1118" w:type="dxa"/>
                        <w:shd w:val="clear" w:color="auto" w:fill="FFFFFF"/>
                      </w:tcPr>
                      <w:p w:rsidR="00BB7EDA" w:rsidRDefault="007D72B3">
                        <w:pPr>
                          <w:pStyle w:val="Bodytext20"/>
                          <w:shd w:val="clear" w:color="auto" w:fill="auto"/>
                          <w:spacing w:before="0" w:line="150" w:lineRule="exact"/>
                          <w:ind w:right="760"/>
                          <w:jc w:val="right"/>
                        </w:pPr>
                        <w:r>
                          <w:rPr>
                            <w:rStyle w:val="Bodytext275pt"/>
                          </w:rPr>
                          <w:t>T T</w:t>
                        </w:r>
                      </w:p>
                    </w:tc>
                    <w:tc>
                      <w:tcPr>
                        <w:tcW w:w="1421" w:type="dxa"/>
                        <w:shd w:val="clear" w:color="auto" w:fill="FFFFFF"/>
                      </w:tcPr>
                      <w:p w:rsidR="00BB7EDA" w:rsidRDefault="007D72B3">
                        <w:pPr>
                          <w:pStyle w:val="Bodytext20"/>
                          <w:shd w:val="clear" w:color="auto" w:fill="auto"/>
                          <w:spacing w:before="0" w:line="150" w:lineRule="exact"/>
                          <w:ind w:left="220"/>
                          <w:jc w:val="left"/>
                        </w:pPr>
                        <w:r>
                          <w:rPr>
                            <w:rStyle w:val="Bodytext275pt"/>
                          </w:rPr>
                          <w:t>t</w:t>
                        </w:r>
                      </w:p>
                    </w:tc>
                  </w:tr>
                  <w:tr w:rsidR="00BB7EDA">
                    <w:tblPrEx>
                      <w:tblCellMar>
                        <w:top w:w="0" w:type="dxa"/>
                        <w:bottom w:w="0" w:type="dxa"/>
                      </w:tblCellMar>
                    </w:tblPrEx>
                    <w:trPr>
                      <w:trHeight w:hRule="exact" w:val="235"/>
                      <w:jc w:val="center"/>
                    </w:trPr>
                    <w:tc>
                      <w:tcPr>
                        <w:tcW w:w="1118" w:type="dxa"/>
                        <w:shd w:val="clear" w:color="auto" w:fill="FFFFFF"/>
                        <w:vAlign w:val="bottom"/>
                      </w:tcPr>
                      <w:p w:rsidR="00BB7EDA" w:rsidRDefault="007D72B3">
                        <w:pPr>
                          <w:pStyle w:val="Bodytext20"/>
                          <w:shd w:val="clear" w:color="auto" w:fill="auto"/>
                          <w:spacing w:before="0" w:line="150" w:lineRule="exact"/>
                          <w:ind w:right="760"/>
                          <w:jc w:val="right"/>
                        </w:pPr>
                        <w:r>
                          <w:rPr>
                            <w:rStyle w:val="Bodytext275pt"/>
                          </w:rPr>
                          <w:t>y u</w:t>
                        </w:r>
                      </w:p>
                    </w:tc>
                    <w:tc>
                      <w:tcPr>
                        <w:tcW w:w="1421" w:type="dxa"/>
                        <w:shd w:val="clear" w:color="auto" w:fill="FFFFFF"/>
                        <w:vAlign w:val="bottom"/>
                      </w:tcPr>
                      <w:p w:rsidR="00BB7EDA" w:rsidRDefault="007D72B3">
                        <w:pPr>
                          <w:pStyle w:val="Bodytext20"/>
                          <w:shd w:val="clear" w:color="auto" w:fill="auto"/>
                          <w:spacing w:before="0" w:line="240" w:lineRule="exact"/>
                          <w:ind w:left="220"/>
                          <w:jc w:val="left"/>
                        </w:pPr>
                        <w:r>
                          <w:rPr>
                            <w:rStyle w:val="Bodytext212pt"/>
                          </w:rPr>
                          <w:t>y</w:t>
                        </w:r>
                      </w:p>
                    </w:tc>
                  </w:tr>
                  <w:tr w:rsidR="00BB7EDA">
                    <w:tblPrEx>
                      <w:tblCellMar>
                        <w:top w:w="0" w:type="dxa"/>
                        <w:bottom w:w="0" w:type="dxa"/>
                      </w:tblCellMar>
                    </w:tblPrEx>
                    <w:trPr>
                      <w:trHeight w:hRule="exact" w:val="230"/>
                      <w:jc w:val="center"/>
                    </w:trPr>
                    <w:tc>
                      <w:tcPr>
                        <w:tcW w:w="1118" w:type="dxa"/>
                        <w:shd w:val="clear" w:color="auto" w:fill="FFFFFF"/>
                      </w:tcPr>
                      <w:p w:rsidR="00BB7EDA" w:rsidRDefault="007D72B3">
                        <w:pPr>
                          <w:pStyle w:val="Bodytext20"/>
                          <w:shd w:val="clear" w:color="auto" w:fill="auto"/>
                          <w:spacing w:before="0" w:line="150" w:lineRule="exact"/>
                          <w:ind w:right="760"/>
                          <w:jc w:val="right"/>
                        </w:pPr>
                        <w:r>
                          <w:rPr>
                            <w:rStyle w:val="Bodytext275pt"/>
                          </w:rPr>
                          <w:t>&lt;t&gt; &lt;p</w:t>
                        </w:r>
                      </w:p>
                    </w:tc>
                    <w:tc>
                      <w:tcPr>
                        <w:tcW w:w="1421" w:type="dxa"/>
                        <w:shd w:val="clear" w:color="auto" w:fill="FFFFFF"/>
                      </w:tcPr>
                      <w:p w:rsidR="00BB7EDA" w:rsidRDefault="007D72B3">
                        <w:pPr>
                          <w:pStyle w:val="Bodytext20"/>
                          <w:shd w:val="clear" w:color="auto" w:fill="auto"/>
                          <w:spacing w:before="0" w:line="180" w:lineRule="exact"/>
                          <w:ind w:left="220"/>
                          <w:jc w:val="left"/>
                        </w:pPr>
                        <w:r>
                          <w:rPr>
                            <w:rStyle w:val="Bodytext21"/>
                            <w:vertAlign w:val="subscript"/>
                          </w:rPr>
                          <w:t>P</w:t>
                        </w:r>
                        <w:r>
                          <w:rPr>
                            <w:rStyle w:val="Bodytext21"/>
                          </w:rPr>
                          <w:t>h</w:t>
                        </w:r>
                      </w:p>
                    </w:tc>
                  </w:tr>
                  <w:tr w:rsidR="00BB7EDA">
                    <w:tblPrEx>
                      <w:tblCellMar>
                        <w:top w:w="0" w:type="dxa"/>
                        <w:bottom w:w="0" w:type="dxa"/>
                      </w:tblCellMar>
                    </w:tblPrEx>
                    <w:trPr>
                      <w:trHeight w:hRule="exact" w:val="216"/>
                      <w:jc w:val="center"/>
                    </w:trPr>
                    <w:tc>
                      <w:tcPr>
                        <w:tcW w:w="1118" w:type="dxa"/>
                        <w:shd w:val="clear" w:color="auto" w:fill="FFFFFF"/>
                      </w:tcPr>
                      <w:p w:rsidR="00BB7EDA" w:rsidRDefault="007D72B3">
                        <w:pPr>
                          <w:pStyle w:val="Bodytext20"/>
                          <w:shd w:val="clear" w:color="auto" w:fill="auto"/>
                          <w:spacing w:before="0" w:line="150" w:lineRule="exact"/>
                          <w:ind w:right="760"/>
                          <w:jc w:val="right"/>
                        </w:pPr>
                        <w:r>
                          <w:rPr>
                            <w:rStyle w:val="Bodytext275pt"/>
                          </w:rPr>
                          <w:t>X X</w:t>
                        </w:r>
                      </w:p>
                    </w:tc>
                    <w:tc>
                      <w:tcPr>
                        <w:tcW w:w="1421" w:type="dxa"/>
                        <w:shd w:val="clear" w:color="auto" w:fill="FFFFFF"/>
                      </w:tcPr>
                      <w:p w:rsidR="00BB7EDA" w:rsidRDefault="007D72B3">
                        <w:pPr>
                          <w:pStyle w:val="Bodytext20"/>
                          <w:shd w:val="clear" w:color="auto" w:fill="auto"/>
                          <w:spacing w:before="0" w:line="150" w:lineRule="exact"/>
                          <w:ind w:left="220"/>
                          <w:jc w:val="left"/>
                        </w:pPr>
                        <w:r>
                          <w:rPr>
                            <w:rStyle w:val="Bodytext275pt"/>
                          </w:rPr>
                          <w:t>ch</w:t>
                        </w:r>
                      </w:p>
                    </w:tc>
                  </w:tr>
                  <w:tr w:rsidR="00BB7EDA">
                    <w:tblPrEx>
                      <w:tblCellMar>
                        <w:top w:w="0" w:type="dxa"/>
                        <w:bottom w:w="0" w:type="dxa"/>
                      </w:tblCellMar>
                    </w:tblPrEx>
                    <w:trPr>
                      <w:trHeight w:hRule="exact" w:val="240"/>
                      <w:jc w:val="center"/>
                    </w:trPr>
                    <w:tc>
                      <w:tcPr>
                        <w:tcW w:w="1118" w:type="dxa"/>
                        <w:shd w:val="clear" w:color="auto" w:fill="FFFFFF"/>
                        <w:vAlign w:val="bottom"/>
                      </w:tcPr>
                      <w:p w:rsidR="00BB7EDA" w:rsidRDefault="007D72B3">
                        <w:pPr>
                          <w:pStyle w:val="Bodytext20"/>
                          <w:shd w:val="clear" w:color="auto" w:fill="auto"/>
                          <w:spacing w:before="0" w:line="180" w:lineRule="exact"/>
                          <w:ind w:right="760"/>
                          <w:jc w:val="right"/>
                        </w:pPr>
                        <w:r>
                          <w:rPr>
                            <w:rStyle w:val="Bodytext2Italic"/>
                          </w:rPr>
                          <w:t>'V</w:t>
                        </w:r>
                        <w:r>
                          <w:rPr>
                            <w:rStyle w:val="Bodytext275pt"/>
                          </w:rPr>
                          <w:t xml:space="preserve"> V</w:t>
                        </w:r>
                      </w:p>
                    </w:tc>
                    <w:tc>
                      <w:tcPr>
                        <w:tcW w:w="1421" w:type="dxa"/>
                        <w:shd w:val="clear" w:color="auto" w:fill="FFFFFF"/>
                        <w:vAlign w:val="bottom"/>
                      </w:tcPr>
                      <w:p w:rsidR="00BB7EDA" w:rsidRDefault="007D72B3">
                        <w:pPr>
                          <w:pStyle w:val="Bodytext20"/>
                          <w:shd w:val="clear" w:color="auto" w:fill="auto"/>
                          <w:spacing w:before="0" w:line="180" w:lineRule="exact"/>
                          <w:ind w:left="220"/>
                          <w:jc w:val="left"/>
                        </w:pPr>
                        <w:r>
                          <w:rPr>
                            <w:rStyle w:val="Bodytext21"/>
                          </w:rPr>
                          <w:t>ps</w:t>
                        </w:r>
                      </w:p>
                    </w:tc>
                  </w:tr>
                  <w:tr w:rsidR="00BB7EDA">
                    <w:tblPrEx>
                      <w:tblCellMar>
                        <w:top w:w="0" w:type="dxa"/>
                        <w:bottom w:w="0" w:type="dxa"/>
                      </w:tblCellMar>
                    </w:tblPrEx>
                    <w:trPr>
                      <w:trHeight w:hRule="exact" w:val="202"/>
                      <w:jc w:val="center"/>
                    </w:trPr>
                    <w:tc>
                      <w:tcPr>
                        <w:tcW w:w="1118" w:type="dxa"/>
                        <w:shd w:val="clear" w:color="auto" w:fill="FFFFFF"/>
                        <w:vAlign w:val="center"/>
                      </w:tcPr>
                      <w:p w:rsidR="00BB7EDA" w:rsidRDefault="007D72B3">
                        <w:pPr>
                          <w:pStyle w:val="Bodytext20"/>
                          <w:shd w:val="clear" w:color="auto" w:fill="auto"/>
                          <w:spacing w:before="0" w:line="110" w:lineRule="exact"/>
                          <w:ind w:right="760"/>
                          <w:jc w:val="right"/>
                        </w:pPr>
                        <w:r>
                          <w:rPr>
                            <w:rStyle w:val="Bodytext255pt"/>
                          </w:rPr>
                          <w:t>CD</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rPr>
                          <w:t>6</w:t>
                        </w:r>
                      </w:p>
                    </w:tc>
                  </w:tr>
                  <w:tr w:rsidR="00BB7EDA">
                    <w:tblPrEx>
                      <w:tblCellMar>
                        <w:top w:w="0" w:type="dxa"/>
                        <w:bottom w:w="0" w:type="dxa"/>
                      </w:tblCellMar>
                    </w:tblPrEx>
                    <w:trPr>
                      <w:trHeight w:hRule="exact" w:val="245"/>
                      <w:jc w:val="center"/>
                    </w:trPr>
                    <w:tc>
                      <w:tcPr>
                        <w:tcW w:w="1118" w:type="dxa"/>
                        <w:shd w:val="clear" w:color="auto" w:fill="FFFFFF"/>
                      </w:tcPr>
                      <w:p w:rsidR="00BB7EDA" w:rsidRDefault="007D72B3">
                        <w:pPr>
                          <w:pStyle w:val="Bodytext20"/>
                          <w:shd w:val="clear" w:color="auto" w:fill="auto"/>
                          <w:spacing w:before="0" w:line="150" w:lineRule="exact"/>
                          <w:jc w:val="left"/>
                        </w:pPr>
                        <w:r>
                          <w:rPr>
                            <w:rStyle w:val="Bodytext275pt"/>
                          </w:rPr>
                          <w:t>'</w:t>
                        </w:r>
                      </w:p>
                    </w:tc>
                    <w:tc>
                      <w:tcPr>
                        <w:tcW w:w="1421" w:type="dxa"/>
                        <w:shd w:val="clear" w:color="auto" w:fill="FFFFFF"/>
                      </w:tcPr>
                      <w:p w:rsidR="00BB7EDA" w:rsidRDefault="007D72B3">
                        <w:pPr>
                          <w:pStyle w:val="Bodytext20"/>
                          <w:shd w:val="clear" w:color="auto" w:fill="auto"/>
                          <w:spacing w:before="0" w:line="180" w:lineRule="exact"/>
                          <w:ind w:left="220"/>
                          <w:jc w:val="left"/>
                        </w:pPr>
                        <w:r>
                          <w:rPr>
                            <w:rStyle w:val="Bodytext21"/>
                          </w:rPr>
                          <w:t>h</w:t>
                        </w:r>
                      </w:p>
                    </w:tc>
                  </w:tr>
                  <w:tr w:rsidR="00BB7EDA">
                    <w:tblPrEx>
                      <w:tblCellMar>
                        <w:top w:w="0" w:type="dxa"/>
                        <w:bottom w:w="0" w:type="dxa"/>
                      </w:tblCellMar>
                    </w:tblPrEx>
                    <w:trPr>
                      <w:trHeight w:hRule="exact" w:val="235"/>
                      <w:jc w:val="center"/>
                    </w:trPr>
                    <w:tc>
                      <w:tcPr>
                        <w:tcW w:w="1118" w:type="dxa"/>
                        <w:shd w:val="clear" w:color="auto" w:fill="FFFFFF"/>
                        <w:vAlign w:val="bottom"/>
                      </w:tcPr>
                      <w:p w:rsidR="00BB7EDA" w:rsidRDefault="007D72B3">
                        <w:pPr>
                          <w:pStyle w:val="Bodytext20"/>
                          <w:shd w:val="clear" w:color="auto" w:fill="auto"/>
                          <w:spacing w:before="0" w:line="180" w:lineRule="exact"/>
                          <w:jc w:val="left"/>
                        </w:pPr>
                        <w:r>
                          <w:rPr>
                            <w:rStyle w:val="Bodytext2Italic"/>
                          </w:rPr>
                          <w:t>11</w:t>
                        </w:r>
                      </w:p>
                    </w:tc>
                    <w:tc>
                      <w:tcPr>
                        <w:tcW w:w="1421" w:type="dxa"/>
                        <w:shd w:val="clear" w:color="auto" w:fill="FFFFFF"/>
                        <w:vAlign w:val="bottom"/>
                      </w:tcPr>
                      <w:p w:rsidR="00BB7EDA" w:rsidRDefault="007D72B3">
                        <w:pPr>
                          <w:pStyle w:val="Bodytext20"/>
                          <w:shd w:val="clear" w:color="auto" w:fill="auto"/>
                          <w:spacing w:before="0" w:line="150" w:lineRule="exact"/>
                          <w:ind w:left="220"/>
                          <w:jc w:val="left"/>
                        </w:pPr>
                        <w:r>
                          <w:rPr>
                            <w:rStyle w:val="Bodytext275pt"/>
                            <w:vertAlign w:val="superscript"/>
                          </w:rPr>
                          <w:t>n</w:t>
                        </w:r>
                        <w:r>
                          <w:rPr>
                            <w:rStyle w:val="Bodytext275pt"/>
                          </w:rPr>
                          <w:t>§</w:t>
                        </w:r>
                      </w:p>
                    </w:tc>
                  </w:tr>
                  <w:tr w:rsidR="00BB7EDA">
                    <w:tblPrEx>
                      <w:tblCellMar>
                        <w:top w:w="0" w:type="dxa"/>
                        <w:bottom w:w="0" w:type="dxa"/>
                      </w:tblCellMar>
                    </w:tblPrEx>
                    <w:trPr>
                      <w:trHeight w:hRule="exact" w:val="240"/>
                      <w:jc w:val="center"/>
                    </w:trPr>
                    <w:tc>
                      <w:tcPr>
                        <w:tcW w:w="1118" w:type="dxa"/>
                        <w:shd w:val="clear" w:color="auto" w:fill="FFFFFF"/>
                      </w:tcPr>
                      <w:p w:rsidR="00BB7EDA" w:rsidRDefault="00BB7EDA">
                        <w:pPr>
                          <w:rPr>
                            <w:sz w:val="10"/>
                            <w:szCs w:val="10"/>
                          </w:rPr>
                        </w:pPr>
                      </w:p>
                    </w:tc>
                    <w:tc>
                      <w:tcPr>
                        <w:tcW w:w="1421" w:type="dxa"/>
                        <w:shd w:val="clear" w:color="auto" w:fill="FFFFFF"/>
                        <w:vAlign w:val="bottom"/>
                      </w:tcPr>
                      <w:p w:rsidR="00BB7EDA" w:rsidRDefault="007D72B3">
                        <w:pPr>
                          <w:pStyle w:val="Bodytext20"/>
                          <w:shd w:val="clear" w:color="auto" w:fill="auto"/>
                          <w:spacing w:before="0" w:line="180" w:lineRule="exact"/>
                          <w:ind w:left="220"/>
                          <w:jc w:val="left"/>
                        </w:pPr>
                        <w:r>
                          <w:rPr>
                            <w:rStyle w:val="Bodytext21"/>
                          </w:rPr>
                          <w:t>ngx</w:t>
                        </w:r>
                      </w:p>
                    </w:tc>
                  </w:tr>
                  <w:tr w:rsidR="00BB7EDA">
                    <w:tblPrEx>
                      <w:tblCellMar>
                        <w:top w:w="0" w:type="dxa"/>
                        <w:bottom w:w="0" w:type="dxa"/>
                      </w:tblCellMar>
                    </w:tblPrEx>
                    <w:trPr>
                      <w:trHeight w:hRule="exact" w:val="206"/>
                      <w:jc w:val="center"/>
                    </w:trPr>
                    <w:tc>
                      <w:tcPr>
                        <w:tcW w:w="1118" w:type="dxa"/>
                        <w:shd w:val="clear" w:color="auto" w:fill="FFFFFF"/>
                      </w:tcPr>
                      <w:p w:rsidR="00BB7EDA" w:rsidRDefault="007D72B3">
                        <w:pPr>
                          <w:pStyle w:val="Bodytext20"/>
                          <w:shd w:val="clear" w:color="auto" w:fill="auto"/>
                          <w:spacing w:before="0" w:line="150" w:lineRule="exact"/>
                          <w:jc w:val="left"/>
                        </w:pPr>
                        <w:r>
                          <w:rPr>
                            <w:rStyle w:val="Bodytext275pt"/>
                          </w:rPr>
                          <w:t>EU</w:t>
                        </w:r>
                      </w:p>
                    </w:tc>
                    <w:tc>
                      <w:tcPr>
                        <w:tcW w:w="1421" w:type="dxa"/>
                        <w:shd w:val="clear" w:color="auto" w:fill="FFFFFF"/>
                      </w:tcPr>
                      <w:p w:rsidR="00BB7EDA" w:rsidRDefault="007D72B3">
                        <w:pPr>
                          <w:pStyle w:val="Bodytext20"/>
                          <w:shd w:val="clear" w:color="auto" w:fill="auto"/>
                          <w:spacing w:before="0" w:line="180" w:lineRule="exact"/>
                          <w:ind w:left="220"/>
                          <w:jc w:val="left"/>
                        </w:pPr>
                        <w:r>
                          <w:rPr>
                            <w:rStyle w:val="Bodytext21"/>
                          </w:rPr>
                          <w:t>eu</w:t>
                        </w:r>
                      </w:p>
                    </w:tc>
                  </w:tr>
                  <w:tr w:rsidR="00BB7EDA">
                    <w:tblPrEx>
                      <w:tblCellMar>
                        <w:top w:w="0" w:type="dxa"/>
                        <w:bottom w:w="0" w:type="dxa"/>
                      </w:tblCellMar>
                    </w:tblPrEx>
                    <w:trPr>
                      <w:trHeight w:hRule="exact" w:val="187"/>
                      <w:jc w:val="center"/>
                    </w:trPr>
                    <w:tc>
                      <w:tcPr>
                        <w:tcW w:w="1118" w:type="dxa"/>
                        <w:shd w:val="clear" w:color="auto" w:fill="FFFFFF"/>
                        <w:vAlign w:val="bottom"/>
                      </w:tcPr>
                      <w:p w:rsidR="00BB7EDA" w:rsidRDefault="007D72B3">
                        <w:pPr>
                          <w:pStyle w:val="Bodytext20"/>
                          <w:shd w:val="clear" w:color="auto" w:fill="auto"/>
                          <w:spacing w:before="0" w:line="150" w:lineRule="exact"/>
                          <w:jc w:val="left"/>
                        </w:pPr>
                        <w:r>
                          <w:rPr>
                            <w:rStyle w:val="Bodytext275pt"/>
                          </w:rPr>
                          <w:t>07)</w:t>
                        </w:r>
                      </w:p>
                    </w:tc>
                    <w:tc>
                      <w:tcPr>
                        <w:tcW w:w="1421" w:type="dxa"/>
                        <w:shd w:val="clear" w:color="auto" w:fill="FFFFFF"/>
                        <w:vAlign w:val="bottom"/>
                      </w:tcPr>
                      <w:p w:rsidR="00BB7EDA" w:rsidRDefault="007D72B3">
                        <w:pPr>
                          <w:pStyle w:val="Bodytext20"/>
                          <w:shd w:val="clear" w:color="auto" w:fill="auto"/>
                          <w:spacing w:before="0" w:line="180" w:lineRule="exact"/>
                          <w:ind w:left="220"/>
                          <w:jc w:val="left"/>
                        </w:pPr>
                        <w:r>
                          <w:rPr>
                            <w:rStyle w:val="Bodytext21"/>
                          </w:rPr>
                          <w:t>ou</w:t>
                        </w:r>
                      </w:p>
                    </w:tc>
                  </w:tr>
                </w:tbl>
                <w:p w:rsidR="00BB7EDA" w:rsidRDefault="00BB7EDA">
                  <w:pPr>
                    <w:rPr>
                      <w:sz w:val="2"/>
                      <w:szCs w:val="2"/>
                    </w:rPr>
                  </w:pPr>
                </w:p>
              </w:txbxContent>
            </v:textbox>
            <w10:wrap type="square" side="right" anchorx="margin"/>
          </v:shape>
        </w:pict>
      </w:r>
      <w:r>
        <w:t xml:space="preserve">kurzes </w:t>
      </w:r>
      <w:r>
        <w:rPr>
          <w:rStyle w:val="Bodytext2Italic0"/>
        </w:rPr>
        <w:t>e</w:t>
      </w:r>
    </w:p>
    <w:p w:rsidR="00BB7EDA" w:rsidRDefault="007D72B3">
      <w:pPr>
        <w:pStyle w:val="Bodytext20"/>
        <w:shd w:val="clear" w:color="auto" w:fill="auto"/>
        <w:spacing w:before="0"/>
        <w:jc w:val="left"/>
      </w:pPr>
      <w:r>
        <w:t xml:space="preserve">langes </w:t>
      </w:r>
      <w:r>
        <w:rPr>
          <w:rStyle w:val="Bodytext2Italic0"/>
        </w:rPr>
        <w:t xml:space="preserve">e </w:t>
      </w:r>
      <w:r>
        <w:t xml:space="preserve">wie </w:t>
      </w:r>
      <w:r>
        <w:rPr>
          <w:rStyle w:val="Bodytext2Italic0"/>
        </w:rPr>
        <w:t>Th</w:t>
      </w:r>
      <w:r>
        <w:t xml:space="preserve"> in </w:t>
      </w:r>
      <w:r>
        <w:rPr>
          <w:rStyle w:val="Bodytext2Italic0"/>
        </w:rPr>
        <w:t>Thon</w:t>
      </w:r>
    </w:p>
    <w:p w:rsidR="00BB7EDA" w:rsidRDefault="007D72B3">
      <w:pPr>
        <w:pStyle w:val="Bodytext20"/>
        <w:shd w:val="clear" w:color="auto" w:fill="auto"/>
        <w:spacing w:before="0" w:after="244"/>
        <w:jc w:val="left"/>
      </w:pPr>
      <w:r>
        <w:t xml:space="preserve">langes od. kurzes </w:t>
      </w:r>
      <w:r>
        <w:rPr>
          <w:rStyle w:val="Bodytext2Italic0"/>
        </w:rPr>
        <w:t>i; j</w:t>
      </w:r>
      <w:r>
        <w:t xml:space="preserve"> wie in </w:t>
      </w:r>
      <w:r>
        <w:rPr>
          <w:rStyle w:val="Bodytext2Italic0"/>
        </w:rPr>
        <w:t xml:space="preserve">Ja </w:t>
      </w:r>
      <w:r>
        <w:t xml:space="preserve">kurzes </w:t>
      </w:r>
      <w:r>
        <w:rPr>
          <w:rStyle w:val="Bodytext2Italic0"/>
        </w:rPr>
        <w:t xml:space="preserve">o ü </w:t>
      </w:r>
      <w:r>
        <w:t xml:space="preserve">langes </w:t>
      </w:r>
      <w:r>
        <w:rPr>
          <w:rStyle w:val="Bodytext2Italic0"/>
        </w:rPr>
        <w:t>o</w:t>
      </w:r>
    </w:p>
    <w:p w:rsidR="00BB7EDA" w:rsidRDefault="007D72B3">
      <w:pPr>
        <w:pStyle w:val="Bodytext80"/>
        <w:shd w:val="clear" w:color="auto" w:fill="auto"/>
        <w:spacing w:after="277"/>
        <w:jc w:val="left"/>
      </w:pPr>
      <w:r>
        <w:rPr>
          <w:rStyle w:val="Bodytext8NotItalic"/>
        </w:rPr>
        <w:t xml:space="preserve">wie </w:t>
      </w:r>
      <w:r>
        <w:t>ng</w:t>
      </w:r>
      <w:r>
        <w:rPr>
          <w:rStyle w:val="Bodytext8NotItalic"/>
        </w:rPr>
        <w:t xml:space="preserve"> in </w:t>
      </w:r>
      <w:r>
        <w:t xml:space="preserve">ging </w:t>
      </w:r>
      <w:r>
        <w:rPr>
          <w:rStyle w:val="Bodytext8NotItalic"/>
        </w:rPr>
        <w:t xml:space="preserve">wie </w:t>
      </w:r>
      <w:r>
        <w:t>ngx</w:t>
      </w:r>
      <w:r>
        <w:rPr>
          <w:rStyle w:val="Bodytext8NotItalic"/>
        </w:rPr>
        <w:t xml:space="preserve"> in </w:t>
      </w:r>
      <w:r>
        <w:t xml:space="preserve">sphingx </w:t>
      </w:r>
      <w:r>
        <w:rPr>
          <w:rStyle w:val="Bodytext8NotItalic"/>
        </w:rPr>
        <w:t xml:space="preserve">wie </w:t>
      </w:r>
      <w:r>
        <w:t>eu</w:t>
      </w:r>
      <w:r>
        <w:rPr>
          <w:rStyle w:val="Bodytext8NotItalic"/>
        </w:rPr>
        <w:t xml:space="preserve"> in </w:t>
      </w:r>
      <w:r>
        <w:t>heute u</w:t>
      </w:r>
    </w:p>
    <w:p w:rsidR="00BB7EDA" w:rsidRDefault="007D72B3">
      <w:pPr>
        <w:pStyle w:val="Heading50"/>
        <w:keepNext/>
        <w:keepLines/>
        <w:shd w:val="clear" w:color="auto" w:fill="auto"/>
        <w:spacing w:after="158" w:line="180" w:lineRule="exact"/>
        <w:jc w:val="left"/>
      </w:pPr>
      <w:bookmarkStart w:id="9" w:name="bookmark8"/>
      <w:r>
        <w:t>Sumerisch, Akkadisch, Ägyptisch etc.</w:t>
      </w:r>
      <w:bookmarkEnd w:id="9"/>
    </w:p>
    <w:p w:rsidR="00BB7EDA" w:rsidRDefault="007D72B3">
      <w:pPr>
        <w:pStyle w:val="Bodytext20"/>
        <w:shd w:val="clear" w:color="auto" w:fill="auto"/>
        <w:spacing w:before="0" w:line="226" w:lineRule="exact"/>
      </w:pPr>
      <w:r>
        <w:t>Bei der Transkription von Wörtern aus dem Sumerischen, Akkadi- schen, Ägyptischen etc. war ich darauf bedacht, eine möglichst einfache Schrift, die jedoch das hier verfolgte Ziel erfüllt, zu verwen</w:t>
      </w:r>
      <w:r>
        <w:softHyphen/>
        <w:t xml:space="preserve">den. Bei der </w:t>
      </w:r>
      <w:r>
        <w:t>vorliegenden Publikation handelt es sich um eine interdisziplinäre Arbeit, die einer möglichst breiten Leserschaft zu</w:t>
      </w:r>
      <w:r>
        <w:softHyphen/>
        <w:t>gänglich gemacht werden soll. Durch komplizierte Umschriften würde dies unnötig erschwert werden.</w:t>
      </w:r>
      <w:r>
        <w:br w:type="page"/>
      </w:r>
    </w:p>
    <w:p w:rsidR="00BB7EDA" w:rsidRDefault="007D72B3">
      <w:pPr>
        <w:pStyle w:val="Heading30"/>
        <w:keepNext/>
        <w:keepLines/>
        <w:shd w:val="clear" w:color="auto" w:fill="auto"/>
        <w:spacing w:after="207" w:line="260" w:lineRule="exact"/>
      </w:pPr>
      <w:bookmarkStart w:id="10" w:name="bookmark9"/>
      <w:r>
        <w:t>Vorwort</w:t>
      </w:r>
      <w:bookmarkEnd w:id="10"/>
    </w:p>
    <w:p w:rsidR="00BB7EDA" w:rsidRDefault="007D72B3">
      <w:pPr>
        <w:pStyle w:val="Bodytext20"/>
        <w:shd w:val="clear" w:color="auto" w:fill="auto"/>
        <w:spacing w:before="0" w:line="226" w:lineRule="exact"/>
      </w:pPr>
      <w:r>
        <w:t>Bei der vorliegenden Veröffentl</w:t>
      </w:r>
      <w:r>
        <w:t>ichung handelt es sich um eine wis</w:t>
      </w:r>
      <w:r>
        <w:softHyphen/>
        <w:t>senschaftliche Arbeit, die ich für eine amerikanische Hochschule geschrieben habe, nämlich für das Whitefield Theological Seminary in Lakeland (Florida), und zwar in Verbindung mit seinem europäi</w:t>
      </w:r>
      <w:r>
        <w:softHyphen/>
        <w:t>schen Studienzentrum, dem</w:t>
      </w:r>
      <w:r>
        <w:t xml:space="preserve"> Martin Bucer Seminar. Sie wurde im Juni </w:t>
      </w:r>
      <w:r>
        <w:rPr>
          <w:rStyle w:val="Bodytext28pt"/>
        </w:rPr>
        <w:t xml:space="preserve">2000 </w:t>
      </w:r>
      <w:r>
        <w:t xml:space="preserve">bei Herrn Prof. Dr. Thomas </w:t>
      </w:r>
      <w:r>
        <w:rPr>
          <w:rStyle w:val="Bodytext28ptSmallCaps"/>
        </w:rPr>
        <w:t xml:space="preserve">Schirrmacher </w:t>
      </w:r>
      <w:r>
        <w:t>(Theologie, Anthropologie) eingereicht.</w:t>
      </w:r>
    </w:p>
    <w:p w:rsidR="00BB7EDA" w:rsidRDefault="007D72B3">
      <w:pPr>
        <w:pStyle w:val="Bodytext20"/>
        <w:shd w:val="clear" w:color="auto" w:fill="auto"/>
        <w:spacing w:before="0" w:line="226" w:lineRule="exact"/>
        <w:ind w:firstLine="340"/>
      </w:pPr>
      <w:r>
        <w:t>Bei dieser Studie geht es um eine interdisziplinäre Untersu</w:t>
      </w:r>
      <w:r>
        <w:softHyphen/>
        <w:t>chung, hauptsächlich in den Bereichen Linguistik, Philologie und Theol</w:t>
      </w:r>
      <w:r>
        <w:t>ogie. In den Randbereichen spielen allerdings noch weitere Fachgebiete hinein. Diesem besonderen Umstand entspricht die allgemeinverständliche Sprache in diesem Buch. Die hiermit veröf</w:t>
      </w:r>
      <w:r>
        <w:softHyphen/>
        <w:t>fentlichten Ergebnisse sollen nicht fachspezifisch gehütet werden, sond</w:t>
      </w:r>
      <w:r>
        <w:t>ern jedem Interessenten zugänglich sein, von welcher Seite er auch herkommen mag. Deswegen habe ich z.B. auch auf die Ver</w:t>
      </w:r>
      <w:r>
        <w:softHyphen/>
        <w:t>wendung von hebräischen und griechischen Zeichensätzen verzich</w:t>
      </w:r>
      <w:r>
        <w:softHyphen/>
        <w:t>tet und stattdessen eine sehr einfache Umschrift verwendet.</w:t>
      </w:r>
    </w:p>
    <w:p w:rsidR="00BB7EDA" w:rsidRDefault="007D72B3">
      <w:pPr>
        <w:pStyle w:val="Bodytext20"/>
        <w:shd w:val="clear" w:color="auto" w:fill="auto"/>
        <w:spacing w:before="0" w:line="226" w:lineRule="exact"/>
        <w:ind w:firstLine="340"/>
      </w:pPr>
      <w:r>
        <w:t>Im Blick au</w:t>
      </w:r>
      <w:r>
        <w:t xml:space="preserve">f die Drucklegung habe ich verschiedene Hinweise und Korrekturen, die ich der Linguistin Frau Prof. Dr. Ursula </w:t>
      </w:r>
      <w:r>
        <w:rPr>
          <w:rStyle w:val="Bodytext28ptSmallCaps"/>
        </w:rPr>
        <w:t>Wiese</w:t>
      </w:r>
      <w:r>
        <w:rPr>
          <w:rStyle w:val="Bodytext28ptSmallCaps"/>
        </w:rPr>
        <w:softHyphen/>
        <w:t xml:space="preserve">mann </w:t>
      </w:r>
      <w:r>
        <w:t>verdanke, eingearbeitet. An dieser Stelle danke ich ihr herzlich für die Durchsicht des Manuskripts.</w:t>
      </w:r>
    </w:p>
    <w:p w:rsidR="00BB7EDA" w:rsidRDefault="007D72B3">
      <w:pPr>
        <w:pStyle w:val="Bodytext20"/>
        <w:shd w:val="clear" w:color="auto" w:fill="auto"/>
        <w:spacing w:before="0" w:line="226" w:lineRule="exact"/>
        <w:ind w:firstLine="340"/>
      </w:pPr>
      <w:r>
        <w:t xml:space="preserve">Im Kern gehen die nachfolgenden </w:t>
      </w:r>
      <w:r>
        <w:t>Ausführungen zurück auf ein Buch, das ich bereits 1991 unter dem Titel „Der Mensch - ein sprechender Affe?" veröffentlicht hatte. U.a. wurde ich durch die sehr positive Reaktion, die ich daraufhin von dem weltweit bedeu</w:t>
      </w:r>
      <w:r>
        <w:softHyphen/>
        <w:t>tenden Philologen Prof. Dr. Shelomoh</w:t>
      </w:r>
      <w:r>
        <w:t xml:space="preserve"> </w:t>
      </w:r>
      <w:r>
        <w:rPr>
          <w:rStyle w:val="Bodytext28ptSmallCaps"/>
        </w:rPr>
        <w:t xml:space="preserve">Morag </w:t>
      </w:r>
      <w:r>
        <w:t>(Hebräische Universi</w:t>
      </w:r>
      <w:r>
        <w:softHyphen/>
        <w:t>tät Jerusalem) erhalten hatte, sehr ermutigt. Was vor Jahren ein Anfangswerk war, habe ich später durch weitere Forschungen stark ausgebaut und vertieft. Das Ergebnis liegt nun vor.</w:t>
      </w:r>
    </w:p>
    <w:p w:rsidR="00BB7EDA" w:rsidRDefault="007D72B3">
      <w:pPr>
        <w:pStyle w:val="Bodytext20"/>
        <w:shd w:val="clear" w:color="auto" w:fill="auto"/>
        <w:spacing w:before="0" w:after="46" w:line="226" w:lineRule="exact"/>
        <w:ind w:firstLine="340"/>
      </w:pPr>
      <w:r>
        <w:t>Es ist mein Anliegen, dass der nachfolgende Be</w:t>
      </w:r>
      <w:r>
        <w:t>itrag zur Ausein</w:t>
      </w:r>
      <w:r>
        <w:softHyphen/>
        <w:t>andersetzung um Schöpfung und Evolution klärend wirkt und zu weiteren Arbeiten anregt, zumal die hier vorgetragenen Argumente aus einer eher überraschenden und in den vergangenen Jahrzehnten in diesem Zusammenhang vernachlässigten Stoßrich</w:t>
      </w:r>
      <w:r>
        <w:t>tung einge</w:t>
      </w:r>
      <w:r>
        <w:softHyphen/>
        <w:t>bracht werden.</w:t>
      </w:r>
    </w:p>
    <w:p w:rsidR="00BB7EDA" w:rsidRDefault="007D72B3">
      <w:pPr>
        <w:pStyle w:val="Bodytext20"/>
        <w:shd w:val="clear" w:color="auto" w:fill="auto"/>
        <w:spacing w:before="0" w:line="394" w:lineRule="exact"/>
        <w:ind w:right="4620"/>
        <w:jc w:val="left"/>
        <w:sectPr w:rsidR="00BB7EDA">
          <w:footerReference w:type="even" r:id="rId15"/>
          <w:footerReference w:type="default" r:id="rId16"/>
          <w:footerReference w:type="first" r:id="rId17"/>
          <w:pgSz w:w="7266" w:h="11422"/>
          <w:pgMar w:top="653" w:right="819" w:bottom="1079" w:left="788" w:header="0" w:footer="3" w:gutter="0"/>
          <w:cols w:space="720"/>
          <w:noEndnote/>
          <w:titlePg/>
          <w:docGrid w:linePitch="360"/>
        </w:sectPr>
      </w:pPr>
      <w:r>
        <w:t>Roger Liebi März 2003</w:t>
      </w:r>
    </w:p>
    <w:p w:rsidR="00BB7EDA" w:rsidRDefault="007D72B3">
      <w:pPr>
        <w:pStyle w:val="Heading30"/>
        <w:keepNext/>
        <w:keepLines/>
        <w:numPr>
          <w:ilvl w:val="0"/>
          <w:numId w:val="39"/>
        </w:numPr>
        <w:shd w:val="clear" w:color="auto" w:fill="auto"/>
        <w:tabs>
          <w:tab w:val="left" w:pos="382"/>
        </w:tabs>
        <w:spacing w:after="418" w:line="260" w:lineRule="exact"/>
      </w:pPr>
      <w:bookmarkStart w:id="11" w:name="bookmark10"/>
      <w:r>
        <w:t>Einleitung</w:t>
      </w:r>
      <w:bookmarkEnd w:id="11"/>
    </w:p>
    <w:p w:rsidR="00BB7EDA" w:rsidRDefault="007D72B3">
      <w:pPr>
        <w:pStyle w:val="Heading40"/>
        <w:keepNext/>
        <w:keepLines/>
        <w:numPr>
          <w:ilvl w:val="1"/>
          <w:numId w:val="39"/>
        </w:numPr>
        <w:shd w:val="clear" w:color="auto" w:fill="auto"/>
        <w:tabs>
          <w:tab w:val="left" w:pos="390"/>
        </w:tabs>
        <w:spacing w:after="428" w:line="210" w:lineRule="exact"/>
      </w:pPr>
      <w:bookmarkStart w:id="12" w:name="bookmark11"/>
      <w:r>
        <w:t>Zur Geschichte des Evolutionismus</w:t>
      </w:r>
      <w:bookmarkEnd w:id="12"/>
    </w:p>
    <w:p w:rsidR="00BB7EDA" w:rsidRDefault="007D72B3">
      <w:pPr>
        <w:pStyle w:val="Heading50"/>
        <w:keepNext/>
        <w:keepLines/>
        <w:numPr>
          <w:ilvl w:val="2"/>
          <w:numId w:val="39"/>
        </w:numPr>
        <w:shd w:val="clear" w:color="auto" w:fill="auto"/>
        <w:tabs>
          <w:tab w:val="left" w:pos="495"/>
        </w:tabs>
        <w:spacing w:after="163" w:line="180" w:lineRule="exact"/>
      </w:pPr>
      <w:bookmarkStart w:id="13" w:name="bookmark12"/>
      <w:r>
        <w:rPr>
          <w:rStyle w:val="Heading58ptSmallCaps"/>
          <w:b/>
          <w:bCs/>
        </w:rPr>
        <w:t xml:space="preserve">Darwins </w:t>
      </w:r>
      <w:r>
        <w:t>Publikationen</w:t>
      </w:r>
      <w:bookmarkEnd w:id="13"/>
    </w:p>
    <w:p w:rsidR="00BB7EDA" w:rsidRDefault="007D72B3">
      <w:pPr>
        <w:pStyle w:val="Bodytext20"/>
        <w:shd w:val="clear" w:color="auto" w:fill="auto"/>
        <w:spacing w:before="0" w:line="226" w:lineRule="exact"/>
      </w:pPr>
      <w:r>
        <w:t xml:space="preserve">Im Jahr 1859 gab der Engländer Charles </w:t>
      </w:r>
      <w:r>
        <w:rPr>
          <w:rStyle w:val="Bodytext28ptSmallCapsSpacing0pt"/>
        </w:rPr>
        <w:t xml:space="preserve">Darwin </w:t>
      </w:r>
      <w:r>
        <w:t xml:space="preserve">sein Buch </w:t>
      </w:r>
      <w:r>
        <w:t>„Die Entstehung der Arten durch natürliche Selektion"</w:t>
      </w:r>
      <w:r>
        <w:rPr>
          <w:vertAlign w:val="superscript"/>
        </w:rPr>
        <w:footnoteReference w:id="3"/>
      </w:r>
      <w:r>
        <w:t xml:space="preserve"> heraus. 1871 folgte eine weitere Veröffentlichung mit dem Titel „Die Abstam</w:t>
      </w:r>
      <w:r>
        <w:softHyphen/>
        <w:t>mung des Menschen".</w:t>
      </w:r>
      <w:r>
        <w:rPr>
          <w:vertAlign w:val="superscript"/>
        </w:rPr>
        <w:footnoteReference w:id="4"/>
      </w:r>
      <w:r>
        <w:t xml:space="preserve"> Der Erfolg dieser Publikationen warenorm. Darwin gelang es dadurch, den Gedanken einer biologischen Evo</w:t>
      </w:r>
      <w:r>
        <w:softHyphen/>
      </w:r>
      <w:r>
        <w:t>lution im Abendland bei vielen Intellektuellen populär zu machen.</w:t>
      </w:r>
    </w:p>
    <w:p w:rsidR="00BB7EDA" w:rsidRDefault="007D72B3">
      <w:pPr>
        <w:pStyle w:val="Bodytext20"/>
        <w:shd w:val="clear" w:color="auto" w:fill="auto"/>
        <w:spacing w:before="0" w:after="277" w:line="226" w:lineRule="exact"/>
        <w:ind w:firstLine="320"/>
      </w:pPr>
      <w:r>
        <w:t xml:space="preserve">Es ist nicht so, dass Charles </w:t>
      </w:r>
      <w:r>
        <w:rPr>
          <w:rStyle w:val="Bodytext28ptSmallCapsSpacing0pt"/>
        </w:rPr>
        <w:t xml:space="preserve">Darwin </w:t>
      </w:r>
      <w:r>
        <w:t>etwa der Erfinder des Evolutionsgedankens gewesen wäre. Er hat ihn lediglich zu einem Zeitpunkt, als das geistige Klima unter den Akademikern dafür übera</w:t>
      </w:r>
      <w:r>
        <w:t>us empfänglich war, in einer damals ansprechenden Art publizistisch neu aufgemacht und durch seine Forschungsergeb</w:t>
      </w:r>
      <w:r>
        <w:softHyphen/>
        <w:t>nisse aktualisiert. Die durch den Zeitgeist bedingte allgemein gro</w:t>
      </w:r>
      <w:r>
        <w:softHyphen/>
        <w:t>ße Akzeptanz einer biologischen Entwicklungslehre war bereits durch die Au</w:t>
      </w:r>
      <w:r>
        <w:t>fklärung sorgfältig und behutsam vorbereitet wor</w:t>
      </w:r>
      <w:r>
        <w:softHyphen/>
        <w:t>den. Der Glaube an eine soziale, kulturelle und ökonomische Evo</w:t>
      </w:r>
      <w:r>
        <w:softHyphen/>
        <w:t>lution war ja unter den progressiven Philosophen der Aufklärung im 18. Jahrhundert weit verbreitet. Aber auch sie waren nicht die Urheber der E</w:t>
      </w:r>
      <w:r>
        <w:t>ntwicklungslehre. Die Idee einer Evolution findet man schon bei vielen der antiken griechischen Philosophen.</w:t>
      </w:r>
      <w:r>
        <w:rPr>
          <w:vertAlign w:val="superscript"/>
        </w:rPr>
        <w:footnoteReference w:id="5"/>
      </w:r>
    </w:p>
    <w:p w:rsidR="00BB7EDA" w:rsidRDefault="007D72B3">
      <w:pPr>
        <w:pStyle w:val="Heading50"/>
        <w:keepNext/>
        <w:keepLines/>
        <w:numPr>
          <w:ilvl w:val="2"/>
          <w:numId w:val="39"/>
        </w:numPr>
        <w:shd w:val="clear" w:color="auto" w:fill="auto"/>
        <w:tabs>
          <w:tab w:val="left" w:pos="505"/>
        </w:tabs>
        <w:spacing w:after="154" w:line="180" w:lineRule="exact"/>
      </w:pPr>
      <w:bookmarkStart w:id="14" w:name="bookmark13"/>
      <w:r>
        <w:t>Die Evolutionslehre in der Antike und in der Frühgeschichte</w:t>
      </w:r>
      <w:bookmarkEnd w:id="14"/>
    </w:p>
    <w:p w:rsidR="00BB7EDA" w:rsidRDefault="007D72B3">
      <w:pPr>
        <w:pStyle w:val="Bodytext20"/>
        <w:shd w:val="clear" w:color="auto" w:fill="auto"/>
        <w:spacing w:before="0"/>
      </w:pPr>
      <w:r>
        <w:t>Thaies z.B. glaubte, dass die Welt aus dem Wasser heraus entstan</w:t>
      </w:r>
      <w:r>
        <w:softHyphen/>
        <w:t xml:space="preserve">den sei. Heraklit </w:t>
      </w:r>
      <w:r>
        <w:t>meinte dagegen, dass vielmehr das Feuer als Urkeim aller Dinge betrachtet werden müsste. Anaximenes sah die Luft als den Ausgangspunkt des Seins an. Anaximander lehrte, dass die Tiere sich durch Hitze und Feuchtigkeit aus der Erde heraus entwik- kelt hätte</w:t>
      </w:r>
      <w:r>
        <w:t>n.</w:t>
      </w:r>
    </w:p>
    <w:p w:rsidR="00BB7EDA" w:rsidRDefault="007D72B3">
      <w:pPr>
        <w:pStyle w:val="Bodytext20"/>
        <w:shd w:val="clear" w:color="auto" w:fill="auto"/>
        <w:spacing w:before="0"/>
        <w:ind w:firstLine="340"/>
      </w:pPr>
      <w:r>
        <w:t>Man kann aber noch viel weiter zurückgehen: Im Grunde ge</w:t>
      </w:r>
      <w:r>
        <w:softHyphen/>
        <w:t>nommen sind die noch bedeutend älteren von Naturgöttern gepräg</w:t>
      </w:r>
      <w:r>
        <w:softHyphen/>
        <w:t>ten Weltentstehungsmythen der Sumerer, der Babylonier und der Ägypter nichts anderes als Evolutionslehre, d.h. Glaube an kosmi</w:t>
      </w:r>
      <w:r>
        <w:softHyphen/>
        <w:t>sche K</w:t>
      </w:r>
      <w:r>
        <w:t>räfte in der Natur, die alles immer höher und weiter entwik- kelt hätten.</w:t>
      </w:r>
      <w:r>
        <w:rPr>
          <w:vertAlign w:val="superscript"/>
        </w:rPr>
        <w:footnoteReference w:id="6"/>
      </w:r>
    </w:p>
    <w:p w:rsidR="00BB7EDA" w:rsidRDefault="007D72B3">
      <w:pPr>
        <w:pStyle w:val="Bodytext20"/>
        <w:shd w:val="clear" w:color="auto" w:fill="auto"/>
        <w:spacing w:before="0" w:after="220"/>
        <w:ind w:firstLine="340"/>
      </w:pPr>
      <w:r>
        <w:t>Durch die Verbreitung des Evangeliums in Europa wurde der Evolutionsgedanke nach und nach zurückgedrängt. Die Bibel unter</w:t>
      </w:r>
      <w:r>
        <w:softHyphen/>
        <w:t xml:space="preserve">scheidet ja mit Nachdruck und Deutlichkeit zwischen </w:t>
      </w:r>
      <w:r>
        <w:rPr>
          <w:rStyle w:val="Bodytext2Italic0"/>
        </w:rPr>
        <w:t>Gott</w:t>
      </w:r>
      <w:r>
        <w:t xml:space="preserve"> un</w:t>
      </w:r>
      <w:r>
        <w:t xml:space="preserve">d der </w:t>
      </w:r>
      <w:r>
        <w:rPr>
          <w:rStyle w:val="Bodytext2Italic0"/>
        </w:rPr>
        <w:t>Natur.</w:t>
      </w:r>
      <w:r>
        <w:t xml:space="preserve"> Dies geht bereits aus dem allerersten Vers der Heiligen Schrift hervor (Gen 1,1):</w:t>
      </w:r>
    </w:p>
    <w:p w:rsidR="00BB7EDA" w:rsidRDefault="007D72B3">
      <w:pPr>
        <w:pStyle w:val="Bodytext20"/>
        <w:shd w:val="clear" w:color="auto" w:fill="auto"/>
        <w:spacing w:before="0" w:after="168" w:line="180" w:lineRule="exact"/>
        <w:ind w:firstLine="340"/>
      </w:pPr>
      <w:r>
        <w:t>„Im Anfang schuf Gott den Himmel und die Erde."</w:t>
      </w:r>
    </w:p>
    <w:p w:rsidR="00BB7EDA" w:rsidRDefault="007D72B3">
      <w:pPr>
        <w:pStyle w:val="Bodytext20"/>
        <w:shd w:val="clear" w:color="auto" w:fill="auto"/>
        <w:spacing w:before="0" w:line="226" w:lineRule="exact"/>
        <w:ind w:firstLine="340"/>
      </w:pPr>
      <w:r>
        <w:t>„Gott"</w:t>
      </w:r>
      <w:r>
        <w:rPr>
          <w:vertAlign w:val="superscript"/>
        </w:rPr>
        <w:footnoteReference w:id="7"/>
      </w:r>
      <w:r>
        <w:t xml:space="preserve"> ist Subjekt im Satz. Die Natur, „Himmel und Erde",</w:t>
      </w:r>
      <w:r>
        <w:rPr>
          <w:vertAlign w:val="superscript"/>
        </w:rPr>
        <w:footnoteReference w:id="8"/>
      </w:r>
      <w:r>
        <w:rPr>
          <w:vertAlign w:val="superscript"/>
        </w:rPr>
        <w:t xml:space="preserve"> </w:t>
      </w:r>
      <w:r>
        <w:t xml:space="preserve">bildet hingegen das Objekt. Die Grammatik der </w:t>
      </w:r>
      <w:r>
        <w:t>biblischen Sprache macht den Unterschied glasklar: Der Schöpfer ist nicht mit der Schöpfung identisch, er ist auch nicht Teil von ihr. Der Ewige hat vielmehr die Natur aus dem Nichts ins Dasein gerufen.</w:t>
      </w:r>
      <w:r>
        <w:rPr>
          <w:vertAlign w:val="superscript"/>
        </w:rPr>
        <w:footnoteReference w:id="9"/>
      </w:r>
    </w:p>
    <w:p w:rsidR="00BB7EDA" w:rsidRDefault="007D72B3">
      <w:pPr>
        <w:pStyle w:val="Bodytext20"/>
        <w:shd w:val="clear" w:color="auto" w:fill="auto"/>
        <w:spacing w:before="0" w:after="277" w:line="226" w:lineRule="exact"/>
        <w:ind w:firstLine="340"/>
      </w:pPr>
      <w:r>
        <w:t>Mit dem Bruch, den die Aufklärung im Blick auf die g</w:t>
      </w:r>
      <w:r>
        <w:t>öttliche Autorität der Heiligen Schrift vollzogen hatte, kam das im Grunde genommen durch und durch heidnische Entwicklungsdenken je</w:t>
      </w:r>
      <w:r>
        <w:softHyphen/>
        <w:t>doch wieder auf. Mehr und mehr schrieb man der Natur selbst erneut göttliche Schöpfungskräfte zu. Dies aber fällt unter das</w:t>
      </w:r>
      <w:r>
        <w:t xml:space="preserve"> schar</w:t>
      </w:r>
      <w:r>
        <w:softHyphen/>
        <w:t>fe religionskritische Urteil des Römerbriefes (Röm l,18ff.):</w:t>
      </w:r>
      <w:r>
        <w:rPr>
          <w:vertAlign w:val="superscript"/>
        </w:rPr>
        <w:footnoteReference w:id="10"/>
      </w:r>
      <w:r>
        <w:t xml:space="preserve"> Anstatt dem Schöpfer die ihm gebührende Ehre zu geben, verehrt man in götzendienerischer Weise die Schöpfung.</w:t>
      </w:r>
    </w:p>
    <w:p w:rsidR="00BB7EDA" w:rsidRDefault="007D72B3">
      <w:pPr>
        <w:pStyle w:val="Heading50"/>
        <w:keepNext/>
        <w:keepLines/>
        <w:numPr>
          <w:ilvl w:val="2"/>
          <w:numId w:val="39"/>
        </w:numPr>
        <w:shd w:val="clear" w:color="auto" w:fill="auto"/>
        <w:tabs>
          <w:tab w:val="left" w:pos="505"/>
        </w:tabs>
        <w:spacing w:after="163" w:line="180" w:lineRule="exact"/>
      </w:pPr>
      <w:bookmarkStart w:id="15" w:name="bookmark14"/>
      <w:r>
        <w:rPr>
          <w:rStyle w:val="Heading58ptSmallCaps"/>
          <w:b/>
          <w:bCs/>
        </w:rPr>
        <w:t xml:space="preserve">Darwin </w:t>
      </w:r>
      <w:r>
        <w:t>und das 20. Jahrhundert</w:t>
      </w:r>
      <w:bookmarkEnd w:id="15"/>
    </w:p>
    <w:p w:rsidR="00BB7EDA" w:rsidRDefault="007D72B3">
      <w:pPr>
        <w:pStyle w:val="Bodytext20"/>
        <w:shd w:val="clear" w:color="auto" w:fill="auto"/>
        <w:spacing w:before="0" w:line="226" w:lineRule="exact"/>
      </w:pPr>
      <w:r>
        <w:rPr>
          <w:rStyle w:val="Bodytext28ptSmallCapsSpacing0pt"/>
        </w:rPr>
        <w:t xml:space="preserve">Darwins </w:t>
      </w:r>
      <w:r>
        <w:t>Ansätze wurden von anderen weiter ausg</w:t>
      </w:r>
      <w:r>
        <w:t>ebaut. Immer mehr wurde der Evolutionismus an Schulen und Universitäten gelehrt, zunehmend als reine Selbstverständlichkeit. Auch die Mas</w:t>
      </w:r>
      <w:r>
        <w:softHyphen/>
        <w:t>senmedien leisteten ihren großen Beitrag an seiner Verbreitung.</w:t>
      </w:r>
    </w:p>
    <w:p w:rsidR="00BB7EDA" w:rsidRDefault="007D72B3">
      <w:pPr>
        <w:pStyle w:val="Bodytext20"/>
        <w:shd w:val="clear" w:color="auto" w:fill="auto"/>
        <w:spacing w:before="0" w:line="226" w:lineRule="exact"/>
        <w:ind w:firstLine="320"/>
      </w:pPr>
      <w:r>
        <w:t xml:space="preserve">So begannen immer mehr Menschen aus allen Schichten </w:t>
      </w:r>
      <w:r>
        <w:t>der westlichen Gesellschaft, das Weltall mit all seinen Galaxien und Sonnensystemen, die Erde, die Pflanzen, die Tiere und auch den Menschen, als Zufallsprodukt einer unwahrscheinlich langen Ent</w:t>
      </w:r>
      <w:r>
        <w:softHyphen/>
        <w:t>wicklung zu betrachten.</w:t>
      </w:r>
    </w:p>
    <w:p w:rsidR="00BB7EDA" w:rsidRDefault="007D72B3">
      <w:pPr>
        <w:pStyle w:val="Bodytext20"/>
        <w:shd w:val="clear" w:color="auto" w:fill="auto"/>
        <w:spacing w:before="0" w:line="226" w:lineRule="exact"/>
        <w:ind w:firstLine="320"/>
      </w:pPr>
      <w:r>
        <w:t>Man übertreibt wohl kaum, wenn man sa</w:t>
      </w:r>
      <w:r>
        <w:t xml:space="preserve">gt, dass </w:t>
      </w:r>
      <w:r>
        <w:rPr>
          <w:rStyle w:val="Bodytext28ptSmallCapsSpacing0pt"/>
        </w:rPr>
        <w:t xml:space="preserve">Darwin </w:t>
      </w:r>
      <w:r>
        <w:t>eine wesentliche Grundlage für das im 20. und im 21. Jahrhundert domi</w:t>
      </w:r>
      <w:r>
        <w:softHyphen/>
        <w:t>nierende moderne Weltbild gelegt hat. Erbewirkte tatsächlich einen entscheidenden Wendepunkt im Denken der breiten Masse in den Ländern der westlichen Hochzivilisation. U</w:t>
      </w:r>
      <w:r>
        <w:t>nzählige begannen, sich dadurch mehr und mehr von dem Christentum loszulösen. Für sie wurde die biblische Sicht, dass Gott die Welt und das Leben erschaf</w:t>
      </w:r>
      <w:r>
        <w:softHyphen/>
        <w:t>fen, sowie den Menschen in seinem Bild gemacht habe, nunmehr unakzeptabel."</w:t>
      </w:r>
    </w:p>
    <w:p w:rsidR="00BB7EDA" w:rsidRDefault="007D72B3">
      <w:pPr>
        <w:pStyle w:val="Bodytext20"/>
        <w:shd w:val="clear" w:color="auto" w:fill="auto"/>
        <w:spacing w:before="0" w:after="300" w:line="226" w:lineRule="exact"/>
        <w:ind w:firstLine="320"/>
      </w:pPr>
      <w:r>
        <w:rPr>
          <w:rStyle w:val="Bodytext28ptSmallCapsSpacing0pt"/>
        </w:rPr>
        <w:t xml:space="preserve">Darwins </w:t>
      </w:r>
      <w:r>
        <w:t xml:space="preserve">Lehre führte auch </w:t>
      </w:r>
      <w:r>
        <w:t>zu völlig neuen Betrachtungswei</w:t>
      </w:r>
      <w:r>
        <w:softHyphen/>
        <w:t>sen in Philosophie, Psychologie, Pädagogik, Soziologie, Geschich</w:t>
      </w:r>
      <w:r>
        <w:softHyphen/>
        <w:t>te, Astronomie, Theologie und in noch vielen anderen Fachgebie</w:t>
      </w:r>
      <w:r>
        <w:softHyphen/>
        <w:t>ten.</w:t>
      </w:r>
      <w:r>
        <w:rPr>
          <w:vertAlign w:val="superscript"/>
        </w:rPr>
        <w:footnoteReference w:id="11"/>
      </w:r>
      <w:r>
        <w:rPr>
          <w:vertAlign w:val="superscript"/>
        </w:rPr>
        <w:t xml:space="preserve"> </w:t>
      </w:r>
      <w:r>
        <w:rPr>
          <w:vertAlign w:val="superscript"/>
        </w:rPr>
        <w:footnoteReference w:id="12"/>
      </w:r>
      <w:r>
        <w:t xml:space="preserve"> </w:t>
      </w:r>
      <w:r>
        <w:rPr>
          <w:rStyle w:val="Bodytext98ptSmallCaps"/>
        </w:rPr>
        <w:t xml:space="preserve">1.1.4 Darwin </w:t>
      </w:r>
      <w:r>
        <w:rPr>
          <w:rStyle w:val="Bodytext9"/>
        </w:rPr>
        <w:t>und die Aufklärung</w:t>
      </w:r>
    </w:p>
    <w:p w:rsidR="00BB7EDA" w:rsidRDefault="007D72B3">
      <w:pPr>
        <w:pStyle w:val="Bodytext20"/>
        <w:shd w:val="clear" w:color="auto" w:fill="auto"/>
        <w:spacing w:before="0" w:line="226" w:lineRule="exact"/>
      </w:pPr>
      <w:r>
        <w:t>Der grundlegendste und tiefste Einschnitt in der Geistes</w:t>
      </w:r>
      <w:r>
        <w:t>geschichte des Abendlandes im Laufe der letzten 2000 Jahre stellt eigentlich die Aufklärung dar. Während allerdings die philosophischen Gedanken dieser Denkströmung an sich noch ziemlich leicht als rein spekulati</w:t>
      </w:r>
      <w:r>
        <w:softHyphen/>
        <w:t>ve Modeerscheinung des Zeitgeistes relativi</w:t>
      </w:r>
      <w:r>
        <w:t>ert werden konnten, so präsentierte sich die Evolutionslehre im Gegensatz dazu als unum</w:t>
      </w:r>
      <w:r>
        <w:softHyphen/>
        <w:t>stößliche „wissenschaftlich bewiesene Tatsache". Im 19. Jahrhundert wurde der Darwinismus nachträglich als „wissenschaftliches Fun</w:t>
      </w:r>
      <w:r>
        <w:softHyphen/>
        <w:t>dament" unter die seit der Aufklärung</w:t>
      </w:r>
      <w:r>
        <w:t xml:space="preserve"> entstandenen neuen Philoso</w:t>
      </w:r>
      <w:r>
        <w:softHyphen/>
        <w:t>phien geschoben. Ablehnung der Autorität der Heiligen Schrift wurde fortan als „wissenschaftlich gerechtfertigt" präsentiert.</w:t>
      </w:r>
      <w:r>
        <w:rPr>
          <w:vertAlign w:val="superscript"/>
        </w:rPr>
        <w:footnoteReference w:id="13"/>
      </w:r>
      <w:r>
        <w:t xml:space="preserve"> Hier liegt eine wichtige Ursache dafür, dass der Evolutionismus alle Gebiete der Wissenschaft dermaße</w:t>
      </w:r>
      <w:r>
        <w:t>n verändern konnte. Die Masse der gebildeten Schicht fühlte sich zunehmend gezwungen, die Entwicklungslehre als Ausgangspunkt ihres Denkens anzunehmen, falls man vermeiden wollte, das persönliche akademische Ansehen aufs Spiel zu setzen.</w:t>
      </w:r>
    </w:p>
    <w:p w:rsidR="00BB7EDA" w:rsidRDefault="007D72B3">
      <w:pPr>
        <w:pStyle w:val="Bodytext20"/>
        <w:shd w:val="clear" w:color="auto" w:fill="auto"/>
        <w:spacing w:before="0" w:after="433" w:line="226" w:lineRule="exact"/>
        <w:ind w:firstLine="320"/>
      </w:pPr>
      <w:r>
        <w:t>Hinzu kommt natürl</w:t>
      </w:r>
      <w:r>
        <w:t>ich die allgemein weit verbreitete große Akzeptanz gegenüber dem Zeitgeist. Die Aufklärung propagierte die Emanzipation des Menschen, die Herauslösung aus der so ge</w:t>
      </w:r>
      <w:r>
        <w:softHyphen/>
        <w:t xml:space="preserve">nannten Unmündigkeit vor Gott. Nun, wer sich aus seiner Bindung an den Schöpfer-Gott - die </w:t>
      </w:r>
      <w:r>
        <w:t>dadurch bedingt ist, dass wir seine Geschöpfe sind - und aus der damit verknüpften Verantwortung gegenüber den ethischen Geboten der Bibel, unbedingt ablösen will, der ist natürlich nur allzu glücklich darüber, wenn ihm versichert wird, dass man zur Erklär</w:t>
      </w:r>
      <w:r>
        <w:t>ung der Herkunft aller Dinge, angeblich aus wissenschaftlich zwingenden Gründen, auf Gott verzichten könne. Ein solcher ist im Allgemeinen überhaupt nicht motiviert, nachzufragen und genauer zu untersuchen, ob diese „Beweise" auch wirklich hieb- und stichf</w:t>
      </w:r>
      <w:r>
        <w:t>est sind.</w:t>
      </w:r>
    </w:p>
    <w:p w:rsidR="00BB7EDA" w:rsidRDefault="007D72B3">
      <w:pPr>
        <w:pStyle w:val="Heading40"/>
        <w:keepNext/>
        <w:keepLines/>
        <w:numPr>
          <w:ilvl w:val="1"/>
          <w:numId w:val="39"/>
        </w:numPr>
        <w:shd w:val="clear" w:color="auto" w:fill="auto"/>
        <w:tabs>
          <w:tab w:val="left" w:pos="394"/>
        </w:tabs>
        <w:spacing w:after="188" w:line="210" w:lineRule="exact"/>
      </w:pPr>
      <w:bookmarkStart w:id="16" w:name="bookmark15"/>
      <w:r>
        <w:t>Kritik an der Evolutionslehre</w:t>
      </w:r>
      <w:bookmarkEnd w:id="16"/>
    </w:p>
    <w:p w:rsidR="00BB7EDA" w:rsidRDefault="007D72B3">
      <w:pPr>
        <w:pStyle w:val="Bodytext90"/>
        <w:numPr>
          <w:ilvl w:val="2"/>
          <w:numId w:val="39"/>
        </w:numPr>
        <w:shd w:val="clear" w:color="auto" w:fill="auto"/>
        <w:tabs>
          <w:tab w:val="left" w:pos="495"/>
        </w:tabs>
        <w:spacing w:after="158" w:line="180" w:lineRule="exact"/>
      </w:pPr>
      <w:r>
        <w:t>Psalm 2 und die Emanzipation des Menschen</w:t>
      </w:r>
    </w:p>
    <w:p w:rsidR="00BB7EDA" w:rsidRDefault="007D72B3">
      <w:pPr>
        <w:pStyle w:val="Bodytext20"/>
        <w:shd w:val="clear" w:color="auto" w:fill="auto"/>
        <w:spacing w:before="0" w:after="56" w:line="226" w:lineRule="exact"/>
      </w:pPr>
      <w:r>
        <w:t>Schon vor 3.000 Jahren umschrieb der König David mit propheti</w:t>
      </w:r>
      <w:r>
        <w:softHyphen/>
        <w:t>schem Weitblick den Ruf nach Ablösung von Gott, den Schrei nach Emanzipation aus der Schöpfer-Hand:</w:t>
      </w:r>
    </w:p>
    <w:p w:rsidR="00BB7EDA" w:rsidRDefault="007D72B3">
      <w:pPr>
        <w:pStyle w:val="Bodytext20"/>
        <w:shd w:val="clear" w:color="auto" w:fill="auto"/>
        <w:spacing w:before="0"/>
        <w:ind w:left="320" w:right="2240"/>
        <w:jc w:val="left"/>
      </w:pPr>
      <w:r>
        <w:t>„[1] Warum t</w:t>
      </w:r>
      <w:r>
        <w:t>oben die Nationen und sinnen Eitles die Völkerschaften?</w:t>
      </w:r>
    </w:p>
    <w:p w:rsidR="00BB7EDA" w:rsidRDefault="007D72B3">
      <w:pPr>
        <w:pStyle w:val="Bodytext20"/>
        <w:numPr>
          <w:ilvl w:val="0"/>
          <w:numId w:val="40"/>
        </w:numPr>
        <w:shd w:val="clear" w:color="auto" w:fill="auto"/>
        <w:tabs>
          <w:tab w:val="left" w:pos="662"/>
        </w:tabs>
        <w:spacing w:before="0" w:line="226" w:lineRule="exact"/>
        <w:ind w:left="320" w:right="1380"/>
        <w:jc w:val="left"/>
      </w:pPr>
      <w:r>
        <w:t>Es treten auf die Könige der Erde, und die Fürsten ratschlagen miteinander gegen den HERRN und gegen seinen Messias:</w:t>
      </w:r>
      <w:r>
        <w:rPr>
          <w:vertAlign w:val="superscript"/>
        </w:rPr>
        <w:t xml:space="preserve">13 </w:t>
      </w:r>
      <w:r>
        <w:rPr>
          <w:vertAlign w:val="superscript"/>
        </w:rPr>
        <w:footnoteReference w:id="14"/>
      </w:r>
    </w:p>
    <w:p w:rsidR="00BB7EDA" w:rsidRDefault="007D72B3">
      <w:pPr>
        <w:pStyle w:val="Bodytext20"/>
        <w:numPr>
          <w:ilvl w:val="0"/>
          <w:numId w:val="40"/>
        </w:numPr>
        <w:shd w:val="clear" w:color="auto" w:fill="auto"/>
        <w:tabs>
          <w:tab w:val="left" w:pos="657"/>
        </w:tabs>
        <w:spacing w:before="0" w:line="226" w:lineRule="exact"/>
        <w:ind w:left="320" w:right="2340"/>
        <w:jc w:val="left"/>
        <w:sectPr w:rsidR="00BB7EDA">
          <w:footerReference w:type="even" r:id="rId18"/>
          <w:footerReference w:type="default" r:id="rId19"/>
          <w:pgSz w:w="7266" w:h="11422"/>
          <w:pgMar w:top="769" w:right="806" w:bottom="1177" w:left="776" w:header="0" w:footer="3" w:gutter="0"/>
          <w:cols w:space="720"/>
          <w:noEndnote/>
          <w:docGrid w:linePitch="360"/>
        </w:sectPr>
      </w:pPr>
      <w:r>
        <w:t>Lasset uns zerreissen ihre Bande, und von uns werfen ihre Seile!"</w:t>
      </w:r>
    </w:p>
    <w:p w:rsidR="00BB7EDA" w:rsidRDefault="007D72B3">
      <w:pPr>
        <w:pStyle w:val="Bodytext20"/>
        <w:shd w:val="clear" w:color="auto" w:fill="auto"/>
        <w:spacing w:before="0" w:after="400"/>
      </w:pPr>
      <w:r>
        <w:t>Die Thematik, um die sich der Darwinismus bzw. der Neo-Darwi- nismus bewegt, ist kein Thema, das lediglich von wissenschaftli</w:t>
      </w:r>
      <w:r>
        <w:softHyphen/>
        <w:t>chem Interesse wäre. Nein, die Fragen nach</w:t>
      </w:r>
      <w:r>
        <w:t xml:space="preserve"> der Herkunft des Welt</w:t>
      </w:r>
      <w:r>
        <w:softHyphen/>
        <w:t xml:space="preserve">alls, der Erde, der Pflanzen, der Tiere und des Menschen gehören zu den tiefsten Fragen überhaupt. Ganz besonders die Frage nach der Herkunft des </w:t>
      </w:r>
      <w:r>
        <w:rPr>
          <w:rStyle w:val="Bodytext2Italic0"/>
        </w:rPr>
        <w:t>Homo sapiens.</w:t>
      </w:r>
      <w:r>
        <w:t xml:space="preserve"> Sie ist doch geradezu von existenzieller Bedeutung. Woher kommt der Mensc</w:t>
      </w:r>
      <w:r>
        <w:t>h? Oder persönlicher ausge</w:t>
      </w:r>
      <w:r>
        <w:softHyphen/>
        <w:t xml:space="preserve">drückt: </w:t>
      </w:r>
      <w:r>
        <w:rPr>
          <w:rStyle w:val="Bodytext2Italic0"/>
        </w:rPr>
        <w:t>Woher komme ich?</w:t>
      </w:r>
      <w:r>
        <w:t xml:space="preserve"> Daraus folgt die nicht minder brisante Frage: </w:t>
      </w:r>
      <w:r>
        <w:rPr>
          <w:rStyle w:val="Bodytext2Italic0"/>
        </w:rPr>
        <w:t>Wohin gehe ich?</w:t>
      </w:r>
      <w:r>
        <w:t xml:space="preserve"> Die Beantwortung dieser Fragen steht auch sehr eng in Verbindung mit der Beantwortung der so lebenswichti</w:t>
      </w:r>
      <w:r>
        <w:softHyphen/>
        <w:t xml:space="preserve">gen Frage: </w:t>
      </w:r>
      <w:r>
        <w:rPr>
          <w:rStyle w:val="Bodytext2Italic0"/>
        </w:rPr>
        <w:t>Wo hin ich?</w:t>
      </w:r>
      <w:r>
        <w:t xml:space="preserve"> Wer nämlich ü</w:t>
      </w:r>
      <w:r>
        <w:t>ber den Sinn des persönlichen Lebens nachzudenken gewillt ist, möchte doch gerne auch zu einer Standortbestimmung seiner momentanen Existenz gelangen.</w:t>
      </w:r>
    </w:p>
    <w:p w:rsidR="00BB7EDA" w:rsidRDefault="007D72B3">
      <w:pPr>
        <w:pStyle w:val="Bodytext90"/>
        <w:numPr>
          <w:ilvl w:val="0"/>
          <w:numId w:val="41"/>
        </w:numPr>
        <w:shd w:val="clear" w:color="auto" w:fill="auto"/>
        <w:tabs>
          <w:tab w:val="left" w:pos="495"/>
        </w:tabs>
        <w:spacing w:after="214" w:line="180" w:lineRule="exact"/>
      </w:pPr>
      <w:r>
        <w:t>Woher? Wohin? Wo?</w:t>
      </w:r>
    </w:p>
    <w:p w:rsidR="00BB7EDA" w:rsidRDefault="007D72B3">
      <w:pPr>
        <w:pStyle w:val="Bodytext20"/>
        <w:shd w:val="clear" w:color="auto" w:fill="auto"/>
        <w:spacing w:before="0" w:after="220"/>
      </w:pPr>
      <w:r>
        <w:t>Diese drei grundlegenden Fragen stellte Gott bereits im ersten Buch der Bibel. In Gen 1</w:t>
      </w:r>
      <w:r>
        <w:t>6,8 fragte Gott Hagar, die gerade Hals über Kopf vor prekären familiären Schwierigkeiten geflohen war:</w:t>
      </w:r>
    </w:p>
    <w:p w:rsidR="00BB7EDA" w:rsidRDefault="007D72B3">
      <w:pPr>
        <w:pStyle w:val="Bodytext80"/>
        <w:shd w:val="clear" w:color="auto" w:fill="auto"/>
        <w:spacing w:after="218" w:line="180" w:lineRule="exact"/>
        <w:ind w:left="340"/>
      </w:pPr>
      <w:r>
        <w:t>„Woher kommst du, und wohin gehst du?"</w:t>
      </w:r>
    </w:p>
    <w:p w:rsidR="00BB7EDA" w:rsidRDefault="007D72B3">
      <w:pPr>
        <w:pStyle w:val="Bodytext20"/>
        <w:shd w:val="clear" w:color="auto" w:fill="auto"/>
        <w:spacing w:before="0" w:line="226" w:lineRule="exact"/>
        <w:ind w:firstLine="340"/>
      </w:pPr>
      <w:r>
        <w:t xml:space="preserve">Diese zwei Fragen wurden ihr gestellt, als sie sich an einer Wasserquelle in der Wüste befand und die </w:t>
      </w:r>
      <w:r>
        <w:t>Hoffnungslosigkeit ihrer Situation zutiefst empfand. Zunächst bezog sich dieser Satz auf die unmittelbare Vergangenheit und auf die nächstfolgenden Ziele. Doch, beim längeren Nachdenken über die Tiefsinnigkeit dieser Anfragen, wird deutlich, dass sie letzt</w:t>
      </w:r>
      <w:r>
        <w:t>lich doch weit darüber hinaus</w:t>
      </w:r>
      <w:r>
        <w:softHyphen/>
        <w:t>gehen.</w:t>
      </w:r>
    </w:p>
    <w:p w:rsidR="00BB7EDA" w:rsidRDefault="007D72B3">
      <w:pPr>
        <w:pStyle w:val="Bodytext20"/>
        <w:shd w:val="clear" w:color="auto" w:fill="auto"/>
        <w:spacing w:before="0" w:after="217" w:line="226" w:lineRule="exact"/>
        <w:ind w:firstLine="340"/>
      </w:pPr>
      <w:r>
        <w:t>Die erste Frage, die Adam aus dem Mund des Ewigen vernahm, nachdem er sich bewusst im Ungehorsam als Rebell gegen ihn aufgelehnt hatte, bezog sich auf seinen momentanen Standort (Gen 3,9):</w:t>
      </w:r>
    </w:p>
    <w:p w:rsidR="00BB7EDA" w:rsidRDefault="007D72B3">
      <w:pPr>
        <w:pStyle w:val="Bodytext80"/>
        <w:shd w:val="clear" w:color="auto" w:fill="auto"/>
        <w:spacing w:after="282" w:line="180" w:lineRule="exact"/>
        <w:ind w:left="440"/>
        <w:jc w:val="left"/>
      </w:pPr>
      <w:r>
        <w:t>Wo bist du?"</w:t>
      </w:r>
      <w:r>
        <w:rPr>
          <w:vertAlign w:val="superscript"/>
        </w:rPr>
        <w:t>15</w:t>
      </w:r>
    </w:p>
    <w:p w:rsidR="00BB7EDA" w:rsidRDefault="007D72B3">
      <w:pPr>
        <w:pStyle w:val="Bodytext60"/>
        <w:shd w:val="clear" w:color="auto" w:fill="auto"/>
        <w:spacing w:line="197" w:lineRule="exact"/>
        <w:ind w:left="340"/>
        <w:jc w:val="both"/>
        <w:sectPr w:rsidR="00BB7EDA">
          <w:footerReference w:type="even" r:id="rId20"/>
          <w:footerReference w:type="default" r:id="rId21"/>
          <w:headerReference w:type="first" r:id="rId22"/>
          <w:footerReference w:type="first" r:id="rId23"/>
          <w:pgSz w:w="7266" w:h="11422"/>
          <w:pgMar w:top="1256" w:right="813" w:bottom="1141" w:left="808" w:header="0" w:footer="3" w:gutter="0"/>
          <w:cols w:space="720"/>
          <w:noEndnote/>
          <w:titlePg/>
          <w:docGrid w:linePitch="360"/>
        </w:sectPr>
      </w:pPr>
      <w:r>
        <w:t xml:space="preserve">m hebräischen Grundtext ist diese Frage ein höchst dramatischer Ruf, der nur aus dem einen Wort </w:t>
      </w:r>
      <w:r>
        <w:rPr>
          <w:rStyle w:val="Bodytext675ptItalic"/>
        </w:rPr>
        <w:t>'ajekka</w:t>
      </w:r>
      <w:r>
        <w:t xml:space="preserve"> besteht.</w:t>
      </w:r>
    </w:p>
    <w:p w:rsidR="00BB7EDA" w:rsidRDefault="007D72B3">
      <w:pPr>
        <w:pStyle w:val="Bodytext20"/>
        <w:shd w:val="clear" w:color="auto" w:fill="auto"/>
        <w:spacing w:before="0" w:line="226" w:lineRule="exact"/>
        <w:ind w:firstLine="320"/>
      </w:pPr>
      <w:r>
        <w:t xml:space="preserve">Alle </w:t>
      </w:r>
      <w:r>
        <w:t>diese drei Fragen aus der Genesis, dem Buch der Ursprün</w:t>
      </w:r>
      <w:r>
        <w:softHyphen/>
        <w:t>ge,</w:t>
      </w:r>
      <w:r>
        <w:rPr>
          <w:vertAlign w:val="superscript"/>
        </w:rPr>
        <w:footnoteReference w:id="15"/>
      </w:r>
      <w:r>
        <w:t xml:space="preserve"> erfahren im Verlauf des gesamtbiblischen Zeugnisses eine ein</w:t>
      </w:r>
      <w:r>
        <w:softHyphen/>
        <w:t>gehende Beantwortung.</w:t>
      </w:r>
    </w:p>
    <w:p w:rsidR="00BB7EDA" w:rsidRDefault="007D72B3">
      <w:pPr>
        <w:pStyle w:val="Bodytext20"/>
        <w:shd w:val="clear" w:color="auto" w:fill="auto"/>
        <w:spacing w:before="0" w:after="420" w:line="226" w:lineRule="exact"/>
        <w:ind w:firstLine="320"/>
      </w:pPr>
      <w:r>
        <w:t xml:space="preserve">Doch diese Antworten werden von der durch das neo-darwini- stische Denken geprägten Gesellschaft des Westens im </w:t>
      </w:r>
      <w:r>
        <w:t>Allgemeinen nicht mehr als relevante Antworten angesehen. Die Meinung ist weit verbreitet, dass die Bibel mit ihrem angeblich veralteten Weltbild durch die moderne Wissenschaft vollends überholt sei. Die Heilige Schrift könne deshalb, so wird argumentiert,</w:t>
      </w:r>
      <w:r>
        <w:t xml:space="preserve"> dem modernen Men</w:t>
      </w:r>
      <w:r>
        <w:softHyphen/>
        <w:t>schen gegenüber ihren Anspruch auf göttliche und allgemein</w:t>
      </w:r>
      <w:r>
        <w:softHyphen/>
        <w:t>verbindliche Autorität in der Beantwortung dieser Grundfragen nicht mehr aufrechterhalten. Unzählige betrachten hingegen den Evolutionismus als letzte Wahrheit, wenigstens in sein</w:t>
      </w:r>
      <w:r>
        <w:t>en prinzipiel</w:t>
      </w:r>
      <w:r>
        <w:softHyphen/>
        <w:t>len Aussagen.</w:t>
      </w:r>
    </w:p>
    <w:p w:rsidR="00BB7EDA" w:rsidRDefault="007D72B3">
      <w:pPr>
        <w:pStyle w:val="Heading50"/>
        <w:keepNext/>
        <w:keepLines/>
        <w:numPr>
          <w:ilvl w:val="0"/>
          <w:numId w:val="41"/>
        </w:numPr>
        <w:shd w:val="clear" w:color="auto" w:fill="auto"/>
        <w:tabs>
          <w:tab w:val="left" w:pos="505"/>
        </w:tabs>
        <w:spacing w:after="180" w:line="226" w:lineRule="exact"/>
        <w:ind w:right="1440"/>
        <w:jc w:val="left"/>
      </w:pPr>
      <w:bookmarkStart w:id="17" w:name="bookmark16"/>
      <w:r>
        <w:t>Der Evolutionismus und die geistige Krise des 20. Jahrhunderts</w:t>
      </w:r>
      <w:bookmarkEnd w:id="17"/>
    </w:p>
    <w:p w:rsidR="00BB7EDA" w:rsidRDefault="007D72B3">
      <w:pPr>
        <w:pStyle w:val="Bodytext20"/>
        <w:shd w:val="clear" w:color="auto" w:fill="auto"/>
        <w:spacing w:before="0" w:line="226" w:lineRule="exact"/>
      </w:pPr>
      <w:r>
        <w:t>Unser Denken beeinflusst unser Leben. „Wie der Mensch denkt, so ist er."</w:t>
      </w:r>
      <w:r>
        <w:rPr>
          <w:vertAlign w:val="superscript"/>
        </w:rPr>
        <w:footnoteReference w:id="16"/>
      </w:r>
      <w:r>
        <w:t xml:space="preserve"> Im 20. Jahrhundert führte das evolutionistische Denken zu einer allgemeinen Sinn-Krise. Wen</w:t>
      </w:r>
      <w:r>
        <w:t>n der Mensch durch Zufall ent</w:t>
      </w:r>
      <w:r>
        <w:softHyphen/>
        <w:t>standen sein soll, wenn Gott angeblich nicht existiert, dann kann das Dasein des Menschen keinen wirklichen, ureigenen Sinn haben,</w:t>
      </w:r>
      <w:r>
        <w:rPr>
          <w:vertAlign w:val="superscript"/>
        </w:rPr>
        <w:footnoteReference w:id="17"/>
      </w:r>
      <w:r>
        <w:rPr>
          <w:vertAlign w:val="superscript"/>
        </w:rPr>
        <w:t xml:space="preserve"> </w:t>
      </w:r>
      <w:r>
        <w:t>dann muss schließlich alles absurd sein. Denn nach der Evolutions</w:t>
      </w:r>
      <w:r>
        <w:softHyphen/>
        <w:t>lehre ist der Mensch ja ledi</w:t>
      </w:r>
      <w:r>
        <w:t>glich eine bio-chemische Maschine ohne Zweck und Ziel.</w:t>
      </w:r>
    </w:p>
    <w:p w:rsidR="00BB7EDA" w:rsidRDefault="007D72B3">
      <w:pPr>
        <w:pStyle w:val="Bodytext20"/>
        <w:shd w:val="clear" w:color="auto" w:fill="auto"/>
        <w:spacing w:before="0" w:line="226" w:lineRule="exact"/>
        <w:ind w:firstLine="320"/>
      </w:pPr>
      <w:r>
        <w:t>Die geistige Krise hat sich in der westlichen Gesellschaft beson</w:t>
      </w:r>
      <w:r>
        <w:softHyphen/>
        <w:t>ders ab den Sechzigerjahren deutlich zugespitzt. Jagd nach Ekstase durch Rockmusik, die nicht mehr aufzuhaltende Drogenwelle und der Eso</w:t>
      </w:r>
      <w:r>
        <w:t>terik-Boom sind einige der alarmierenden Symptome, die auf</w:t>
      </w:r>
    </w:p>
    <w:p w:rsidR="00BB7EDA" w:rsidRDefault="007D72B3">
      <w:pPr>
        <w:pStyle w:val="Bodytext20"/>
        <w:shd w:val="clear" w:color="auto" w:fill="auto"/>
        <w:spacing w:before="0" w:line="226" w:lineRule="exact"/>
      </w:pPr>
      <w:r>
        <w:t>mangelnde Sinnerfüllung breiter Volksmassen zurückschließen las</w:t>
      </w:r>
      <w:r>
        <w:softHyphen/>
        <w:t>sen.</w:t>
      </w:r>
      <w:r>
        <w:rPr>
          <w:vertAlign w:val="superscript"/>
        </w:rPr>
        <w:t>19</w:t>
      </w:r>
    </w:p>
    <w:p w:rsidR="00BB7EDA" w:rsidRDefault="007D72B3">
      <w:pPr>
        <w:pStyle w:val="Bodytext20"/>
        <w:shd w:val="clear" w:color="auto" w:fill="auto"/>
        <w:spacing w:before="0" w:after="457" w:line="226" w:lineRule="exact"/>
        <w:ind w:firstLine="340"/>
      </w:pPr>
      <w:r>
        <w:t>Negative Auswirkungen der Evolutionslehre sind natürlich an sich kein Beweis gegen ihre Richtigkeit. Doch es bleibt zu hoffen,</w:t>
      </w:r>
      <w:r>
        <w:t xml:space="preserve"> dass solche Folgen bei vielen eine neue Motivation auslösen, wirk</w:t>
      </w:r>
      <w:r>
        <w:softHyphen/>
        <w:t>lich nachzuhaken, ob es um die Wissenschaftlichkeit dieser Welt</w:t>
      </w:r>
      <w:r>
        <w:softHyphen/>
        <w:t xml:space="preserve">anschauung wirklich so gut bestellt ist wie Unzählige in arglosem Vertrauen meinen, und ob es nicht echte Alternativen gäbe, </w:t>
      </w:r>
      <w:r>
        <w:t>die unserer Gesellschaft wieder Hoffnung und echte Zukunftsperspek</w:t>
      </w:r>
      <w:r>
        <w:softHyphen/>
        <w:t>tiven vermitteln könnten.</w:t>
      </w:r>
    </w:p>
    <w:p w:rsidR="00BB7EDA" w:rsidRDefault="007D72B3">
      <w:pPr>
        <w:pStyle w:val="Heading50"/>
        <w:keepNext/>
        <w:keepLines/>
        <w:numPr>
          <w:ilvl w:val="0"/>
          <w:numId w:val="42"/>
        </w:numPr>
        <w:shd w:val="clear" w:color="auto" w:fill="auto"/>
        <w:tabs>
          <w:tab w:val="left" w:pos="500"/>
        </w:tabs>
        <w:spacing w:after="163" w:line="180" w:lineRule="exact"/>
        <w:ind w:left="340" w:hanging="340"/>
      </w:pPr>
      <w:bookmarkStart w:id="18" w:name="bookmark17"/>
      <w:r>
        <w:t>Wissenschaftliche Evolutionskritik</w:t>
      </w:r>
      <w:bookmarkEnd w:id="18"/>
    </w:p>
    <w:p w:rsidR="00BB7EDA" w:rsidRDefault="007D72B3">
      <w:pPr>
        <w:pStyle w:val="Bodytext20"/>
        <w:shd w:val="clear" w:color="auto" w:fill="auto"/>
        <w:spacing w:before="0" w:line="226" w:lineRule="exact"/>
      </w:pPr>
      <w:r>
        <w:t xml:space="preserve">Entgegen der oft vertretenen Behauptung, dass heute kein ernst zu nehmender Wissenschaftler mehr die Richtigkeit der </w:t>
      </w:r>
      <w:r>
        <w:t>Entwicklungs</w:t>
      </w:r>
      <w:r>
        <w:softHyphen/>
        <w:t>lehre bezweifle, sind in den vergangenen Jahrzehnten zunehmend gewichtige kritische Stimmen hörbar geworden. Argumente, die das neo-darwinistische Dogma grundsätzlich in Frage stellen, sind von bedeutenden Vertretern der verschiedensten Diszip</w:t>
      </w:r>
      <w:r>
        <w:t>linen vor</w:t>
      </w:r>
      <w:r>
        <w:softHyphen/>
        <w:t>gebracht worden. Die Einwände stammen aus den diversesten Fach</w:t>
      </w:r>
      <w:r>
        <w:softHyphen/>
        <w:t>gebieten wie z.B. Epistemologie,</w:t>
      </w:r>
      <w:r>
        <w:rPr>
          <w:vertAlign w:val="superscript"/>
        </w:rPr>
        <w:t>20</w:t>
      </w:r>
      <w:r>
        <w:t xml:space="preserve"> Astronomie, Chemie, Physik, Mathematik, Informationstheorie, Geologie, Paläontologie, Biologie und Genetik.</w:t>
      </w:r>
    </w:p>
    <w:p w:rsidR="00BB7EDA" w:rsidRDefault="007D72B3">
      <w:pPr>
        <w:pStyle w:val="Bodytext20"/>
        <w:shd w:val="clear" w:color="auto" w:fill="auto"/>
        <w:spacing w:before="0" w:after="571" w:line="226" w:lineRule="exact"/>
        <w:ind w:firstLine="340"/>
      </w:pPr>
      <w:r>
        <w:t>Bei diesen kritischen Ansätzen gegen die</w:t>
      </w:r>
      <w:r>
        <w:t xml:space="preserve"> Evolutionslehre han</w:t>
      </w:r>
      <w:r>
        <w:softHyphen/>
        <w:t>delt es sich nicht nur um Teilaspekte. Es wird vielmehr massiv an den Grundlagen des Systems gerüttelt. Von prinzipieller Wichtig</w:t>
      </w:r>
      <w:r>
        <w:softHyphen/>
        <w:t>keit ist in diesem Zusammenhang allein schon die Kritik aus der Sicht der Epistemologie: Aus dieser Warte</w:t>
      </w:r>
      <w:r>
        <w:t xml:space="preserve"> wurde aufgezeigt, dass die Evolutionslehre die normalerweise an eine naturwissenschaft</w:t>
      </w:r>
      <w:r>
        <w:softHyphen/>
      </w:r>
    </w:p>
    <w:p w:rsidR="00BB7EDA" w:rsidRDefault="007D72B3">
      <w:pPr>
        <w:pStyle w:val="Bodytext60"/>
        <w:shd w:val="clear" w:color="auto" w:fill="auto"/>
        <w:spacing w:line="187" w:lineRule="exact"/>
        <w:ind w:left="340"/>
        <w:jc w:val="both"/>
      </w:pPr>
      <w:r>
        <w:t>wäre in diesem Fall eine rein subjektive, lediglich als Idee in den Köpfen existierende Angelegenheit, die das Fehlen von Plan und Zweck letztlich nicht ausgleichen kö</w:t>
      </w:r>
      <w:r>
        <w:t>nnte. Im Grunde genommen ist ein solches Denken nur ein „Hinken auf beiden Seiten", ein Mangel an philosophischer Konsequenz.</w:t>
      </w:r>
    </w:p>
    <w:p w:rsidR="00BB7EDA" w:rsidRDefault="007D72B3">
      <w:pPr>
        <w:pStyle w:val="Bodytext60"/>
        <w:numPr>
          <w:ilvl w:val="0"/>
          <w:numId w:val="43"/>
        </w:numPr>
        <w:shd w:val="clear" w:color="auto" w:fill="auto"/>
        <w:tabs>
          <w:tab w:val="left" w:pos="281"/>
        </w:tabs>
        <w:spacing w:line="187" w:lineRule="exact"/>
        <w:ind w:left="340" w:hanging="340"/>
        <w:jc w:val="both"/>
      </w:pPr>
      <w:r>
        <w:t xml:space="preserve">Vgl. ausführlicher z.B.: </w:t>
      </w:r>
      <w:r>
        <w:rPr>
          <w:rStyle w:val="Bodytext67ptSmallCaps"/>
        </w:rPr>
        <w:t xml:space="preserve">Liebi: </w:t>
      </w:r>
      <w:r>
        <w:t>Rockmusik! Daten, Fakten, Hintergründe, Aus</w:t>
      </w:r>
      <w:r>
        <w:softHyphen/>
        <w:t xml:space="preserve">druck einer Jugend in einem sterbenden Zeitalter; </w:t>
      </w:r>
      <w:r>
        <w:rPr>
          <w:rStyle w:val="Bodytext67ptSmallCaps"/>
        </w:rPr>
        <w:t>Lieb</w:t>
      </w:r>
      <w:r>
        <w:rPr>
          <w:rStyle w:val="Bodytext67ptSmallCaps"/>
        </w:rPr>
        <w:t xml:space="preserve">i: </w:t>
      </w:r>
      <w:r>
        <w:t xml:space="preserve">New Age! Daten, Fakten, Hintergründe, Hat die große Wende begonnen? Kritische Analysen zum gegenwärtigen Esoterik-Boom; </w:t>
      </w:r>
      <w:r>
        <w:rPr>
          <w:rStyle w:val="Bodytext67ptSmallCaps"/>
        </w:rPr>
        <w:t xml:space="preserve">Ouweneel: </w:t>
      </w:r>
      <w:r>
        <w:t>Der Untergang des christli</w:t>
      </w:r>
      <w:r>
        <w:softHyphen/>
        <w:t>chen Abendlandes, Philosophische Strömungen und Kulturepochen.</w:t>
      </w:r>
    </w:p>
    <w:p w:rsidR="00BB7EDA" w:rsidRDefault="007D72B3">
      <w:pPr>
        <w:pStyle w:val="Bodytext60"/>
        <w:numPr>
          <w:ilvl w:val="0"/>
          <w:numId w:val="43"/>
        </w:numPr>
        <w:shd w:val="clear" w:color="auto" w:fill="auto"/>
        <w:tabs>
          <w:tab w:val="left" w:pos="281"/>
        </w:tabs>
        <w:spacing w:line="187" w:lineRule="exact"/>
        <w:ind w:left="340" w:hanging="340"/>
        <w:jc w:val="both"/>
      </w:pPr>
      <w:r>
        <w:t>= Wissenschaftstheorie.</w:t>
      </w:r>
    </w:p>
    <w:p w:rsidR="00BB7EDA" w:rsidRDefault="007D72B3">
      <w:pPr>
        <w:pStyle w:val="Bodytext20"/>
        <w:shd w:val="clear" w:color="auto" w:fill="auto"/>
        <w:spacing w:before="0" w:line="226" w:lineRule="exact"/>
      </w:pPr>
      <w:r>
        <w:t>liehe The</w:t>
      </w:r>
      <w:r>
        <w:t>orie gestellten Bedingungen nicht zu erfüllen vermag. Man dürfte daher den Darwinismus bzw. den Neo-Darwinismus niemals als „naturwissenschaftliche Theorie" im strikten Sinn des Wortes bezeichnen, und damit schon gar nicht als „bewiesene Tatsache".</w:t>
      </w:r>
      <w:r>
        <w:rPr>
          <w:vertAlign w:val="superscript"/>
        </w:rPr>
        <w:footnoteReference w:id="18"/>
      </w:r>
      <w:r>
        <w:rPr>
          <w:vertAlign w:val="superscript"/>
        </w:rPr>
        <w:t xml:space="preserve"> </w:t>
      </w:r>
      <w:r>
        <w:rPr>
          <w:vertAlign w:val="superscript"/>
        </w:rPr>
        <w:footnoteReference w:id="19"/>
      </w:r>
    </w:p>
    <w:p w:rsidR="00BB7EDA" w:rsidRDefault="007D72B3">
      <w:pPr>
        <w:pStyle w:val="Bodytext20"/>
        <w:shd w:val="clear" w:color="auto" w:fill="auto"/>
        <w:spacing w:before="0" w:line="226" w:lineRule="exact"/>
        <w:ind w:firstLine="320"/>
      </w:pPr>
      <w:r>
        <w:t xml:space="preserve">Bei </w:t>
      </w:r>
      <w:r>
        <w:t>den modernen anti-evolutionistischen Vorstößen geht es allerdings nicht nur um Kritik, vielmehr wird auch positiv an einer wissenschaftlichen Alternative im Rahmen der biblischen Überliefe</w:t>
      </w:r>
      <w:r>
        <w:softHyphen/>
        <w:t>rung gearbeitet. Man fasst diese Alternative unter dem Begriff „Sch</w:t>
      </w:r>
      <w:r>
        <w:t>öpfungs-Forschung" bzw. „Kreationismus" zusammen, wobei anzumerken ist, dass insbesondere letztere Bezeichnung leider mit manchen Missverständnissen verknüpft worden ist.</w:t>
      </w:r>
    </w:p>
    <w:p w:rsidR="00BB7EDA" w:rsidRDefault="007D72B3">
      <w:pPr>
        <w:pStyle w:val="Bodytext20"/>
        <w:shd w:val="clear" w:color="auto" w:fill="auto"/>
        <w:spacing w:before="0" w:after="457" w:line="226" w:lineRule="exact"/>
        <w:ind w:firstLine="320"/>
      </w:pPr>
      <w:r>
        <w:t>Ich verweise den Leser an dieser Stelle zunächst auf die unter Anmerkung 22 aufgeführ</w:t>
      </w:r>
      <w:r>
        <w:t>te einschlägige Literatur, deren detail</w:t>
      </w:r>
      <w:r>
        <w:softHyphen/>
        <w:t>lierte bibliographische Angaben dem alphabetisch geordneten Literaturverzeichnis entnommen werden können. Aus der be</w:t>
      </w:r>
      <w:r>
        <w:softHyphen/>
        <w:t>reits beachtlich großen Menge an Publikationen, habe ich einige Titel ausgewählt, die das eben Gesa</w:t>
      </w:r>
      <w:r>
        <w:t>gte anschaulich dokumentie</w:t>
      </w:r>
      <w:r>
        <w:softHyphen/>
        <w:t>ren.</w:t>
      </w:r>
    </w:p>
    <w:p w:rsidR="00BB7EDA" w:rsidRDefault="007D72B3">
      <w:pPr>
        <w:pStyle w:val="Bodytext90"/>
        <w:numPr>
          <w:ilvl w:val="0"/>
          <w:numId w:val="42"/>
        </w:numPr>
        <w:shd w:val="clear" w:color="auto" w:fill="auto"/>
        <w:tabs>
          <w:tab w:val="left" w:pos="500"/>
        </w:tabs>
        <w:spacing w:after="218" w:line="180" w:lineRule="exact"/>
      </w:pPr>
      <w:r>
        <w:t>Die Hauptthese der vorliegenden Arbeit</w:t>
      </w:r>
    </w:p>
    <w:p w:rsidR="00BB7EDA" w:rsidRDefault="007D72B3">
      <w:pPr>
        <w:pStyle w:val="Bodytext20"/>
        <w:shd w:val="clear" w:color="auto" w:fill="auto"/>
        <w:spacing w:before="0" w:line="226" w:lineRule="exact"/>
      </w:pPr>
      <w:r>
        <w:t>Die Feststellung, dass eigentlich alle Teilgebiete, die irgendwie die Evolutionslehre berühren, Einsichten liefern, die zu deren Ungun</w:t>
      </w:r>
      <w:r>
        <w:softHyphen/>
        <w:t xml:space="preserve">sten sind, ist sehr bemerkenswert. Nebst den oben </w:t>
      </w:r>
      <w:r>
        <w:t>genannten Fach</w:t>
      </w:r>
      <w:r>
        <w:softHyphen/>
        <w:t xml:space="preserve">gebieten offeriert auch die </w:t>
      </w:r>
      <w:r>
        <w:rPr>
          <w:rStyle w:val="Bodytext2Italic0"/>
        </w:rPr>
        <w:t>Sprachwissenschaft, die Linguistik,</w:t>
      </w:r>
      <w:r>
        <w:t xml:space="preserve"> erstaun</w:t>
      </w:r>
      <w:r>
        <w:softHyphen/>
        <w:t>liche Argumente und Indizien gegen die Entwicklungslehre.</w:t>
      </w:r>
    </w:p>
    <w:p w:rsidR="00BB7EDA" w:rsidRDefault="007D72B3">
      <w:pPr>
        <w:pStyle w:val="Bodytext20"/>
        <w:shd w:val="clear" w:color="auto" w:fill="auto"/>
        <w:spacing w:before="0"/>
        <w:ind w:firstLine="320"/>
      </w:pPr>
      <w:r>
        <w:t>In der vorliegenden Publikation soll aufgezeigt werden, inwie</w:t>
      </w:r>
      <w:r>
        <w:softHyphen/>
        <w:t xml:space="preserve">fern man sagen kann, dass die Tatsachen d er </w:t>
      </w:r>
      <w:r>
        <w:t>Sprachwissenschaft im krassen Widerspruch zur Evolutionslehre stehen.</w:t>
      </w:r>
    </w:p>
    <w:p w:rsidR="00BB7EDA" w:rsidRDefault="007D72B3">
      <w:pPr>
        <w:pStyle w:val="Bodytext20"/>
        <w:shd w:val="clear" w:color="auto" w:fill="auto"/>
        <w:spacing w:before="0"/>
        <w:ind w:firstLine="320"/>
      </w:pPr>
      <w:r>
        <w:t>Bei der Behandlung dieser Thematik habe ich z.T. methodologi</w:t>
      </w:r>
      <w:r>
        <w:softHyphen/>
        <w:t>sche Wege gewählt, die meines Wissens vordem in diesem Zusam</w:t>
      </w:r>
      <w:r>
        <w:softHyphen/>
        <w:t>menhang noch nie gegangen worden sind. Ich denke, dass aber gera</w:t>
      </w:r>
      <w:r>
        <w:t>de dadurch Ergebnisse erzielt werden können, welche die Lin</w:t>
      </w:r>
      <w:r>
        <w:softHyphen/>
        <w:t>guistik in ihrem begrenzten Bereich zu einer das Evolutionsdogma arg bedrängenden Waffe macht.</w:t>
      </w:r>
    </w:p>
    <w:p w:rsidR="00BB7EDA" w:rsidRDefault="007D72B3">
      <w:pPr>
        <w:pStyle w:val="Bodytext20"/>
        <w:shd w:val="clear" w:color="auto" w:fill="auto"/>
        <w:spacing w:before="0"/>
        <w:ind w:firstLine="320"/>
      </w:pPr>
      <w:r>
        <w:t>Folgendes sei zunächst einfach als These dahingestellt:</w:t>
      </w:r>
    </w:p>
    <w:p w:rsidR="00BB7EDA" w:rsidRDefault="007D72B3">
      <w:pPr>
        <w:pStyle w:val="Bodytext80"/>
        <w:shd w:val="clear" w:color="auto" w:fill="auto"/>
        <w:spacing w:after="184" w:line="230" w:lineRule="exact"/>
        <w:ind w:firstLine="320"/>
      </w:pPr>
      <w:r>
        <w:t>Die empirisch feststellbaren Fakten der moder</w:t>
      </w:r>
      <w:r>
        <w:t>nen Linguistik wider</w:t>
      </w:r>
      <w:r>
        <w:softHyphen/>
        <w:t>sprechen den evolutionistischen Theorien über den Ursprung der mensch</w:t>
      </w:r>
      <w:r>
        <w:softHyphen/>
        <w:t>lichen Sprachen. Im Gegensatz dazu harmonieren diese real beobachtbaren Tatsachen ausgezeichnet mit den biblischen Aussagen bezüglich der Her</w:t>
      </w:r>
      <w:r>
        <w:softHyphen/>
        <w:t>kunft des Phänomens „Sp</w:t>
      </w:r>
      <w:r>
        <w:t>rache“.</w:t>
      </w:r>
    </w:p>
    <w:p w:rsidR="00BB7EDA" w:rsidRDefault="007D72B3">
      <w:pPr>
        <w:pStyle w:val="Bodytext20"/>
        <w:shd w:val="clear" w:color="auto" w:fill="auto"/>
        <w:spacing w:before="0" w:line="226" w:lineRule="exact"/>
        <w:ind w:firstLine="320"/>
        <w:sectPr w:rsidR="00BB7EDA">
          <w:pgSz w:w="7266" w:h="11422"/>
          <w:pgMar w:top="801" w:right="818" w:bottom="1154" w:left="788" w:header="0" w:footer="3" w:gutter="0"/>
          <w:cols w:space="720"/>
          <w:noEndnote/>
          <w:docGrid w:linePitch="360"/>
        </w:sectPr>
      </w:pPr>
      <w:r>
        <w:t>Es ist mein Anliegen, dass die vorliegende Arbeit einem mög</w:t>
      </w:r>
      <w:r>
        <w:softHyphen/>
        <w:t>lichst breiten Leserkreis zugänglich gemacht werden kann. Daher habe ich versucht, mich möglichst allgemein verständlich auszu</w:t>
      </w:r>
      <w:r>
        <w:softHyphen/>
        <w:t xml:space="preserve">drücken. Im Folgenden werden zwar viele </w:t>
      </w:r>
      <w:r>
        <w:t>Fachausdrücke verwen</w:t>
      </w:r>
      <w:r>
        <w:softHyphen/>
        <w:t>det, die nicht jedem Leser geläufig sein werden. Z.T. werden sie aber im Text oder in den Fußnoten erklärt. Zudem habe ich im Anhang ein Glossar erstellt. Auf hebräische, aramäische und griechische Zeichensätze habe ich verzichtet. Die</w:t>
      </w:r>
      <w:r>
        <w:t xml:space="preserve"> Transkriptionen aus diesen und anderen Sprachen habe ich einfach gehalten.</w:t>
      </w:r>
      <w:r>
        <w:br w:type="page"/>
      </w:r>
    </w:p>
    <w:p w:rsidR="00BB7EDA" w:rsidRDefault="007D72B3">
      <w:pPr>
        <w:pStyle w:val="Heading30"/>
        <w:keepNext/>
        <w:keepLines/>
        <w:numPr>
          <w:ilvl w:val="0"/>
          <w:numId w:val="44"/>
        </w:numPr>
        <w:shd w:val="clear" w:color="auto" w:fill="auto"/>
        <w:tabs>
          <w:tab w:val="left" w:pos="331"/>
        </w:tabs>
        <w:spacing w:after="429" w:line="341" w:lineRule="exact"/>
        <w:jc w:val="left"/>
      </w:pPr>
      <w:bookmarkStart w:id="19" w:name="bookmark18"/>
      <w:r>
        <w:t>Einführung in das Phänomen der menschlichen Sprachen</w:t>
      </w:r>
      <w:bookmarkEnd w:id="19"/>
    </w:p>
    <w:p w:rsidR="00BB7EDA" w:rsidRDefault="007D72B3">
      <w:pPr>
        <w:pStyle w:val="Heading50"/>
        <w:keepNext/>
        <w:keepLines/>
        <w:numPr>
          <w:ilvl w:val="1"/>
          <w:numId w:val="44"/>
        </w:numPr>
        <w:shd w:val="clear" w:color="auto" w:fill="auto"/>
        <w:tabs>
          <w:tab w:val="left" w:pos="351"/>
        </w:tabs>
        <w:spacing w:after="343" w:line="180" w:lineRule="exact"/>
      </w:pPr>
      <w:bookmarkStart w:id="20" w:name="bookmark19"/>
      <w:r>
        <w:t>Sprache und Linguistik</w:t>
      </w:r>
      <w:bookmarkEnd w:id="20"/>
    </w:p>
    <w:p w:rsidR="00BB7EDA" w:rsidRDefault="007D72B3">
      <w:pPr>
        <w:pStyle w:val="Bodytext20"/>
        <w:shd w:val="clear" w:color="auto" w:fill="auto"/>
        <w:spacing w:before="0" w:line="226" w:lineRule="exact"/>
      </w:pPr>
      <w:r>
        <w:t xml:space="preserve">Bevor umfassend aufgezeigt werden kann, dass die empirisch nachprüfbaren Fakten der Sprachwissenschaft </w:t>
      </w:r>
      <w:r>
        <w:t xml:space="preserve">im Widerspruch zur Evolutionslehre stehen, sollten zunächst einige allgemeine Ausführungen zum Wesen der menschlichen Sprachen aus der Sicht der heutigen modernen Linguistik gemacht werden. Damit wird in diesem Kapitel eine wichtige theoretische Basis für </w:t>
      </w:r>
      <w:r>
        <w:t>die ganze nachfolgende Argumentation um Schöpfung und Evolution gelegt. Es ist in diesem Zusammenhang auch notwendig, dass ich zunächst die Fachbegriffe, die im Zusammenhang mit der vorlie</w:t>
      </w:r>
      <w:r>
        <w:softHyphen/>
        <w:t>genden Thematik von Bedeutung sind, erkläre. Die hier gebotene Präs</w:t>
      </w:r>
      <w:r>
        <w:t>entation ist bewusst nicht einer einzelnen der vielen modernen linguistischen Schulen verpflichtet. Da jeder dieser Ansätze be</w:t>
      </w:r>
      <w:r>
        <w:softHyphen/>
        <w:t>stimmte Aspekte der Sprache mehr betont und beleuchtet als seine konkurrierenden Richtungen, hat man den größten Gewinn, wenn die</w:t>
      </w:r>
      <w:r>
        <w:t xml:space="preserve"> verschiedenen Einsichten selektiv miteinander kombiniert werden.</w:t>
      </w:r>
    </w:p>
    <w:p w:rsidR="00BB7EDA" w:rsidRDefault="007D72B3">
      <w:pPr>
        <w:pStyle w:val="Bodytext20"/>
        <w:shd w:val="clear" w:color="auto" w:fill="auto"/>
        <w:spacing w:before="0" w:after="337" w:line="226" w:lineRule="exact"/>
        <w:ind w:firstLine="320"/>
        <w:jc w:val="left"/>
      </w:pPr>
      <w:r>
        <w:t>Wir wenden uns nun als Erstes der Sprache mit ihren verschiede</w:t>
      </w:r>
      <w:r>
        <w:softHyphen/>
        <w:t>nen Ebenen zu:</w:t>
      </w:r>
    </w:p>
    <w:p w:rsidR="00BB7EDA" w:rsidRDefault="007D72B3">
      <w:pPr>
        <w:pStyle w:val="Heading50"/>
        <w:keepNext/>
        <w:keepLines/>
        <w:numPr>
          <w:ilvl w:val="2"/>
          <w:numId w:val="44"/>
        </w:numPr>
        <w:shd w:val="clear" w:color="auto" w:fill="auto"/>
        <w:tabs>
          <w:tab w:val="left" w:pos="500"/>
        </w:tabs>
        <w:spacing w:after="214" w:line="180" w:lineRule="exact"/>
      </w:pPr>
      <w:bookmarkStart w:id="21" w:name="bookmark20"/>
      <w:r>
        <w:t>Code-Systeme</w:t>
      </w:r>
      <w:bookmarkEnd w:id="21"/>
    </w:p>
    <w:p w:rsidR="00BB7EDA" w:rsidRDefault="007D72B3">
      <w:pPr>
        <w:pStyle w:val="Bodytext20"/>
        <w:shd w:val="clear" w:color="auto" w:fill="auto"/>
        <w:spacing w:before="0"/>
      </w:pPr>
      <w:r>
        <w:t xml:space="preserve">Die menschlichen Sprachen sind fantastische, genial und komplex konzipierte Zeichen- oder </w:t>
      </w:r>
      <w:r>
        <w:t>„Code-Systeme",</w:t>
      </w:r>
      <w:r>
        <w:rPr>
          <w:vertAlign w:val="superscript"/>
        </w:rPr>
        <w:footnoteReference w:id="20"/>
      </w:r>
      <w:r>
        <w:t xml:space="preserve"> um Gedanken und Ideen auszudrücken. Sie dienen der Vermittlung von Information zwischen Personen mittels Lauten bzw. deren schriftlichen Darstel</w:t>
      </w:r>
      <w:r>
        <w:softHyphen/>
        <w:t>lung. Mit Hilfe der Sprachen kann eine unbegrenzte Anzahl von Mitteilungen gemacht werden.</w:t>
      </w:r>
    </w:p>
    <w:p w:rsidR="00BB7EDA" w:rsidRDefault="007D72B3">
      <w:pPr>
        <w:pStyle w:val="Bodytext20"/>
        <w:shd w:val="clear" w:color="auto" w:fill="auto"/>
        <w:spacing w:before="0" w:line="226" w:lineRule="exact"/>
        <w:ind w:firstLine="320"/>
      </w:pPr>
      <w:r>
        <w:t>Wen</w:t>
      </w:r>
      <w:r>
        <w:t>n wir die Sprachen als Code-Systeme verstehen, so können wir die einzelnen Laute, Formen, Wörter und Konstruktionen als Code-Zeichen betrachten.</w:t>
      </w:r>
      <w:r>
        <w:rPr>
          <w:vertAlign w:val="superscript"/>
        </w:rPr>
        <w:footnoteReference w:id="21"/>
      </w:r>
      <w:r>
        <w:t xml:space="preserve"> Das Code-System der Sprachen ist aller</w:t>
      </w:r>
      <w:r>
        <w:softHyphen/>
        <w:t>dings viel komplexer als gewöhnliche Codes, weil es sich bei den gespro</w:t>
      </w:r>
      <w:r>
        <w:t xml:space="preserve">chenen Sprachen um </w:t>
      </w:r>
      <w:r>
        <w:rPr>
          <w:rStyle w:val="Bodytext2Italic0"/>
        </w:rPr>
        <w:t>eine Kombination von vier verschiedenen ineinander greifenden System-Ebenen</w:t>
      </w:r>
      <w:r>
        <w:t xml:space="preserve"> handelt. Schließen wir die Schrift mit ein, so ergeben sich sogar deren fünf.</w:t>
      </w:r>
    </w:p>
    <w:p w:rsidR="00BB7EDA" w:rsidRDefault="007D72B3">
      <w:pPr>
        <w:pStyle w:val="Bodytext20"/>
        <w:shd w:val="clear" w:color="auto" w:fill="auto"/>
        <w:spacing w:before="0" w:after="457" w:line="226" w:lineRule="exact"/>
        <w:ind w:firstLine="320"/>
      </w:pPr>
      <w:r>
        <w:t>In der Sprachwissenschaft hat sich für den Begriff „Code-Sy</w:t>
      </w:r>
      <w:r>
        <w:softHyphen/>
        <w:t>stem" oder „Zeichen-Sys</w:t>
      </w:r>
      <w:r>
        <w:t xml:space="preserve">tem" der von dem Schweizer Linguisten Ferdinand </w:t>
      </w:r>
      <w:r>
        <w:rPr>
          <w:rStyle w:val="Bodytext28ptBoldSmallCaps"/>
        </w:rPr>
        <w:t>de Saussure</w:t>
      </w:r>
      <w:r>
        <w:rPr>
          <w:rStyle w:val="Bodytext28ptBoldSmallCaps"/>
          <w:vertAlign w:val="superscript"/>
        </w:rPr>
        <w:footnoteReference w:id="22"/>
      </w:r>
      <w:r>
        <w:rPr>
          <w:rStyle w:val="Bodytext28ptBoldSmallCaps"/>
        </w:rPr>
        <w:t xml:space="preserve"> </w:t>
      </w:r>
      <w:r>
        <w:t xml:space="preserve">(1857-1913) geprägte Ausdruck </w:t>
      </w:r>
      <w:r>
        <w:rPr>
          <w:rStyle w:val="Bodytext2Italic0"/>
        </w:rPr>
        <w:t xml:space="preserve">Ja langue" </w:t>
      </w:r>
      <w:r>
        <w:t xml:space="preserve">eingebürgert. Im Gegensatz dazu bezeichnet man mit </w:t>
      </w:r>
      <w:r>
        <w:rPr>
          <w:rStyle w:val="Bodytext2Italic0"/>
        </w:rPr>
        <w:t>Ja parole"</w:t>
      </w:r>
      <w:r>
        <w:t xml:space="preserve"> die Sprachverwendung, oder komplizierter ausgedrückt, die Manife</w:t>
      </w:r>
      <w:r>
        <w:softHyphen/>
        <w:t>station eines Sprachsystems</w:t>
      </w:r>
      <w:r>
        <w:t xml:space="preserve"> in der Rede eines individuellen Sprach- benützers.</w:t>
      </w:r>
      <w:r>
        <w:rPr>
          <w:vertAlign w:val="superscript"/>
        </w:rPr>
        <w:footnoteReference w:id="23"/>
      </w:r>
    </w:p>
    <w:p w:rsidR="00BB7EDA" w:rsidRDefault="007D72B3">
      <w:pPr>
        <w:pStyle w:val="Heading50"/>
        <w:keepNext/>
        <w:keepLines/>
        <w:numPr>
          <w:ilvl w:val="2"/>
          <w:numId w:val="44"/>
        </w:numPr>
        <w:shd w:val="clear" w:color="auto" w:fill="auto"/>
        <w:tabs>
          <w:tab w:val="left" w:pos="500"/>
        </w:tabs>
        <w:spacing w:after="163" w:line="180" w:lineRule="exact"/>
      </w:pPr>
      <w:bookmarkStart w:id="22" w:name="bookmark21"/>
      <w:r>
        <w:t>Was ist Linguistik?</w:t>
      </w:r>
      <w:bookmarkEnd w:id="22"/>
    </w:p>
    <w:p w:rsidR="00BB7EDA" w:rsidRDefault="007D72B3">
      <w:pPr>
        <w:pStyle w:val="Bodytext20"/>
        <w:shd w:val="clear" w:color="auto" w:fill="auto"/>
        <w:spacing w:before="0" w:line="226" w:lineRule="exact"/>
      </w:pPr>
      <w:r>
        <w:t>Linguistik ist die wissenschaftliche Erforschung der Sprachsysteme in aller Welt. Es handelt sich um eine Wissenschaft, weil man hier die selben empirischen Methoden verwendet, die au</w:t>
      </w:r>
      <w:r>
        <w:t>ch in anderen Diszi</w:t>
      </w:r>
      <w:r>
        <w:softHyphen/>
        <w:t>plinen eingesetzt werden, dies mit der erklärten Absicht, um auf diese Weise so präzise wie nur möglich die menschlichen Sprachen ergründen und beschreiben zu können.</w:t>
      </w:r>
    </w:p>
    <w:p w:rsidR="00BB7EDA" w:rsidRDefault="007D72B3">
      <w:pPr>
        <w:pStyle w:val="Bodytext20"/>
        <w:shd w:val="clear" w:color="auto" w:fill="auto"/>
        <w:spacing w:before="0" w:line="226" w:lineRule="exact"/>
        <w:ind w:firstLine="320"/>
      </w:pPr>
      <w:r>
        <w:t>Die Linguistik steht als Disziplin nicht isoliert da. Es bestehen eng</w:t>
      </w:r>
      <w:r>
        <w:t>e Beziehungen und Verknüpfungen z.B. zur Physiologie, Psy</w:t>
      </w:r>
      <w:r>
        <w:softHyphen/>
        <w:t>chologie, Anthropologie, Ethnologie, Soziologie, Literaturwissen</w:t>
      </w:r>
      <w:r>
        <w:softHyphen/>
        <w:t>schaft, Kommunikationswissenschaft, Rhetorik, Politikwissenschaft, Geschichte, Archäologie und Theologie.</w:t>
      </w:r>
    </w:p>
    <w:p w:rsidR="00BB7EDA" w:rsidRDefault="007D72B3">
      <w:pPr>
        <w:pStyle w:val="Bodytext20"/>
        <w:shd w:val="clear" w:color="auto" w:fill="auto"/>
        <w:spacing w:before="0" w:after="397" w:line="226" w:lineRule="exact"/>
        <w:ind w:firstLine="320"/>
      </w:pPr>
      <w:r>
        <w:t xml:space="preserve">Da menschliche Sprachen so </w:t>
      </w:r>
      <w:r>
        <w:t>unerhört komplex sind, hat man die Linguistik in eine Vielzahl von untergeordneten Teildisziplinen, die sich jeweils mit ganz spezifischen Einzelaspekten der Sprache befas</w:t>
      </w:r>
      <w:r>
        <w:softHyphen/>
        <w:t>sen, aufgegliedert.</w:t>
      </w:r>
    </w:p>
    <w:p w:rsidR="00BB7EDA" w:rsidRDefault="007D72B3">
      <w:pPr>
        <w:pStyle w:val="Heading50"/>
        <w:keepNext/>
        <w:keepLines/>
        <w:numPr>
          <w:ilvl w:val="2"/>
          <w:numId w:val="44"/>
        </w:numPr>
        <w:shd w:val="clear" w:color="auto" w:fill="auto"/>
        <w:tabs>
          <w:tab w:val="left" w:pos="495"/>
        </w:tabs>
        <w:spacing w:after="163" w:line="180" w:lineRule="exact"/>
      </w:pPr>
      <w:bookmarkStart w:id="23" w:name="bookmark22"/>
      <w:r>
        <w:t>Die synchrone Methode</w:t>
      </w:r>
      <w:bookmarkEnd w:id="23"/>
    </w:p>
    <w:p w:rsidR="00BB7EDA" w:rsidRDefault="007D72B3">
      <w:pPr>
        <w:pStyle w:val="Bodytext20"/>
        <w:shd w:val="clear" w:color="auto" w:fill="auto"/>
        <w:spacing w:before="0" w:after="397" w:line="226" w:lineRule="exact"/>
      </w:pPr>
      <w:r>
        <w:t xml:space="preserve">In der Linguistik werden die Sprachen auf verschiedene Arten angegangen: Zunächst gibt es die </w:t>
      </w:r>
      <w:r>
        <w:rPr>
          <w:rStyle w:val="Bodytext2Italic0"/>
        </w:rPr>
        <w:t>synchrone Methode,</w:t>
      </w:r>
      <w:r>
        <w:t xml:space="preserve"> bei der Spra</w:t>
      </w:r>
      <w:r>
        <w:softHyphen/>
        <w:t>chen so wie sie zu einem bestimmten Zeitpunkt in ihrer Geschichte vorzufinden sind, untersuch t werden. Bei dieser Methode betrach</w:t>
      </w:r>
      <w:r>
        <w:t>tet man die Sprache einfach in ihrer Eigenart wie sie zu einer gegebenen Zeit dargestellt werden kann. Man interessiert sich in diesem Zu</w:t>
      </w:r>
      <w:r>
        <w:softHyphen/>
        <w:t>sammenhang nicht für die zahlreichen Veränderungen, denen alle Sprachen auf natürliche Weise dauernd unterworfen sind.</w:t>
      </w:r>
      <w:r>
        <w:t xml:space="preserve"> Man beschreibt einfach die Sprache wie sie zu einem bestimmten Zeit</w:t>
      </w:r>
      <w:r>
        <w:softHyphen/>
        <w:t>punkt anzutreffen ist.</w:t>
      </w:r>
      <w:r>
        <w:rPr>
          <w:vertAlign w:val="superscript"/>
        </w:rPr>
        <w:footnoteReference w:id="24"/>
      </w:r>
      <w:r>
        <w:t xml:space="preserve"> Es geht auch nicht um die Frage, wie eine Sprache sein sollte, sondern lediglich darum, wie sie ist. Damit hängt auch die Einsicht zusammen, dass alle Sprachen zu </w:t>
      </w:r>
      <w:r>
        <w:t>jeder Zeit ihrer Geschichte ein eigenes in sich wertvolles System aufweisen.</w:t>
      </w:r>
      <w:r>
        <w:rPr>
          <w:vertAlign w:val="superscript"/>
        </w:rPr>
        <w:footnoteReference w:id="25"/>
      </w:r>
    </w:p>
    <w:p w:rsidR="00BB7EDA" w:rsidRDefault="007D72B3">
      <w:pPr>
        <w:pStyle w:val="Heading50"/>
        <w:keepNext/>
        <w:keepLines/>
        <w:numPr>
          <w:ilvl w:val="2"/>
          <w:numId w:val="44"/>
        </w:numPr>
        <w:shd w:val="clear" w:color="auto" w:fill="auto"/>
        <w:tabs>
          <w:tab w:val="left" w:pos="490"/>
        </w:tabs>
        <w:spacing w:after="163" w:line="180" w:lineRule="exact"/>
      </w:pPr>
      <w:bookmarkStart w:id="24" w:name="bookmark23"/>
      <w:r>
        <w:t>Die diachrone Methode</w:t>
      </w:r>
      <w:bookmarkEnd w:id="24"/>
    </w:p>
    <w:p w:rsidR="00BB7EDA" w:rsidRDefault="007D72B3">
      <w:pPr>
        <w:pStyle w:val="Bodytext20"/>
        <w:shd w:val="clear" w:color="auto" w:fill="auto"/>
        <w:spacing w:before="0" w:after="397" w:line="226" w:lineRule="exact"/>
      </w:pPr>
      <w:r>
        <w:t xml:space="preserve">Eine andere sprachwissenschaftliche Vorgehensweise ist die </w:t>
      </w:r>
      <w:r>
        <w:rPr>
          <w:rStyle w:val="Bodytext2Italic0"/>
        </w:rPr>
        <w:t>diachrone Methode.</w:t>
      </w:r>
      <w:r>
        <w:t xml:space="preserve"> Hier geht es darum, Sprachen in ihrem geschichtlichen Wandel zu beschreiben. I</w:t>
      </w:r>
      <w:r>
        <w:t>n diesem Zusammenhang interessieren einen z.B. die Veränderungen der Laute, Formen und Wörter einer bestimmten Sprache im Lauf der Zeit.</w:t>
      </w:r>
      <w:r>
        <w:rPr>
          <w:vertAlign w:val="superscript"/>
        </w:rPr>
        <w:footnoteReference w:id="26"/>
      </w:r>
    </w:p>
    <w:p w:rsidR="00BB7EDA" w:rsidRDefault="007D72B3">
      <w:pPr>
        <w:pStyle w:val="Heading50"/>
        <w:keepNext/>
        <w:keepLines/>
        <w:numPr>
          <w:ilvl w:val="2"/>
          <w:numId w:val="44"/>
        </w:numPr>
        <w:shd w:val="clear" w:color="auto" w:fill="auto"/>
        <w:tabs>
          <w:tab w:val="left" w:pos="486"/>
        </w:tabs>
        <w:spacing w:after="163" w:line="180" w:lineRule="exact"/>
      </w:pPr>
      <w:bookmarkStart w:id="25" w:name="bookmark24"/>
      <w:r>
        <w:t>Die komparative Methode</w:t>
      </w:r>
      <w:bookmarkEnd w:id="25"/>
    </w:p>
    <w:p w:rsidR="00BB7EDA" w:rsidRDefault="007D72B3">
      <w:pPr>
        <w:pStyle w:val="Bodytext20"/>
        <w:shd w:val="clear" w:color="auto" w:fill="auto"/>
        <w:spacing w:before="0" w:after="397" w:line="226" w:lineRule="exact"/>
      </w:pPr>
      <w:r>
        <w:t xml:space="preserve">Als dritte Methode ist ferner noch die </w:t>
      </w:r>
      <w:r>
        <w:rPr>
          <w:rStyle w:val="Bodytext2Italic0"/>
        </w:rPr>
        <w:t>komparative Linguistik</w:t>
      </w:r>
      <w:r>
        <w:t xml:space="preserve"> zu erwähnen. In dieser Disziplin</w:t>
      </w:r>
      <w:r>
        <w:t xml:space="preserve"> untersucht man die Verbindungen</w:t>
      </w:r>
      <w:r>
        <w:br w:type="page"/>
        <w:t>und Verwandtschaften verschiedener Sprachen. Auch die Erfor</w:t>
      </w:r>
      <w:r>
        <w:softHyphen/>
        <w:t>schung verschiedener Dialekte innerhalb einer bestimmten Sprache ist Gegenstand dieser Methode.</w:t>
      </w:r>
    </w:p>
    <w:p w:rsidR="00BB7EDA" w:rsidRDefault="007D72B3">
      <w:pPr>
        <w:pStyle w:val="Heading50"/>
        <w:keepNext/>
        <w:keepLines/>
        <w:numPr>
          <w:ilvl w:val="2"/>
          <w:numId w:val="44"/>
        </w:numPr>
        <w:shd w:val="clear" w:color="auto" w:fill="auto"/>
        <w:tabs>
          <w:tab w:val="left" w:pos="505"/>
        </w:tabs>
        <w:spacing w:after="103" w:line="180" w:lineRule="exact"/>
      </w:pPr>
      <w:bookmarkStart w:id="26" w:name="bookmark25"/>
      <w:r>
        <w:t>Zur Einzigartigkeit der menschlichen Kommunikation</w:t>
      </w:r>
      <w:bookmarkEnd w:id="26"/>
    </w:p>
    <w:p w:rsidR="00BB7EDA" w:rsidRDefault="007D72B3">
      <w:pPr>
        <w:pStyle w:val="Bodytext20"/>
        <w:shd w:val="clear" w:color="auto" w:fill="auto"/>
        <w:spacing w:before="0" w:after="180" w:line="226" w:lineRule="exact"/>
      </w:pPr>
      <w:r>
        <w:t>Im Tierreich gib</w:t>
      </w:r>
      <w:r>
        <w:t xml:space="preserve">t es keine irgendwie mit menschlichen Sprachen vergleichbaren Kommunikationssysteme. Es gibt zwar unter den Tieren wunderbare Fähigkeiten der Informationsweitergabe (z.B. der Vogelgesang, der Bienentanz usw.), doch diese Möglichkeiten sind im Vergleich zu </w:t>
      </w:r>
      <w:r>
        <w:t>den unbegrenzten artikulierten Sprachen des Menschen äußerst limitiert. Wenn man in Verbindung mit Tieren von „Sprache" redet, sollte man sich dessen klar bewusst sein. Ein Vergleich lässt sich durchaus mit den untergeordneten mensch</w:t>
      </w:r>
      <w:r>
        <w:softHyphen/>
        <w:t>lichen Kommunikationsm</w:t>
      </w:r>
      <w:r>
        <w:t>itteln, wie beispielsweise Mimik, Gebär</w:t>
      </w:r>
      <w:r>
        <w:softHyphen/>
        <w:t>densprache und emotionale Laute, hersteilen.</w:t>
      </w:r>
    </w:p>
    <w:p w:rsidR="00BB7EDA" w:rsidRDefault="007D72B3">
      <w:pPr>
        <w:pStyle w:val="Bodytext100"/>
        <w:numPr>
          <w:ilvl w:val="3"/>
          <w:numId w:val="44"/>
        </w:numPr>
        <w:shd w:val="clear" w:color="auto" w:fill="auto"/>
        <w:tabs>
          <w:tab w:val="left" w:pos="644"/>
        </w:tabs>
        <w:spacing w:before="0"/>
        <w:ind w:firstLine="0"/>
      </w:pPr>
      <w:r>
        <w:t>Spracliversuche mit Primaten</w:t>
      </w:r>
    </w:p>
    <w:p w:rsidR="00BB7EDA" w:rsidRDefault="007D72B3">
      <w:pPr>
        <w:pStyle w:val="Bodytext20"/>
        <w:shd w:val="clear" w:color="auto" w:fill="auto"/>
        <w:spacing w:before="0" w:line="226" w:lineRule="exact"/>
      </w:pPr>
      <w:r>
        <w:t>Ab der dritten Dekade des 20. Jahrhunderts versuchten Primatologen, zu beweisen, dass auch Menschenaffen über sprachliche Fähigkei</w:t>
      </w:r>
      <w:r>
        <w:softHyphen/>
      </w:r>
      <w:r>
        <w:t xml:space="preserve">ten verfügen. Doch selbst nach jahrelangen Dressurbemühungen brachten ihre durchtrainierten Zöglinge kaum mehr als Lautgebilde wie </w:t>
      </w:r>
      <w:r>
        <w:rPr>
          <w:rStyle w:val="Bodytext2Italic0"/>
        </w:rPr>
        <w:t>up, cup</w:t>
      </w:r>
      <w:r>
        <w:t xml:space="preserve"> oder </w:t>
      </w:r>
      <w:r>
        <w:rPr>
          <w:rStyle w:val="Bodytext2Italic0"/>
        </w:rPr>
        <w:t>Mama</w:t>
      </w:r>
      <w:r>
        <w:t xml:space="preserve"> und </w:t>
      </w:r>
      <w:r>
        <w:rPr>
          <w:rStyle w:val="Bodytext2Italic0"/>
        </w:rPr>
        <w:t>Papa</w:t>
      </w:r>
      <w:r>
        <w:t xml:space="preserve"> hervor. Zu mehr war nicht einmal die „hochintelligente" Schimpansin Viki fähig. In den Fünfziger</w:t>
      </w:r>
      <w:r>
        <w:softHyphen/>
        <w:t>j</w:t>
      </w:r>
      <w:r>
        <w:t>ahren hatte sie das „Vorrecht", von dem Ehepaar Hayes wie ein Kind in der Familie aufgezogen zu werden.</w:t>
      </w:r>
      <w:r>
        <w:rPr>
          <w:vertAlign w:val="superscript"/>
        </w:rPr>
        <w:t>30</w:t>
      </w:r>
    </w:p>
    <w:p w:rsidR="00BB7EDA" w:rsidRDefault="007D72B3">
      <w:pPr>
        <w:pStyle w:val="Bodytext20"/>
        <w:shd w:val="clear" w:color="auto" w:fill="auto"/>
        <w:spacing w:before="0" w:after="387" w:line="226" w:lineRule="exact"/>
        <w:ind w:firstLine="320"/>
      </w:pPr>
      <w:r>
        <w:t>Es ist behauptet worden, dass man wegen dieser gescheiterten Versuche, Affen das Sprechen beizubringen, nicht meinen sollte, dass Primaten prinzipiell</w:t>
      </w:r>
      <w:r>
        <w:t xml:space="preserve"> nicht sprachfähig seien. Die Unfähigkeit, Sprache zu produzieren, läge nur an der ungeeigneten Beschaffen</w:t>
      </w:r>
      <w:r>
        <w:softHyphen/>
        <w:t>heit der für die Artikulation notwendigen biologischen Vorausset</w:t>
      </w:r>
      <w:r>
        <w:softHyphen/>
        <w:t>zungen (ungünstige Lage des Kehlkopfes, fehlender Resonanzraum etc.). Doch die Forsc</w:t>
      </w:r>
      <w:r>
        <w:t>hungsarbeiten des Berliner Anthropologen Car</w:t>
      </w:r>
      <w:r>
        <w:softHyphen/>
        <w:t xml:space="preserve">sten </w:t>
      </w:r>
      <w:r>
        <w:rPr>
          <w:rStyle w:val="Bodytext28ptBoldSmallCaps"/>
        </w:rPr>
        <w:t xml:space="preserve">Niemitz </w:t>
      </w:r>
      <w:r>
        <w:t>haben in der Zwischenzeit deutlich gemacht, dass die Schwierigkeiten viel größer sind. Er hat darauf hingewiesen, dass dem Gehirn der Menschenaffen notwendige neurobiologische Grundlagen, die zur Sp</w:t>
      </w:r>
      <w:r>
        <w:t>rache notwendig wären, schlicht fehlen.</w:t>
      </w:r>
      <w:r>
        <w:rPr>
          <w:vertAlign w:val="superscript"/>
        </w:rPr>
        <w:t>31</w:t>
      </w:r>
    </w:p>
    <w:p w:rsidR="00BB7EDA" w:rsidRDefault="007D72B3">
      <w:pPr>
        <w:pStyle w:val="Bodytext60"/>
        <w:shd w:val="clear" w:color="auto" w:fill="auto"/>
        <w:spacing w:line="192" w:lineRule="exact"/>
        <w:ind w:right="960"/>
      </w:pPr>
      <w:r>
        <w:pict>
          <v:shape id="_x0000_s1041" type="#_x0000_t202" style="position:absolute;margin-left:-4.65pt;margin-top:-.3pt;width:12.95pt;height:16.75pt;z-index:-125829374;mso-wrap-distance-left:5pt;mso-wrap-distance-right:5pt;mso-wrap-distance-bottom:.2pt;mso-position-horizontal-relative:margin" filled="f" stroked="f">
            <v:textbox style="mso-fit-shape-to-text:t" inset="0,0,0,0">
              <w:txbxContent>
                <w:p w:rsidR="00BB7EDA" w:rsidRDefault="007D72B3">
                  <w:pPr>
                    <w:pStyle w:val="Bodytext11"/>
                    <w:shd w:val="clear" w:color="auto" w:fill="auto"/>
                    <w:spacing w:after="32" w:line="110" w:lineRule="exact"/>
                  </w:pPr>
                  <w:r>
                    <w:t>30</w:t>
                  </w:r>
                </w:p>
                <w:p w:rsidR="00BB7EDA" w:rsidRDefault="007D72B3">
                  <w:pPr>
                    <w:pStyle w:val="Bodytext11"/>
                    <w:shd w:val="clear" w:color="auto" w:fill="auto"/>
                    <w:spacing w:after="0" w:line="110" w:lineRule="exact"/>
                  </w:pPr>
                  <w:r>
                    <w:t>31</w:t>
                  </w:r>
                </w:p>
              </w:txbxContent>
            </v:textbox>
            <w10:wrap type="square" side="right" anchorx="margin"/>
          </v:shape>
        </w:pict>
      </w:r>
      <w:r>
        <w:rPr>
          <w:rStyle w:val="Bodytext67ptSmallCaps"/>
        </w:rPr>
        <w:t xml:space="preserve">Mechsner: </w:t>
      </w:r>
      <w:r>
        <w:t xml:space="preserve">Sprachevolution, Wer sprach das erste Wort? S. 78. </w:t>
      </w:r>
      <w:r>
        <w:rPr>
          <w:rStyle w:val="Bodytext67ptSmallCaps"/>
        </w:rPr>
        <w:t xml:space="preserve">Mechsner: </w:t>
      </w:r>
      <w:r>
        <w:t>Sprachevolution, Wer sprach das erste Wort? S. 78.</w:t>
      </w:r>
      <w:r>
        <w:br w:type="page"/>
      </w:r>
    </w:p>
    <w:p w:rsidR="00BB7EDA" w:rsidRDefault="007D72B3">
      <w:pPr>
        <w:pStyle w:val="Bodytext20"/>
        <w:shd w:val="clear" w:color="auto" w:fill="auto"/>
        <w:spacing w:before="0" w:line="226" w:lineRule="exact"/>
        <w:ind w:firstLine="320"/>
      </w:pPr>
      <w:r>
        <w:t>Im Bemühen, Sprachbefähigung bei Affen nachzuweisen, stell</w:t>
      </w:r>
      <w:r>
        <w:softHyphen/>
        <w:t>ten das Psychologen-Ehe</w:t>
      </w:r>
      <w:r>
        <w:t xml:space="preserve">paar Beatrice und Allan </w:t>
      </w:r>
      <w:r>
        <w:rPr>
          <w:rStyle w:val="Bodytext28ptSmallCaps"/>
        </w:rPr>
        <w:t xml:space="preserve">Gardner </w:t>
      </w:r>
      <w:r>
        <w:t>1966 ihre Schimpansin Washoe vor, der sie 130 Zeichen der amerikanischen Gebärdensprache beigebracht hatten,</w:t>
      </w:r>
      <w:r>
        <w:rPr>
          <w:vertAlign w:val="superscript"/>
        </w:rPr>
        <w:footnoteReference w:id="27"/>
      </w:r>
    </w:p>
    <w:p w:rsidR="00BB7EDA" w:rsidRDefault="007D72B3">
      <w:pPr>
        <w:pStyle w:val="Bodytext20"/>
        <w:shd w:val="clear" w:color="auto" w:fill="auto"/>
        <w:spacing w:before="0" w:line="226" w:lineRule="exact"/>
        <w:ind w:firstLine="320"/>
      </w:pPr>
      <w:r>
        <w:t xml:space="preserve">Zu erwähnen ist ferner noch David </w:t>
      </w:r>
      <w:r>
        <w:rPr>
          <w:rStyle w:val="Bodytext28ptSmallCaps"/>
        </w:rPr>
        <w:t xml:space="preserve">Premack, </w:t>
      </w:r>
      <w:r>
        <w:t xml:space="preserve">der Menschenaffen lehrte, durch Nebeneinanderlegen von Plastiksymbolen </w:t>
      </w:r>
      <w:r>
        <w:t>logische Mitteilungen von sich zu geben.</w:t>
      </w:r>
      <w:r>
        <w:rPr>
          <w:vertAlign w:val="superscript"/>
        </w:rPr>
        <w:footnoteReference w:id="28"/>
      </w:r>
    </w:p>
    <w:p w:rsidR="00BB7EDA" w:rsidRDefault="007D72B3">
      <w:pPr>
        <w:pStyle w:val="Bodytext20"/>
        <w:shd w:val="clear" w:color="auto" w:fill="auto"/>
        <w:spacing w:before="0" w:after="180" w:line="226" w:lineRule="exact"/>
        <w:ind w:firstLine="320"/>
      </w:pPr>
      <w:r>
        <w:t xml:space="preserve">Wie erstaunlich auch all diese Ergebnisse sind, so verdienen sie trotzdem nicht den Namen „menschliche Sprache". Die Fähigkeiten, die durch Training bei Affen zur Anwendung kamen, sind zwar erforderliche, aber bei </w:t>
      </w:r>
      <w:r>
        <w:t xml:space="preserve">weitem nicht ausreichende Kriterien für menschliche Sprache. Der Neurobiologe Franz </w:t>
      </w:r>
      <w:r>
        <w:rPr>
          <w:rStyle w:val="Bodytext28ptSmallCaps"/>
        </w:rPr>
        <w:t xml:space="preserve">Mechsner </w:t>
      </w:r>
      <w:r>
        <w:t>vom Max- Planck-Institut in München sagte in diesem Zusammenhang:</w:t>
      </w:r>
    </w:p>
    <w:p w:rsidR="00BB7EDA" w:rsidRDefault="007D72B3">
      <w:pPr>
        <w:pStyle w:val="Bodytext20"/>
        <w:shd w:val="clear" w:color="auto" w:fill="auto"/>
        <w:spacing w:before="0" w:after="225" w:line="226" w:lineRule="exact"/>
        <w:ind w:left="320" w:right="320"/>
      </w:pPr>
      <w:r>
        <w:t xml:space="preserve">„Nur der Mensch beschreibt, erzählt und argumentiert, bei fast unendlicher Vielfalt und Freiheit </w:t>
      </w:r>
      <w:r>
        <w:t>in der Themenwahl. Nur Menschen fühlen den Drang, mit anderen über alles Mögliche zu reden, sind neugierig, was der andere zu sagen hat, haben Spaß an Geschichten. Die Sprache dient uns Menschen zur Formung der Gedanken, von Freundschaften und Feindschafte</w:t>
      </w:r>
      <w:r>
        <w:t>n. Affen dagegen scheinen gelernte Zeichen</w:t>
      </w:r>
      <w:r>
        <w:softHyphen/>
        <w:t>folgen vor allem zu benutzen, um von ihrem Trainer Futter zu ergattern. Untereinander und ohne Aussicht auf Beloh</w:t>
      </w:r>
      <w:r>
        <w:softHyphen/>
        <w:t>nung setzen sie ihre sprachlichen' Fähigkeiten kaum jemals ein."</w:t>
      </w:r>
      <w:r>
        <w:rPr>
          <w:vertAlign w:val="superscript"/>
        </w:rPr>
        <w:footnoteReference w:id="29"/>
      </w:r>
    </w:p>
    <w:p w:rsidR="00BB7EDA" w:rsidRDefault="007D72B3">
      <w:pPr>
        <w:pStyle w:val="Bodytext100"/>
        <w:numPr>
          <w:ilvl w:val="3"/>
          <w:numId w:val="44"/>
        </w:numPr>
        <w:shd w:val="clear" w:color="auto" w:fill="auto"/>
        <w:tabs>
          <w:tab w:val="left" w:pos="654"/>
        </w:tabs>
        <w:spacing w:before="0" w:line="170" w:lineRule="exact"/>
        <w:ind w:firstLine="0"/>
      </w:pPr>
      <w:r>
        <w:t>Das Urteil von Chomsky</w:t>
      </w:r>
    </w:p>
    <w:p w:rsidR="00BB7EDA" w:rsidRDefault="007D72B3">
      <w:pPr>
        <w:pStyle w:val="Bodytext20"/>
        <w:shd w:val="clear" w:color="auto" w:fill="auto"/>
        <w:spacing w:before="0" w:after="180" w:line="226" w:lineRule="exact"/>
      </w:pPr>
      <w:r>
        <w:t xml:space="preserve">Noam </w:t>
      </w:r>
      <w:r>
        <w:rPr>
          <w:rStyle w:val="Bodytext28ptSmallCaps"/>
        </w:rPr>
        <w:t xml:space="preserve">Chomsky, </w:t>
      </w:r>
      <w:r>
        <w:t>einer der bedeutendsten Linguisten des 20. Jahr</w:t>
      </w:r>
      <w:r>
        <w:softHyphen/>
        <w:t>hunderts, sagte einst in diesem Zusammenhang:</w:t>
      </w:r>
    </w:p>
    <w:p w:rsidR="00BB7EDA" w:rsidRDefault="007D72B3">
      <w:pPr>
        <w:pStyle w:val="Bodytext20"/>
        <w:shd w:val="clear" w:color="auto" w:fill="auto"/>
        <w:spacing w:before="0" w:line="226" w:lineRule="exact"/>
        <w:ind w:left="320" w:right="320"/>
      </w:pPr>
      <w:r>
        <w:t>„Die menschliche Sprache scheint ein einzigartiges Phäno</w:t>
      </w:r>
      <w:r>
        <w:softHyphen/>
        <w:t>men zu sein, ohne bedeutsame Entsprechung in der Tier</w:t>
      </w:r>
      <w:r>
        <w:softHyphen/>
        <w:t>welt."</w:t>
      </w:r>
      <w:r>
        <w:rPr>
          <w:vertAlign w:val="superscript"/>
        </w:rPr>
        <w:footnoteReference w:id="30"/>
      </w:r>
    </w:p>
    <w:p w:rsidR="00BB7EDA" w:rsidRDefault="007D72B3">
      <w:pPr>
        <w:framePr w:h="4272" w:wrap="notBeside" w:vAnchor="text" w:hAnchor="text" w:xAlign="center" w:y="1"/>
        <w:jc w:val="center"/>
        <w:rPr>
          <w:sz w:val="2"/>
          <w:szCs w:val="2"/>
        </w:rPr>
      </w:pPr>
      <w:r>
        <w:fldChar w:fldCharType="begin"/>
      </w:r>
      <w:r>
        <w:instrText xml:space="preserve"> </w:instrText>
      </w:r>
      <w:r>
        <w:instrText>INCLUDEPICTURE  "X:\\sk\\NextUplo</w:instrText>
      </w:r>
      <w:r>
        <w:instrText>ad116\\Webserver\\german\\RogerLiebi\\media\\image2.jpeg" \* MERGEFORMATINET</w:instrText>
      </w:r>
      <w:r>
        <w:instrText xml:space="preserve"> </w:instrText>
      </w:r>
      <w:r>
        <w:fldChar w:fldCharType="separate"/>
      </w:r>
      <w:r>
        <w:pict>
          <v:shape id="_x0000_i1026" type="#_x0000_t75" style="width:282pt;height:213.75pt">
            <v:imagedata r:id="rId24" r:href="rId25"/>
          </v:shape>
        </w:pict>
      </w:r>
      <w:r>
        <w:fldChar w:fldCharType="end"/>
      </w:r>
    </w:p>
    <w:p w:rsidR="00BB7EDA" w:rsidRDefault="00BB7EDA">
      <w:pPr>
        <w:rPr>
          <w:sz w:val="2"/>
          <w:szCs w:val="2"/>
        </w:rPr>
      </w:pPr>
    </w:p>
    <w:p w:rsidR="00BB7EDA" w:rsidRDefault="007D72B3">
      <w:pPr>
        <w:pStyle w:val="Bodytext120"/>
        <w:shd w:val="clear" w:color="auto" w:fill="auto"/>
        <w:spacing w:before="26" w:after="393"/>
      </w:pPr>
      <w:r>
        <w:t>Abb. 1 Menschliche Sprache unterscheidet sich grundsätzlich von allen tierischen Kommunikations-Systemen.</w:t>
      </w:r>
    </w:p>
    <w:p w:rsidR="00BB7EDA" w:rsidRDefault="007D72B3">
      <w:pPr>
        <w:pStyle w:val="Bodytext20"/>
        <w:shd w:val="clear" w:color="auto" w:fill="auto"/>
        <w:spacing w:before="0" w:after="180" w:line="226" w:lineRule="exact"/>
        <w:ind w:firstLine="320"/>
      </w:pPr>
      <w:r>
        <w:t xml:space="preserve">Er wies ferner nachdrücklich darauf hin, dass „Tiersprachen" und </w:t>
      </w:r>
      <w:r>
        <w:t>menschliche Sprachen von ihrem gesamten Wesen her, etwas grundlegend anderes sind. Daher sei es überhaupt nicht möglich, das eine aus dem anderen abzuleiten. Er betrachtete ferner die Versuche, Primaten Anfangsgründe der menschlichen Sprache bei</w:t>
      </w:r>
      <w:r>
        <w:softHyphen/>
        <w:t>zubringen,</w:t>
      </w:r>
      <w:r>
        <w:t xml:space="preserve"> als misslungen. </w:t>
      </w:r>
      <w:r>
        <w:rPr>
          <w:rStyle w:val="Bodytext28ptSmallCaps"/>
        </w:rPr>
        <w:t xml:space="preserve">Chomsky </w:t>
      </w:r>
      <w:r>
        <w:t>wies auch auf die Problematik hin, dass solche, die Sprachverhahen bei Primaten untersuchen und eine Brücke zu den menschlichen Sprachen schlagen wollen, zu falschen Schlüssen kommen können, weil sie von verkehrten und von Linguist</w:t>
      </w:r>
      <w:r>
        <w:t>en nicht akzeptablen Definitionen des Begriffs „Spra</w:t>
      </w:r>
      <w:r>
        <w:softHyphen/>
        <w:t>che" ausgehen.</w:t>
      </w:r>
      <w:r>
        <w:rPr>
          <w:vertAlign w:val="superscript"/>
        </w:rPr>
        <w:footnoteReference w:id="31"/>
      </w:r>
    </w:p>
    <w:p w:rsidR="00BB7EDA" w:rsidRDefault="007D72B3">
      <w:pPr>
        <w:pStyle w:val="Bodytext100"/>
        <w:numPr>
          <w:ilvl w:val="3"/>
          <w:numId w:val="44"/>
        </w:numPr>
        <w:shd w:val="clear" w:color="auto" w:fill="auto"/>
        <w:tabs>
          <w:tab w:val="left" w:pos="649"/>
        </w:tabs>
        <w:spacing w:before="0"/>
        <w:ind w:firstLine="0"/>
      </w:pPr>
      <w:r>
        <w:t>Überbrückung der Kluft durch Evolution?</w:t>
      </w:r>
    </w:p>
    <w:p w:rsidR="00BB7EDA" w:rsidRDefault="007D72B3">
      <w:pPr>
        <w:pStyle w:val="Bodytext20"/>
        <w:shd w:val="clear" w:color="auto" w:fill="auto"/>
        <w:spacing w:before="0" w:line="226" w:lineRule="exact"/>
      </w:pPr>
      <w:r>
        <w:t>Zur Meinung, dass die Distanz, welche die Tierlaute von den mensch</w:t>
      </w:r>
      <w:r>
        <w:softHyphen/>
        <w:t>lichen Sprachen trennt, durch eine allmähliche Evolution überwun</w:t>
      </w:r>
      <w:r>
        <w:softHyphen/>
        <w:t>den werden könn</w:t>
      </w:r>
      <w:r>
        <w:t xml:space="preserve">te, meinte </w:t>
      </w:r>
      <w:r>
        <w:rPr>
          <w:rStyle w:val="Bodytext28ptSmallCaps"/>
        </w:rPr>
        <w:t xml:space="preserve">Chomsky </w:t>
      </w:r>
      <w:r>
        <w:t>im Jahr 1972:</w:t>
      </w:r>
    </w:p>
    <w:p w:rsidR="00BB7EDA" w:rsidRDefault="007D72B3">
      <w:pPr>
        <w:pStyle w:val="Bodytext20"/>
        <w:shd w:val="clear" w:color="auto" w:fill="auto"/>
        <w:spacing w:before="0" w:after="19" w:line="180" w:lineRule="exact"/>
        <w:ind w:firstLine="320"/>
      </w:pPr>
      <w:r>
        <w:t>„Es gibt keine Gründe dafür, dass diese Kluft überbrückbar</w:t>
      </w:r>
    </w:p>
    <w:p w:rsidR="00BB7EDA" w:rsidRDefault="007D72B3">
      <w:pPr>
        <w:pStyle w:val="Bodytext20"/>
        <w:shd w:val="clear" w:color="auto" w:fill="auto"/>
        <w:spacing w:before="0" w:after="219" w:line="180" w:lineRule="exact"/>
        <w:ind w:firstLine="320"/>
      </w:pPr>
      <w:r>
        <w:t>sei."</w:t>
      </w:r>
      <w:r>
        <w:rPr>
          <w:vertAlign w:val="superscript"/>
        </w:rPr>
        <w:footnoteReference w:id="32"/>
      </w:r>
    </w:p>
    <w:p w:rsidR="00BB7EDA" w:rsidRDefault="007D72B3">
      <w:pPr>
        <w:pStyle w:val="Bodytext20"/>
        <w:shd w:val="clear" w:color="auto" w:fill="auto"/>
        <w:spacing w:before="0"/>
        <w:ind w:firstLine="320"/>
      </w:pPr>
      <w:r>
        <w:t>Er wies außerdem an derselben Stelle mit einem krassen Ver</w:t>
      </w:r>
      <w:r>
        <w:softHyphen/>
        <w:t xml:space="preserve">gleich darauf hin, dass eine Herleitung menschlicher Sprache aus tierischen Lautäußerungen so </w:t>
      </w:r>
      <w:r>
        <w:t>unmöglich sei, wie es auch der Fall wäre, wenn man die Fähigkeit des Laufens auf die Atmung zurück</w:t>
      </w:r>
      <w:r>
        <w:softHyphen/>
        <w:t>führen wollte.</w:t>
      </w:r>
    </w:p>
    <w:p w:rsidR="00BB7EDA" w:rsidRDefault="007D72B3">
      <w:pPr>
        <w:pStyle w:val="Bodytext20"/>
        <w:shd w:val="clear" w:color="auto" w:fill="auto"/>
        <w:spacing w:before="0" w:after="180"/>
        <w:ind w:firstLine="320"/>
      </w:pPr>
      <w:r>
        <w:t xml:space="preserve">Der Evolutionist, Biologe und Paläontologe George Gaylord </w:t>
      </w:r>
      <w:r>
        <w:rPr>
          <w:rStyle w:val="Bodytext28ptBoldSmallCaps"/>
        </w:rPr>
        <w:t xml:space="preserve">Simpson </w:t>
      </w:r>
      <w:r>
        <w:t>hat zum Ausdruck gebracht, dass es im Zusammenhang mit den Sprachen unwahrsc</w:t>
      </w:r>
      <w:r>
        <w:t>heinlich sei, dass je eine evolutionäre Ent</w:t>
      </w:r>
      <w:r>
        <w:softHyphen/>
        <w:t>wicklung von den Tieren hin zum Menschen nachgewiesen werden könnte:</w:t>
      </w:r>
    </w:p>
    <w:p w:rsidR="00BB7EDA" w:rsidRDefault="007D72B3">
      <w:pPr>
        <w:pStyle w:val="Bodytext20"/>
        <w:shd w:val="clear" w:color="auto" w:fill="auto"/>
        <w:spacing w:before="0" w:after="184"/>
        <w:ind w:left="320" w:right="320"/>
      </w:pPr>
      <w:r>
        <w:t>„Menschliche Sprache ist absolut verschieden von allen Kommununikations-Systemen bei anderen Tieren... Es könn</w:t>
      </w:r>
      <w:r>
        <w:softHyphen/>
        <w:t>te zwar sein, doch es ist unwahr</w:t>
      </w:r>
      <w:r>
        <w:t>scheinlich, dass wir je einmal wissen werden, wann und wie unsere Vorfahren zu sprechen begannen."</w:t>
      </w:r>
      <w:r>
        <w:rPr>
          <w:vertAlign w:val="superscript"/>
        </w:rPr>
        <w:footnoteReference w:id="33"/>
      </w:r>
    </w:p>
    <w:p w:rsidR="00BB7EDA" w:rsidRDefault="007D72B3">
      <w:pPr>
        <w:pStyle w:val="Bodytext20"/>
        <w:shd w:val="clear" w:color="auto" w:fill="auto"/>
        <w:spacing w:before="0" w:after="176" w:line="226" w:lineRule="exact"/>
        <w:ind w:firstLine="320"/>
      </w:pPr>
      <w:r>
        <w:t>Wenn es darum geht, den Menschen vom Tier zu differenzieren, muss deshalb der menschlichen Sprechfähigkeit besondere Beach</w:t>
      </w:r>
      <w:r>
        <w:softHyphen/>
        <w:t>tung geschenkt werden. Viele Fors</w:t>
      </w:r>
      <w:r>
        <w:t>cher haben schon mit Nachdruck darauf hingewiesen, dass die Kommunikationsfähigkeit durch Spra</w:t>
      </w:r>
      <w:r>
        <w:softHyphen/>
        <w:t>chen mit artikulierten Lauten zu den charakteristischsten Merkma</w:t>
      </w:r>
      <w:r>
        <w:softHyphen/>
        <w:t>len des Menschen gehört.</w:t>
      </w:r>
      <w:r>
        <w:rPr>
          <w:vertAlign w:val="superscript"/>
        </w:rPr>
        <w:footnoteReference w:id="34"/>
      </w:r>
    </w:p>
    <w:p w:rsidR="00BB7EDA" w:rsidRDefault="007D72B3">
      <w:pPr>
        <w:pStyle w:val="Bodytext20"/>
        <w:shd w:val="clear" w:color="auto" w:fill="auto"/>
        <w:spacing w:before="0"/>
        <w:jc w:val="left"/>
      </w:pPr>
      <w:r>
        <w:rPr>
          <w:rStyle w:val="Bodytext285ptBoldItalic"/>
        </w:rPr>
        <w:t xml:space="preserve">2.1.7A Fehletide neurobiologische Grundlagen </w:t>
      </w:r>
      <w:r>
        <w:t>Bei den Tieren fehlt es a</w:t>
      </w:r>
      <w:r>
        <w:t>llgemein an den nötigen neurobiologischen Voraussetzungen für die Erzeugung und das Verständnis von Spra</w:t>
      </w:r>
      <w:r>
        <w:softHyphen/>
        <w:t>che. Tiere verfügen weder über das Brocasche Feld, das sich beim</w:t>
      </w:r>
      <w:r>
        <w:br w:type="page"/>
      </w:r>
    </w:p>
    <w:p w:rsidR="00BB7EDA" w:rsidRDefault="007D72B3">
      <w:pPr>
        <w:pStyle w:val="Bodytext20"/>
        <w:shd w:val="clear" w:color="auto" w:fill="auto"/>
        <w:spacing w:before="0" w:line="226" w:lineRule="exact"/>
      </w:pPr>
      <w:r>
        <w:pict>
          <v:shape id="_x0000_s1043" type="#_x0000_t202" style="position:absolute;left:0;text-align:left;margin-left:-2.6pt;margin-top:-55.25pt;width:86.9pt;height:31.95pt;z-index:-125829373;mso-wrap-distance-left:5pt;mso-wrap-distance-right:5pt;mso-position-horizontal-relative:margin" filled="f" stroked="f">
            <v:textbox style="mso-fit-shape-to-text:t" inset="0,0,0,0">
              <w:txbxContent>
                <w:p w:rsidR="00BB7EDA" w:rsidRDefault="007D72B3">
                  <w:pPr>
                    <w:pStyle w:val="Picturecaption0"/>
                    <w:shd w:val="clear" w:color="auto" w:fill="auto"/>
                  </w:pPr>
                  <w:r>
                    <w:rPr>
                      <w:rStyle w:val="PicturecaptionExact"/>
                    </w:rPr>
                    <w:t>Abb. 2 Das Brocasche Feld und das Wernicke- sche Zentrum.</w:t>
                  </w:r>
                </w:p>
              </w:txbxContent>
            </v:textbox>
            <w10:wrap type="topAndBottom" anchorx="margin"/>
          </v:shape>
        </w:pict>
      </w:r>
      <w:r>
        <w:pict>
          <v:shape id="_x0000_s1044" type="#_x0000_t75" style="position:absolute;left:0;text-align:left;margin-left:97pt;margin-top:-218.4pt;width:180.95pt;height:196.3pt;z-index:-125829372;mso-wrap-distance-left:5pt;mso-wrap-distance-right:5pt;mso-position-horizontal-relative:margin">
            <v:imagedata r:id="rId26" o:title="image3"/>
            <w10:wrap type="topAndBottom" anchorx="margin"/>
          </v:shape>
        </w:pict>
      </w:r>
      <w:r>
        <w:t xml:space="preserve">Menschen auf der einen Seite - zumeist links - im Großhirn befindet, und wo die </w:t>
      </w:r>
      <w:r>
        <w:rPr>
          <w:rStyle w:val="Bodytext2Italic0"/>
        </w:rPr>
        <w:t>Sprachproduktion</w:t>
      </w:r>
      <w:r>
        <w:t xml:space="preserve"> lokalisiert wird, noch über das Wer- nickesche Zentrum im Temporallappen, wo sich der Ort des </w:t>
      </w:r>
      <w:r>
        <w:rPr>
          <w:rStyle w:val="Bodytext2Italic0"/>
        </w:rPr>
        <w:t>Sprach</w:t>
      </w:r>
      <w:r>
        <w:rPr>
          <w:rStyle w:val="Bodytext2Italic0"/>
        </w:rPr>
        <w:softHyphen/>
        <w:t>verständnisses</w:t>
      </w:r>
      <w:r>
        <w:t xml:space="preserve"> befindet. Des Weiteren fehlen auch die Verb</w:t>
      </w:r>
      <w:r>
        <w:t>indungs</w:t>
      </w:r>
      <w:r>
        <w:softHyphen/>
        <w:t>wege zwischen diesen Zentren.</w:t>
      </w:r>
      <w:r>
        <w:rPr>
          <w:vertAlign w:val="superscript"/>
        </w:rPr>
        <w:footnoteReference w:id="35"/>
      </w:r>
      <w:r>
        <w:t xml:space="preserve"> Lautäußerungen, Schreie und Rufe werden dagegen bei allen Säugetieren, also auch bei Menschenaffen, durch das Limbische System gesteuert. Beim Limbischen System handelt es sich um eine Art Gefühlszentrum, das der Mens</w:t>
      </w:r>
      <w:r>
        <w:t>ch übri</w:t>
      </w:r>
      <w:r>
        <w:softHyphen/>
        <w:t>gens auch besitzt. Es liegt tief im Gehirn verborgen und ist im Gegensatz zum menschlichen Sprachsystem symmetrisch angelegt.</w:t>
      </w:r>
      <w:r>
        <w:rPr>
          <w:vertAlign w:val="superscript"/>
        </w:rPr>
        <w:footnoteReference w:id="36"/>
      </w:r>
    </w:p>
    <w:p w:rsidR="00BB7EDA" w:rsidRDefault="007D72B3">
      <w:pPr>
        <w:pStyle w:val="Bodytext20"/>
        <w:shd w:val="clear" w:color="auto" w:fill="auto"/>
        <w:spacing w:before="0" w:line="226" w:lineRule="exact"/>
        <w:ind w:firstLine="320"/>
      </w:pPr>
      <w:r>
        <w:t>Auch das erstaunliche „Sprechen" gewisser Vögel, wie Papagei</w:t>
      </w:r>
      <w:r>
        <w:softHyphen/>
        <w:t xml:space="preserve">en etc., hat nichts mit wirklicher Sprachbefähigung zu tun. </w:t>
      </w:r>
      <w:r>
        <w:t>Diese gefiederten Wesen können von den Sätzen, die sie durch Dressur zu sprechen gelernt haben, nichts verstehen. Sie sind außerstande, den</w:t>
      </w:r>
      <w:r>
        <w:br w:type="page"/>
      </w:r>
    </w:p>
    <w:p w:rsidR="00BB7EDA" w:rsidRDefault="007D72B3">
      <w:pPr>
        <w:pStyle w:val="Bodytext120"/>
        <w:shd w:val="clear" w:color="auto" w:fill="auto"/>
        <w:spacing w:before="0" w:after="333"/>
      </w:pPr>
      <w:r>
        <w:t>Abb. 3 Das erstaunliche „Sprechen“ der Papageien hat nichts mit wirklicher Sprachbefähigung zu tun.</w:t>
      </w:r>
    </w:p>
    <w:p w:rsidR="00BB7EDA" w:rsidRDefault="007D72B3">
      <w:pPr>
        <w:pStyle w:val="Bodytext20"/>
        <w:shd w:val="clear" w:color="auto" w:fill="auto"/>
        <w:spacing w:before="0" w:after="413" w:line="226" w:lineRule="exact"/>
      </w:pPr>
      <w:r>
        <w:t xml:space="preserve">Sprach-Code zu </w:t>
      </w:r>
      <w:r>
        <w:t>entschlüsseln. Es ist ihnen lediglich möglich, die Laute menschlicher Sprache nachzuahmen. Ferner sind sie auch völlig unfähig, neue Sätze, geleitet durch grammatische Regeln, zu bilden. Hingegen kann bereits ein Kleinkind, das dabei ist, seine erste Sprac</w:t>
      </w:r>
      <w:r>
        <w:t>he zu lernen, neue Sätze bilden, die es noch nie zuvor gelernt hat.</w:t>
      </w:r>
      <w:r>
        <w:rPr>
          <w:vertAlign w:val="superscript"/>
        </w:rPr>
        <w:t>42</w:t>
      </w:r>
      <w:r>
        <w:t xml:space="preserve"> Es ist nämlich völlig normal, dass ein Kind schon in der frühen Phase des Spracherwerbs beginnt, Dinge zu sagen, die es vorher nie gehört hat. Man hat statistische Untersuchungen dazu gemacht: Mit ca. zwei Jahren sind nur etwa 20% der Äußerungen direkte N</w:t>
      </w:r>
      <w:r>
        <w:t>achahmungen. Mit ungefähr drei Jahren reduziert sich dieser Anteil sogar auf lediglich 2%.</w:t>
      </w:r>
      <w:r>
        <w:rPr>
          <w:vertAlign w:val="superscript"/>
        </w:rPr>
        <w:t>43</w:t>
      </w:r>
    </w:p>
    <w:p w:rsidR="00BB7EDA" w:rsidRDefault="007D72B3">
      <w:pPr>
        <w:pStyle w:val="Bodytext60"/>
        <w:shd w:val="clear" w:color="auto" w:fill="auto"/>
        <w:spacing w:line="160" w:lineRule="exact"/>
        <w:jc w:val="both"/>
      </w:pPr>
      <w:r>
        <w:pict>
          <v:shape id="_x0000_s1045" type="#_x0000_t202" style="position:absolute;left:0;text-align:left;margin-left:-3.1pt;margin-top:-2.7pt;width:8.65pt;height:17.95pt;z-index:-125829371;mso-wrap-distance-left:5pt;mso-wrap-distance-right:6.95pt;mso-position-horizontal-relative:margin" filled="f" stroked="f">
            <v:textbox style="mso-fit-shape-to-text:t" inset="0,0,0,0">
              <w:txbxContent>
                <w:p w:rsidR="00BB7EDA" w:rsidRDefault="007D72B3">
                  <w:pPr>
                    <w:pStyle w:val="Bodytext11"/>
                    <w:shd w:val="clear" w:color="auto" w:fill="auto"/>
                    <w:spacing w:after="32" w:line="110" w:lineRule="exact"/>
                  </w:pPr>
                  <w:r>
                    <w:t>42</w:t>
                  </w:r>
                </w:p>
                <w:p w:rsidR="00BB7EDA" w:rsidRDefault="007D72B3">
                  <w:pPr>
                    <w:pStyle w:val="Bodytext11"/>
                    <w:shd w:val="clear" w:color="auto" w:fill="auto"/>
                    <w:spacing w:after="0" w:line="110" w:lineRule="exact"/>
                  </w:pPr>
                  <w:r>
                    <w:t>43</w:t>
                  </w:r>
                </w:p>
              </w:txbxContent>
            </v:textbox>
            <w10:wrap type="square" side="right" anchorx="margin"/>
          </v:shape>
        </w:pict>
      </w:r>
      <w:r>
        <w:pict>
          <v:shape id="_x0000_s1046" type="#_x0000_t75" style="position:absolute;left:0;text-align:left;margin-left:45.15pt;margin-top:-451.7pt;width:196.8pt;height:257.75pt;z-index:-125829370;mso-wrap-distance-left:48.7pt;mso-wrap-distance-right:37.7pt;mso-position-horizontal-relative:margin" wrapcoords="0 0 21600 0 21600 21600 0 21600 0 0">
            <v:imagedata r:id="rId27" o:title="image4"/>
            <w10:wrap type="topAndBottom" anchorx="margin"/>
          </v:shape>
        </w:pict>
      </w:r>
      <w:r>
        <w:t xml:space="preserve">Vgl. </w:t>
      </w:r>
      <w:r>
        <w:rPr>
          <w:rStyle w:val="Bodytext67ptSmallCaps"/>
        </w:rPr>
        <w:t xml:space="preserve">Boettcher: </w:t>
      </w:r>
      <w:r>
        <w:t>Sprache, S. 147.</w:t>
      </w:r>
    </w:p>
    <w:p w:rsidR="00BB7EDA" w:rsidRDefault="007D72B3">
      <w:pPr>
        <w:pStyle w:val="Bodytext60"/>
        <w:shd w:val="clear" w:color="auto" w:fill="auto"/>
        <w:spacing w:line="160" w:lineRule="exact"/>
        <w:jc w:val="both"/>
        <w:sectPr w:rsidR="00BB7EDA">
          <w:footerReference w:type="even" r:id="rId28"/>
          <w:footerReference w:type="default" r:id="rId29"/>
          <w:headerReference w:type="first" r:id="rId30"/>
          <w:footerReference w:type="first" r:id="rId31"/>
          <w:pgSz w:w="7266" w:h="11422"/>
          <w:pgMar w:top="801" w:right="816" w:bottom="1130" w:left="791" w:header="0" w:footer="3" w:gutter="0"/>
          <w:cols w:space="720"/>
          <w:noEndnote/>
          <w:docGrid w:linePitch="360"/>
        </w:sectPr>
      </w:pPr>
      <w:r>
        <w:rPr>
          <w:rStyle w:val="Bodytext67ptSmallCaps"/>
        </w:rPr>
        <w:t xml:space="preserve">Zimmer: So </w:t>
      </w:r>
      <w:r>
        <w:t xml:space="preserve">kommt der Mensch zur </w:t>
      </w:r>
      <w:r>
        <w:t>Sprache, S. 12.</w:t>
      </w:r>
    </w:p>
    <w:p w:rsidR="00BB7EDA" w:rsidRDefault="007D72B3">
      <w:pPr>
        <w:pStyle w:val="Bodytext20"/>
        <w:shd w:val="clear" w:color="auto" w:fill="auto"/>
        <w:spacing w:before="0" w:after="184"/>
      </w:pPr>
      <w:r>
        <w:t xml:space="preserve">In Verbindung mit den Themen „Sprache und Affen" sowie „Sprach- erwerb des Kleinkindes" stellt sich schnell einmal die Frage nach dem Verhältnis zwischen Sprache und Denken. Hier muss man jedoch zunächst einmal abklären, was man denn unter </w:t>
      </w:r>
      <w:r>
        <w:t>dem Begriff „Denken" überhaupt versteht.</w:t>
      </w:r>
    </w:p>
    <w:p w:rsidR="00BB7EDA" w:rsidRDefault="007D72B3">
      <w:pPr>
        <w:pStyle w:val="Bodytext100"/>
        <w:numPr>
          <w:ilvl w:val="0"/>
          <w:numId w:val="45"/>
        </w:numPr>
        <w:shd w:val="clear" w:color="auto" w:fill="auto"/>
        <w:tabs>
          <w:tab w:val="left" w:pos="644"/>
        </w:tabs>
        <w:spacing w:before="0"/>
        <w:ind w:firstLine="0"/>
      </w:pPr>
      <w:r>
        <w:t>Was ist Denken?</w:t>
      </w:r>
    </w:p>
    <w:p w:rsidR="00BB7EDA" w:rsidRDefault="007D72B3">
      <w:pPr>
        <w:pStyle w:val="Bodytext20"/>
        <w:shd w:val="clear" w:color="auto" w:fill="auto"/>
        <w:spacing w:before="0" w:line="226" w:lineRule="exact"/>
      </w:pPr>
      <w:r>
        <w:t xml:space="preserve">Wenn man „Denken" z.B. als „Mittelfindung" definiert, dann „denkt" auch der Affe, der sich einen Stock beschafft, um eine Banane herunterzuholen, oder auch der </w:t>
      </w:r>
      <w:r>
        <w:rPr>
          <w:rStyle w:val="Bodytext2Italic0"/>
        </w:rPr>
        <w:t>Cactos pictus pallida,</w:t>
      </w:r>
      <w:r>
        <w:t xml:space="preserve"> der Darwin- Fink</w:t>
      </w:r>
      <w:r>
        <w:t>, der - man staune nur - Kakteenstacheln als Werkzeuge ein</w:t>
      </w:r>
      <w:r>
        <w:softHyphen/>
        <w:t>setzt, um damit Maden aus Löchern oder Ritzen des Holzes heraus</w:t>
      </w:r>
      <w:r>
        <w:softHyphen/>
        <w:t>zuholen.</w:t>
      </w:r>
    </w:p>
    <w:p w:rsidR="00BB7EDA" w:rsidRDefault="007D72B3">
      <w:pPr>
        <w:pStyle w:val="Bodytext20"/>
        <w:shd w:val="clear" w:color="auto" w:fill="auto"/>
        <w:spacing w:before="0" w:after="180" w:line="226" w:lineRule="exact"/>
        <w:ind w:firstLine="320"/>
      </w:pPr>
      <w:r>
        <w:t>Definiert man „Denken" als einen ziemlich weitgefassten Be</w:t>
      </w:r>
      <w:r>
        <w:softHyphen/>
        <w:t>griff, so zeigen Untersuchungen an Tieren, die einerseits nicht e</w:t>
      </w:r>
      <w:r>
        <w:t>in</w:t>
      </w:r>
      <w:r>
        <w:softHyphen/>
        <w:t>mal Anfangsgründe zu dem, was wir als menschliche Sprachen definiert haben, besitzen, dass bei ihnen andererseits durchaus An</w:t>
      </w:r>
      <w:r>
        <w:softHyphen/>
        <w:t>sätze zu einem Denkvermögen vorliegen. Dieses Denken kommt in bestimmten Fähigkeiten des Erkennens, Unterscheidens, des Erin- n</w:t>
      </w:r>
      <w:r>
        <w:t>erns und des Kombinierens zum Ausdruck. Doch es muss festge</w:t>
      </w:r>
      <w:r>
        <w:softHyphen/>
        <w:t>halten werden, dass Tiere, gerade weil sie keine menschliche Sprache besitzen, eine bestimmte Stufe des Denkens nicht übersteigen können.</w:t>
      </w:r>
    </w:p>
    <w:p w:rsidR="00BB7EDA" w:rsidRDefault="007D72B3">
      <w:pPr>
        <w:pStyle w:val="Bodytext100"/>
        <w:numPr>
          <w:ilvl w:val="0"/>
          <w:numId w:val="45"/>
        </w:numPr>
        <w:shd w:val="clear" w:color="auto" w:fill="auto"/>
        <w:tabs>
          <w:tab w:val="left" w:pos="644"/>
        </w:tabs>
        <w:spacing w:before="0" w:after="180"/>
        <w:ind w:firstLine="0"/>
      </w:pPr>
      <w:r>
        <w:t xml:space="preserve">Unzertrennliche Verzahnung zwischen Denken und Sprache </w:t>
      </w:r>
      <w:r>
        <w:rPr>
          <w:rStyle w:val="Bodytext108ptNotBoldNotItalicSmallCaps"/>
        </w:rPr>
        <w:t>Gip</w:t>
      </w:r>
      <w:r>
        <w:rPr>
          <w:rStyle w:val="Bodytext108ptNotBoldNotItalicSmallCaps"/>
        </w:rPr>
        <w:t xml:space="preserve">per </w:t>
      </w:r>
      <w:r>
        <w:rPr>
          <w:rStyle w:val="Bodytext109ptNotBoldNotItalic"/>
        </w:rPr>
        <w:t>schrieb in diesem Zusammenhang:</w:t>
      </w:r>
    </w:p>
    <w:p w:rsidR="00BB7EDA" w:rsidRDefault="007D72B3">
      <w:pPr>
        <w:pStyle w:val="Bodytext20"/>
        <w:shd w:val="clear" w:color="auto" w:fill="auto"/>
        <w:spacing w:before="0" w:line="226" w:lineRule="exact"/>
        <w:ind w:left="320" w:right="320"/>
        <w:sectPr w:rsidR="00BB7EDA">
          <w:footerReference w:type="even" r:id="rId32"/>
          <w:footerReference w:type="default" r:id="rId33"/>
          <w:headerReference w:type="first" r:id="rId34"/>
          <w:footerReference w:type="first" r:id="rId35"/>
          <w:pgSz w:w="7266" w:h="11422"/>
          <w:pgMar w:top="801" w:right="816" w:bottom="1130" w:left="791" w:header="0" w:footer="3" w:gutter="0"/>
          <w:cols w:space="720"/>
          <w:noEndnote/>
          <w:titlePg/>
          <w:docGrid w:linePitch="360"/>
        </w:sectPr>
      </w:pPr>
      <w:r>
        <w:t xml:space="preserve">„Aber selbst wenn, wie wir annehmen müssen, Denken und Sprache a's zwei </w:t>
      </w:r>
      <w:r>
        <w:t>verschiedene Vermögen anzuerkeunenblei</w:t>
      </w:r>
      <w:r>
        <w:softHyphen/>
        <w:t>ben, so muß doch betont werden, daß die Sprache doch vermutlich bei allen höheren Denkleistungen mitbeteiligt ist,</w:t>
      </w:r>
      <w:r>
        <w:rPr>
          <w:vertAlign w:val="superscript"/>
        </w:rPr>
        <w:footnoteReference w:id="37"/>
      </w:r>
      <w:r>
        <w:rPr>
          <w:vertAlign w:val="superscript"/>
        </w:rPr>
        <w:t xml:space="preserve"> </w:t>
      </w:r>
      <w:r>
        <w:t>eben weil sie unentbehrliche begriffliche Stützen, syntakti</w:t>
      </w:r>
      <w:r>
        <w:softHyphen/>
        <w:t>sche Haltepunkte, feste geistige Struktur</w:t>
      </w:r>
      <w:r>
        <w:t>en bietet, an denen sich das Denken emporzuranken vermag. Bei allem Bemü-</w:t>
      </w:r>
    </w:p>
    <w:p w:rsidR="00BB7EDA" w:rsidRDefault="007D72B3">
      <w:pPr>
        <w:pStyle w:val="Bodytext20"/>
        <w:shd w:val="clear" w:color="auto" w:fill="auto"/>
        <w:spacing w:before="0" w:after="176" w:line="226" w:lineRule="exact"/>
        <w:ind w:left="320" w:right="300"/>
      </w:pPr>
      <w:r>
        <w:t>hen, beim Menschen ein Denken ohne Sprache nachzuwei</w:t>
      </w:r>
      <w:r>
        <w:softHyphen/>
        <w:t>sen, ergeht es uns wie dem Hasen im Märchen, der nach mühsamem Lauf siegesbewußt am Ziel angelangt zu sein glaubt und dort zu sei</w:t>
      </w:r>
      <w:r>
        <w:t>ner Verblüffung den Igel Sprache er</w:t>
      </w:r>
      <w:r>
        <w:softHyphen/>
        <w:t>blicken muß, der ihm unbekümmert zuruft: ,Ich bin schon da!'"</w:t>
      </w:r>
      <w:r>
        <w:rPr>
          <w:vertAlign w:val="superscript"/>
        </w:rPr>
        <w:footnoteReference w:id="38"/>
      </w:r>
    </w:p>
    <w:p w:rsidR="00BB7EDA" w:rsidRDefault="007D72B3">
      <w:pPr>
        <w:pStyle w:val="Bodytext20"/>
        <w:shd w:val="clear" w:color="auto" w:fill="auto"/>
        <w:spacing w:before="0" w:after="184"/>
        <w:ind w:firstLine="320"/>
      </w:pPr>
      <w:r>
        <w:t>Die Erkenntnis bezüglich einer engen unzertrennlichen Ver</w:t>
      </w:r>
      <w:r>
        <w:softHyphen/>
        <w:t>flechtung zwischen Denken und Sprache hat in der Erforschung fremder Kulturen zu neuen und interess</w:t>
      </w:r>
      <w:r>
        <w:t xml:space="preserve">anten Einsichten geführt. Lothar </w:t>
      </w:r>
      <w:r>
        <w:rPr>
          <w:rStyle w:val="Bodytext28ptSmallCaps"/>
        </w:rPr>
        <w:t xml:space="preserve">Käser </w:t>
      </w:r>
      <w:r>
        <w:t>bemerkte in seiner Einführung in die Ethnologie unter dem Titel „Kultur und Sprache" u.a. Folgendes:</w:t>
      </w:r>
    </w:p>
    <w:p w:rsidR="00BB7EDA" w:rsidRDefault="007D72B3">
      <w:pPr>
        <w:pStyle w:val="Bodytext20"/>
        <w:shd w:val="clear" w:color="auto" w:fill="auto"/>
        <w:spacing w:before="0" w:line="226" w:lineRule="exact"/>
        <w:ind w:left="320" w:right="300"/>
      </w:pPr>
      <w:r>
        <w:t>„Sprachen sind jedoch weit mehr als nur charakteristische Kulturelemente. In Wirklichkeit bilden sie komplizierte St</w:t>
      </w:r>
      <w:r>
        <w:t>ruk</w:t>
      </w:r>
      <w:r>
        <w:softHyphen/>
        <w:t>turen, in denen Kultur verschlüsselt, sozusagen kartogra- phiert vorliegt. Sprachen dienen ihren Sprechern nicht nur zur Verständigung, wie das oberflächlich gesehen den An</w:t>
      </w:r>
      <w:r>
        <w:softHyphen/>
        <w:t>schein hat. Wir wissen heute, daß sie das menschliche Denken in einem Ausmaß be</w:t>
      </w:r>
      <w:r>
        <w:t>einflussen und formen, daß man mit Fug und Recht behaupten kann, eine bestimmte Sprache zwinge ihre Sprecher, die Welt um sie herum, die Dinge und Vorgän</w:t>
      </w:r>
      <w:r>
        <w:softHyphen/>
        <w:t>ge darin, deren Eigenschaften und Zustände in typischer Weise wahrzunehmen, zu ordnen, zu begreifen un</w:t>
      </w:r>
      <w:r>
        <w:t>d Aussa</w:t>
      </w:r>
      <w:r>
        <w:softHyphen/>
        <w:t>gen darüber zu machen, um entsprechend darüber verfügen zu können. Folglich bildet auch Sprache innerhalb der dazu</w:t>
      </w:r>
      <w:r>
        <w:softHyphen/>
        <w:t>gehörigen Kultur als Strategie zur Bewältigung des Daseins eine Teilstrategie von hoher Komplexität und Bedeutung.</w:t>
      </w:r>
    </w:p>
    <w:p w:rsidR="00BB7EDA" w:rsidRDefault="007D72B3">
      <w:pPr>
        <w:pStyle w:val="Bodytext20"/>
        <w:shd w:val="clear" w:color="auto" w:fill="auto"/>
        <w:spacing w:before="0" w:line="226" w:lineRule="exact"/>
        <w:ind w:left="320" w:right="300" w:firstLine="280"/>
      </w:pPr>
      <w:r>
        <w:t xml:space="preserve">Sprache ist nicht </w:t>
      </w:r>
      <w:r>
        <w:t>einfach ein Ausdruck des Denkens. Viele Menschen meinen, Denken und Logik seien unabhän</w:t>
      </w:r>
      <w:r>
        <w:softHyphen/>
        <w:t>gig von Sprache bei allen Menschen von Natur aus iden</w:t>
      </w:r>
      <w:r>
        <w:softHyphen/>
        <w:t>tisch, lediglich die Lautqualitäten ihrer Sprachen seien ver</w:t>
      </w:r>
      <w:r>
        <w:softHyphen/>
        <w:t>schieden, die Wörter klängen anders, fremd, ungewohnt</w:t>
      </w:r>
      <w:r>
        <w:t>, die Bedeutung der Wörter jedoch seien die gleichen. Das ist nur in sehr beschränktem Maß richtig. Auf Grund zahlrei</w:t>
      </w:r>
      <w:r>
        <w:softHyphen/>
        <w:t>cher Forschungen an Sprachen aus den verschiedensten Kulturen wissen wir inzwischen mit Sicherheit, daß Spra</w:t>
      </w:r>
      <w:r>
        <w:softHyphen/>
        <w:t xml:space="preserve">chen einerseits Ausdruck der </w:t>
      </w:r>
      <w:r>
        <w:t>unterschiedlichsten Denkfor-</w:t>
      </w:r>
    </w:p>
    <w:p w:rsidR="00BB7EDA" w:rsidRDefault="007D72B3">
      <w:pPr>
        <w:framePr w:h="4306" w:wrap="notBeside" w:vAnchor="text" w:hAnchor="text" w:xAlign="center" w:y="1"/>
        <w:jc w:val="center"/>
        <w:rPr>
          <w:sz w:val="2"/>
          <w:szCs w:val="2"/>
        </w:rPr>
      </w:pPr>
      <w:r>
        <w:fldChar w:fldCharType="begin"/>
      </w:r>
      <w:r>
        <w:instrText xml:space="preserve"> </w:instrText>
      </w:r>
      <w:r>
        <w:instrText>INCLUDEPICTURE  "X:\\sk\\NextUpload116\\Webserver\\german\\RogerLiebi\\media\\image5.jpeg" \* MERGEFORMATINET</w:instrText>
      </w:r>
      <w:r>
        <w:instrText xml:space="preserve"> </w:instrText>
      </w:r>
      <w:r>
        <w:fldChar w:fldCharType="separate"/>
      </w:r>
      <w:r>
        <w:pict>
          <v:shape id="_x0000_i1027" type="#_x0000_t75" style="width:281.25pt;height:3in">
            <v:imagedata r:id="rId36" r:href="rId37"/>
          </v:shape>
        </w:pict>
      </w:r>
      <w:r>
        <w:fldChar w:fldCharType="end"/>
      </w:r>
    </w:p>
    <w:p w:rsidR="00BB7EDA" w:rsidRDefault="00BB7EDA">
      <w:pPr>
        <w:rPr>
          <w:sz w:val="2"/>
          <w:szCs w:val="2"/>
        </w:rPr>
      </w:pPr>
    </w:p>
    <w:p w:rsidR="00BB7EDA" w:rsidRDefault="007D72B3">
      <w:pPr>
        <w:pStyle w:val="Bodytext120"/>
        <w:shd w:val="clear" w:color="auto" w:fill="auto"/>
        <w:spacing w:before="21" w:after="389"/>
      </w:pPr>
      <w:r>
        <w:t>Abb. 4 Ohne Sprache ist höheres Denken unmöglich. Ohne höheres Denken ist Spracherfindung unmöglich.</w:t>
      </w:r>
    </w:p>
    <w:p w:rsidR="00BB7EDA" w:rsidRDefault="007D72B3">
      <w:pPr>
        <w:pStyle w:val="Bodytext20"/>
        <w:shd w:val="clear" w:color="auto" w:fill="auto"/>
        <w:spacing w:before="0" w:after="184"/>
        <w:ind w:left="320" w:right="320"/>
      </w:pPr>
      <w:r>
        <w:t>men sind,</w:t>
      </w:r>
      <w:r>
        <w:t xml:space="preserve"> und andererseits, daß Sprachen durch ihre spezi</w:t>
      </w:r>
      <w:r>
        <w:softHyphen/>
        <w:t>ellen Strukturen die unterschiedlichsten Denkformen bei denen schaffen, die sie als Muttersprache sprechen lernen (müssen)."</w:t>
      </w:r>
      <w:r>
        <w:rPr>
          <w:vertAlign w:val="superscript"/>
        </w:rPr>
        <w:footnoteReference w:id="39"/>
      </w:r>
    </w:p>
    <w:p w:rsidR="00BB7EDA" w:rsidRDefault="007D72B3">
      <w:pPr>
        <w:pStyle w:val="Bodytext100"/>
        <w:numPr>
          <w:ilvl w:val="0"/>
          <w:numId w:val="45"/>
        </w:numPr>
        <w:shd w:val="clear" w:color="auto" w:fill="auto"/>
        <w:tabs>
          <w:tab w:val="left" w:pos="644"/>
        </w:tabs>
        <w:spacing w:before="0"/>
        <w:ind w:firstLine="0"/>
      </w:pPr>
      <w:r>
        <w:t>Das Süssmilch'sehe Paradoxon</w:t>
      </w:r>
    </w:p>
    <w:p w:rsidR="00BB7EDA" w:rsidRDefault="007D72B3">
      <w:pPr>
        <w:pStyle w:val="Bodytext20"/>
        <w:shd w:val="clear" w:color="auto" w:fill="auto"/>
        <w:spacing w:before="0" w:line="226" w:lineRule="exact"/>
        <w:sectPr w:rsidR="00BB7EDA">
          <w:pgSz w:w="7266" w:h="11422"/>
          <w:pgMar w:top="684" w:right="832" w:bottom="1217" w:left="789" w:header="0" w:footer="3" w:gutter="0"/>
          <w:cols w:space="720"/>
          <w:noEndnote/>
          <w:docGrid w:linePitch="360"/>
        </w:sectPr>
      </w:pPr>
      <w:r>
        <w:t xml:space="preserve">Johann Peter </w:t>
      </w:r>
      <w:r>
        <w:rPr>
          <w:rStyle w:val="Bodytext28ptBoldSmallCaps"/>
        </w:rPr>
        <w:t xml:space="preserve">Süssmilch </w:t>
      </w:r>
      <w:r>
        <w:t xml:space="preserve">stellte </w:t>
      </w:r>
      <w:r>
        <w:t>bereits 1756 den engen Zusammen</w:t>
      </w:r>
      <w:r>
        <w:softHyphen/>
        <w:t>hang zwischen Denken und Sprache fest. Dabei kam er zum Schluss, dass der Mensch ohne den Besitz seines Denkvermögens die Spra</w:t>
      </w:r>
      <w:r>
        <w:softHyphen/>
        <w:t>che gar nicht erfinden konnte, und dass das Denken auf der anderen Seite ja von der bestehenden E</w:t>
      </w:r>
      <w:r>
        <w:t>xistenz der Sprache abhängig ist.</w:t>
      </w:r>
      <w:r>
        <w:rPr>
          <w:vertAlign w:val="superscript"/>
        </w:rPr>
        <w:footnoteReference w:id="40"/>
      </w:r>
      <w:r>
        <w:rPr>
          <w:vertAlign w:val="superscript"/>
        </w:rPr>
        <w:t xml:space="preserve"> </w:t>
      </w:r>
      <w:r>
        <w:t xml:space="preserve">Diesem Widerspruch muss sich jeder Sprach-Evolutionist stellen. Das </w:t>
      </w:r>
      <w:r>
        <w:rPr>
          <w:rStyle w:val="Bodytext2Italic0"/>
        </w:rPr>
        <w:t>Süssmilch'sehe Paradoxon</w:t>
      </w:r>
      <w:r>
        <w:t xml:space="preserve"> ist für die Entwicklungslehre ein unge</w:t>
      </w:r>
      <w:r>
        <w:softHyphen/>
        <w:t>löstes „Henne-Ei"-Problem.</w:t>
      </w:r>
    </w:p>
    <w:p w:rsidR="00BB7EDA" w:rsidRDefault="007D72B3">
      <w:pPr>
        <w:pStyle w:val="Bodytext20"/>
        <w:shd w:val="clear" w:color="auto" w:fill="auto"/>
        <w:spacing w:before="0" w:after="400"/>
      </w:pPr>
      <w:r>
        <w:t xml:space="preserve">Heutzutage kann man auf dem ganzen Erdball mit mehr als 6.800 </w:t>
      </w:r>
      <w:r>
        <w:t>verschiedenen Sprachen rechnen.</w:t>
      </w:r>
      <w:r>
        <w:rPr>
          <w:vertAlign w:val="superscript"/>
        </w:rPr>
        <w:t>43</w:t>
      </w:r>
      <w:r>
        <w:t xml:space="preserve"> Die Dialekte sind hier nicht mit- gezählt. Mit den Mundarten käme man auf eine bedeutend höhere Zahl. Die genaue Anzahl der Sprachen kann allerdings niemand angeben, da 1. die Unterscheidung zwischen Sprache und Dialekt an</w:t>
      </w:r>
      <w:r>
        <w:t xml:space="preserve"> sich problematisch ist,</w:t>
      </w:r>
      <w:r>
        <w:rPr>
          <w:vertAlign w:val="superscript"/>
        </w:rPr>
        <w:footnoteReference w:id="41"/>
      </w:r>
      <w:r>
        <w:rPr>
          <w:vertAlign w:val="superscript"/>
        </w:rPr>
        <w:t xml:space="preserve"> </w:t>
      </w:r>
      <w:r>
        <w:rPr>
          <w:vertAlign w:val="superscript"/>
        </w:rPr>
        <w:footnoteReference w:id="42"/>
      </w:r>
      <w:r>
        <w:t xml:space="preserve"> und weil 2. die Sprachen und Mundarten zahlreicher Volksgruppen bis heute noch nicht oder zu wenig er</w:t>
      </w:r>
      <w:r>
        <w:softHyphen/>
        <w:t>forscht worden sind.</w:t>
      </w:r>
      <w:r>
        <w:rPr>
          <w:vertAlign w:val="superscript"/>
        </w:rPr>
        <w:footnoteReference w:id="43"/>
      </w:r>
    </w:p>
    <w:p w:rsidR="00BB7EDA" w:rsidRDefault="007D72B3">
      <w:pPr>
        <w:pStyle w:val="Bodytext90"/>
        <w:numPr>
          <w:ilvl w:val="0"/>
          <w:numId w:val="46"/>
        </w:numPr>
        <w:shd w:val="clear" w:color="auto" w:fill="auto"/>
        <w:tabs>
          <w:tab w:val="left" w:pos="615"/>
        </w:tabs>
        <w:spacing w:after="154" w:line="180" w:lineRule="exact"/>
      </w:pPr>
      <w:r>
        <w:t>Kein Problem für Kleinkinder</w:t>
      </w:r>
    </w:p>
    <w:p w:rsidR="00BB7EDA" w:rsidRDefault="007D72B3">
      <w:pPr>
        <w:pStyle w:val="Bodytext20"/>
        <w:shd w:val="clear" w:color="auto" w:fill="auto"/>
        <w:spacing w:before="0" w:after="376"/>
      </w:pPr>
      <w:r>
        <w:t>Die Spracherwerbsforschung hat gezeigt, dass alle normalen Klein</w:t>
      </w:r>
      <w:r>
        <w:softHyphen/>
        <w:t xml:space="preserve">kinder in </w:t>
      </w:r>
      <w:r>
        <w:t>der Lage sind, jede x-beliebige Sprache zu lernen und schließlich akzentfrei zu beherrschen. Wir hätten in unserer früh</w:t>
      </w:r>
      <w:r>
        <w:softHyphen/>
        <w:t>kindlichen Phase genausogut perfekt Suaheli, Mandarin-Chinesisch oder irgendeine Indianer-Sprache lernen können, wenn man in unse</w:t>
      </w:r>
      <w:r>
        <w:softHyphen/>
        <w:t>rem so</w:t>
      </w:r>
      <w:r>
        <w:t>zialen Umfeld diese Sprachen mit uns gesprochen hätte.</w:t>
      </w:r>
      <w:r>
        <w:rPr>
          <w:vertAlign w:val="superscript"/>
        </w:rPr>
        <w:footnoteReference w:id="44"/>
      </w:r>
    </w:p>
    <w:p w:rsidR="00BB7EDA" w:rsidRDefault="007D72B3">
      <w:pPr>
        <w:pStyle w:val="Heading40"/>
        <w:keepNext/>
        <w:keepLines/>
        <w:numPr>
          <w:ilvl w:val="1"/>
          <w:numId w:val="44"/>
        </w:numPr>
        <w:shd w:val="clear" w:color="auto" w:fill="auto"/>
        <w:tabs>
          <w:tab w:val="left" w:pos="399"/>
        </w:tabs>
        <w:spacing w:after="157" w:line="210" w:lineRule="exact"/>
      </w:pPr>
      <w:bookmarkStart w:id="27" w:name="bookmark26"/>
      <w:r>
        <w:t>Grammatik, Semantik und Graphemik</w:t>
      </w:r>
      <w:bookmarkEnd w:id="27"/>
    </w:p>
    <w:p w:rsidR="00BB7EDA" w:rsidRDefault="007D72B3">
      <w:pPr>
        <w:pStyle w:val="Bodytext20"/>
        <w:shd w:val="clear" w:color="auto" w:fill="auto"/>
        <w:spacing w:before="0" w:line="226" w:lineRule="exact"/>
        <w:sectPr w:rsidR="00BB7EDA">
          <w:footerReference w:type="even" r:id="rId38"/>
          <w:footerReference w:type="default" r:id="rId39"/>
          <w:headerReference w:type="first" r:id="rId40"/>
          <w:footerReference w:type="first" r:id="rId41"/>
          <w:pgSz w:w="7266" w:h="11422"/>
          <w:pgMar w:top="1218" w:right="803" w:bottom="1194" w:left="784" w:header="0" w:footer="3" w:gutter="0"/>
          <w:cols w:space="720"/>
          <w:noEndnote/>
          <w:titlePg/>
          <w:docGrid w:linePitch="360"/>
        </w:sectPr>
      </w:pPr>
      <w:r>
        <w:t xml:space="preserve">Im Rahmen der deskriptiven Linguistik ist die </w:t>
      </w:r>
      <w:r>
        <w:rPr>
          <w:rStyle w:val="Bodytext2Italic0"/>
        </w:rPr>
        <w:t>Grammatikern</w:t>
      </w:r>
      <w:r>
        <w:t xml:space="preserve"> Haupt</w:t>
      </w:r>
      <w:r>
        <w:softHyphen/>
        <w:t>thema. Man kann sie definieren als ein System von Gesetzmäßigkei-</w:t>
      </w:r>
    </w:p>
    <w:p w:rsidR="00BB7EDA" w:rsidRDefault="007D72B3">
      <w:pPr>
        <w:pStyle w:val="Bodytext20"/>
        <w:shd w:val="clear" w:color="auto" w:fill="auto"/>
        <w:spacing w:before="0" w:after="457" w:line="226" w:lineRule="exact"/>
      </w:pPr>
      <w:r>
        <w:t xml:space="preserve">ten, das Laute und ihre Zusammensetzungen regelt. Im Code-System, also im Rahmen der Langue einer Sprache, können insgesamt </w:t>
      </w:r>
      <w:r>
        <w:rPr>
          <w:rStyle w:val="Bodytext2Italic0"/>
        </w:rPr>
        <w:t>fünf verschiedene Ebenen</w:t>
      </w:r>
      <w:r>
        <w:t xml:space="preserve"> unterschieden werden:</w:t>
      </w:r>
    </w:p>
    <w:p w:rsidR="00BB7EDA" w:rsidRDefault="007D72B3">
      <w:pPr>
        <w:pStyle w:val="Bodytext20"/>
        <w:numPr>
          <w:ilvl w:val="0"/>
          <w:numId w:val="47"/>
        </w:numPr>
        <w:shd w:val="clear" w:color="auto" w:fill="auto"/>
        <w:tabs>
          <w:tab w:val="left" w:pos="490"/>
        </w:tabs>
        <w:spacing w:before="0" w:after="223" w:line="180" w:lineRule="exact"/>
      </w:pPr>
      <w:r>
        <w:t>Phonologie</w:t>
      </w:r>
    </w:p>
    <w:p w:rsidR="00BB7EDA" w:rsidRDefault="007D72B3">
      <w:pPr>
        <w:pStyle w:val="Bodytext100"/>
        <w:numPr>
          <w:ilvl w:val="0"/>
          <w:numId w:val="48"/>
        </w:numPr>
        <w:shd w:val="clear" w:color="auto" w:fill="auto"/>
        <w:tabs>
          <w:tab w:val="left" w:pos="644"/>
        </w:tabs>
        <w:spacing w:before="0"/>
        <w:ind w:firstLine="0"/>
      </w:pPr>
      <w:r>
        <w:t>Zur Vielfalt der Phone und der Phoneme</w:t>
      </w:r>
    </w:p>
    <w:p w:rsidR="00BB7EDA" w:rsidRDefault="007D72B3">
      <w:pPr>
        <w:pStyle w:val="Bodytext20"/>
        <w:shd w:val="clear" w:color="auto" w:fill="auto"/>
        <w:spacing w:before="0" w:line="226" w:lineRule="exact"/>
      </w:pPr>
      <w:r>
        <w:t>Der menschliche Sprechapparat kann außerordentlich viele ver</w:t>
      </w:r>
      <w:r>
        <w:softHyphen/>
        <w:t xml:space="preserve">schiedene Laute </w:t>
      </w:r>
      <w:r>
        <w:rPr>
          <w:rStyle w:val="Bodytext2Italic0"/>
        </w:rPr>
        <w:t>(Phone)</w:t>
      </w:r>
      <w:r>
        <w:t xml:space="preserve"> erzeugen. Sie bilden die Bausteine der Sprachen. Laute, die innerhalb eine</w:t>
      </w:r>
      <w:r>
        <w:t>r Sprache bedeutungsunter</w:t>
      </w:r>
      <w:r>
        <w:softHyphen/>
        <w:t xml:space="preserve">scheidende Funktion haben, bezeichnet man als </w:t>
      </w:r>
      <w:r>
        <w:rPr>
          <w:rStyle w:val="Bodytext2Italic0"/>
        </w:rPr>
        <w:t>Phoneme.</w:t>
      </w:r>
      <w:r>
        <w:t xml:space="preserve"> Weltweit werden ungefähr 600 verschiedene Laute sprachlich angewendet.</w:t>
      </w:r>
      <w:r>
        <w:rPr>
          <w:vertAlign w:val="superscript"/>
        </w:rPr>
        <w:footnoteReference w:id="45"/>
      </w:r>
      <w:r>
        <w:rPr>
          <w:vertAlign w:val="superscript"/>
        </w:rPr>
        <w:t xml:space="preserve"> </w:t>
      </w:r>
      <w:r>
        <w:t>Hier ein paar frei und ungeordnet ausgewählte Beispiele für Phone</w:t>
      </w:r>
      <w:r>
        <w:softHyphen/>
        <w:t xml:space="preserve">me im Deutschen: /«/, </w:t>
      </w:r>
      <w:r>
        <w:rPr>
          <w:rStyle w:val="Bodytext2Italic0"/>
        </w:rPr>
        <w:t>/b/,</w:t>
      </w:r>
      <w:r>
        <w:t xml:space="preserve"> /z/, /d/, </w:t>
      </w:r>
      <w:r>
        <w:rPr>
          <w:rStyle w:val="Bodytext2Italic0"/>
        </w:rPr>
        <w:t>/w/,</w:t>
      </w:r>
      <w:r>
        <w:t xml:space="preserve"> /f/, </w:t>
      </w:r>
      <w:r>
        <w:rPr>
          <w:rStyle w:val="Bodytext2Italic0"/>
        </w:rPr>
        <w:t>/kf /o/.</w:t>
      </w:r>
    </w:p>
    <w:p w:rsidR="00BB7EDA" w:rsidRDefault="007D72B3">
      <w:pPr>
        <w:pStyle w:val="Bodytext20"/>
        <w:shd w:val="clear" w:color="auto" w:fill="auto"/>
        <w:spacing w:before="0" w:line="226" w:lineRule="exact"/>
        <w:ind w:firstLine="320"/>
      </w:pPr>
      <w:r>
        <w:t>Die meisten Phoneme tragen für sich isoliert keine Bedeutung, sie sind aber in jedem Fall bedeutungsunterscheidend. Im Deut</w:t>
      </w:r>
      <w:r>
        <w:softHyphen/>
        <w:t xml:space="preserve">schen besagen die Phoneme </w:t>
      </w:r>
      <w:r>
        <w:rPr>
          <w:rStyle w:val="Bodytext2Italic0"/>
        </w:rPr>
        <w:t>/h/</w:t>
      </w:r>
      <w:r>
        <w:t xml:space="preserve"> und /?/ für sich allein genommen nichts. Aber dank dieser Bausteine können wir z.B.</w:t>
      </w:r>
      <w:r>
        <w:t xml:space="preserve"> die Wörter </w:t>
      </w:r>
      <w:r>
        <w:rPr>
          <w:rStyle w:val="Bodytext2Italic0"/>
        </w:rPr>
        <w:t xml:space="preserve">Haus </w:t>
      </w:r>
      <w:r>
        <w:t xml:space="preserve">und </w:t>
      </w:r>
      <w:r>
        <w:rPr>
          <w:rStyle w:val="Bodytext2Italic0"/>
        </w:rPr>
        <w:t>Laus</w:t>
      </w:r>
      <w:r>
        <w:t xml:space="preserve"> voneinander unterscheiden.</w:t>
      </w:r>
    </w:p>
    <w:p w:rsidR="00BB7EDA" w:rsidRDefault="007D72B3">
      <w:pPr>
        <w:pStyle w:val="Bodytext20"/>
        <w:shd w:val="clear" w:color="auto" w:fill="auto"/>
        <w:spacing w:before="0" w:line="226" w:lineRule="exact"/>
        <w:ind w:firstLine="320"/>
      </w:pPr>
      <w:r>
        <w:t>Zur Methode der Phonem-Ermittlung in einer bestimmten Spra</w:t>
      </w:r>
      <w:r>
        <w:softHyphen/>
        <w:t>che gehört folgendes Vorgehen: Man vergleicht Wörter, die sich nur in einem einzigen Laut voneinander unterscheiden. Wenn sich da</w:t>
      </w:r>
      <w:r>
        <w:softHyphen/>
        <w:t>durch eine Bed</w:t>
      </w:r>
      <w:r>
        <w:t>eutungsdifferenz ergibt, so haben wir es mit zwei verschiedenen Phonemen zu tun. Die Erforschung der Phoneme ist der Bereich der Phonologie.</w:t>
      </w:r>
      <w:r>
        <w:rPr>
          <w:vertAlign w:val="superscript"/>
        </w:rPr>
        <w:footnoteReference w:id="46"/>
      </w:r>
    </w:p>
    <w:p w:rsidR="00BB7EDA" w:rsidRDefault="007D72B3">
      <w:pPr>
        <w:pStyle w:val="Bodytext20"/>
        <w:shd w:val="clear" w:color="auto" w:fill="auto"/>
        <w:spacing w:before="0" w:line="226" w:lineRule="exact"/>
        <w:ind w:firstLine="320"/>
      </w:pPr>
      <w:r>
        <w:t>Die Phoneme bilden die Basis, die Ausgangslage, um in einer gewissen Sprache ein Alphabet aufzustellen. Sie entspr</w:t>
      </w:r>
      <w:r>
        <w:t>echen häu</w:t>
      </w:r>
      <w:r>
        <w:softHyphen/>
        <w:t>fig dem, was in der Schrift durch Buchstaben dargestellt wird.</w:t>
      </w:r>
      <w:r>
        <w:rPr>
          <w:vertAlign w:val="superscript"/>
        </w:rPr>
        <w:footnoteReference w:id="47"/>
      </w:r>
    </w:p>
    <w:p w:rsidR="00BB7EDA" w:rsidRDefault="007D72B3">
      <w:pPr>
        <w:pStyle w:val="Bodytext20"/>
        <w:shd w:val="clear" w:color="auto" w:fill="auto"/>
        <w:spacing w:before="0"/>
        <w:ind w:firstLine="340"/>
      </w:pPr>
      <w:r>
        <w:t>Der Phonologe hört auf die gesprochene Sprache. Er versucht sie in die kleinstmöglichen bedeutungsunterscheidenden Einheiten auf</w:t>
      </w:r>
      <w:r>
        <w:softHyphen/>
        <w:t>zusplittern.</w:t>
      </w:r>
    </w:p>
    <w:p w:rsidR="00BB7EDA" w:rsidRDefault="007D72B3">
      <w:pPr>
        <w:pStyle w:val="Bodytext20"/>
        <w:shd w:val="clear" w:color="auto" w:fill="auto"/>
        <w:spacing w:before="0" w:after="184"/>
        <w:ind w:firstLine="340"/>
      </w:pPr>
      <w:r>
        <w:t xml:space="preserve">In keiner Sprache werden alle möglichen </w:t>
      </w:r>
      <w:r>
        <w:t>Laute verwendet. Die Anzahl der angewandten Laute in einer bestimmten Sprache ist begrenzt. Sie überschreitet wohl kaum die Grenze von 100 Lauten. Im Laufe der Geschichte einer bestimmten Sprache kann sich die Zahl der Phoneme ändern. Neue Phoneme können e</w:t>
      </w:r>
      <w:r>
        <w:t>ntstehen, alte hingegen mögen verloren gehen.</w:t>
      </w:r>
      <w:r>
        <w:rPr>
          <w:vertAlign w:val="superscript"/>
        </w:rPr>
        <w:t>55</w:t>
      </w:r>
      <w:r>
        <w:t xml:space="preserve"> Diese Prozesse sind an gewisse Gesetzmäßigkeiten gebunden und können als Regeln formuliert werden.</w:t>
      </w:r>
    </w:p>
    <w:p w:rsidR="00BB7EDA" w:rsidRPr="007D72B3" w:rsidRDefault="007D72B3">
      <w:pPr>
        <w:pStyle w:val="Bodytext100"/>
        <w:numPr>
          <w:ilvl w:val="0"/>
          <w:numId w:val="49"/>
        </w:numPr>
        <w:shd w:val="clear" w:color="auto" w:fill="auto"/>
        <w:tabs>
          <w:tab w:val="left" w:pos="658"/>
        </w:tabs>
        <w:spacing w:before="0"/>
        <w:ind w:left="340"/>
        <w:rPr>
          <w:lang w:val="en-US"/>
        </w:rPr>
      </w:pPr>
      <w:r w:rsidRPr="007D72B3">
        <w:rPr>
          <w:lang w:val="en-US"/>
        </w:rPr>
        <w:t>Verlust an Phonemen: Evolution oder Devolution?</w:t>
      </w:r>
    </w:p>
    <w:p w:rsidR="00BB7EDA" w:rsidRDefault="007D72B3">
      <w:pPr>
        <w:pStyle w:val="Bodytext20"/>
        <w:shd w:val="clear" w:color="auto" w:fill="auto"/>
        <w:spacing w:before="0" w:line="226" w:lineRule="exact"/>
      </w:pPr>
      <w:r>
        <w:t>Wenn, wie eben ausgeführt, die Zahl der Phoneme in einer best</w:t>
      </w:r>
      <w:r>
        <w:t>imm</w:t>
      </w:r>
      <w:r>
        <w:softHyphen/>
        <w:t>ten Sprache zu- oder abnehmen kann, so stellt sich uns hier die Frage, ob ein Verlust bzw. eine Zunahme an Phonemen als Evoluti</w:t>
      </w:r>
      <w:r>
        <w:softHyphen/>
        <w:t>on oder als Devolution (Abwärtsentwicklung) gewertet werden soll.</w:t>
      </w:r>
    </w:p>
    <w:p w:rsidR="00BB7EDA" w:rsidRDefault="007D72B3">
      <w:pPr>
        <w:pStyle w:val="Bodytext20"/>
        <w:shd w:val="clear" w:color="auto" w:fill="auto"/>
        <w:spacing w:before="0" w:line="226" w:lineRule="exact"/>
        <w:ind w:firstLine="340"/>
      </w:pPr>
      <w:r>
        <w:t>In diesem Zusammenhang muss klar festgehalten werden, dass</w:t>
      </w:r>
      <w:r>
        <w:t xml:space="preserve"> solche Veränderungen in der Phonologie nichts mit bewusster und intelligenter Steuerung zu tun haben. Lautliche Verschiebungen stehen üblicherweise nicht in Verbindung mit menschlicher Kreati</w:t>
      </w:r>
      <w:r>
        <w:softHyphen/>
        <w:t>vität. Normalerweise versucht niemand, seine Sprache zu entwik-</w:t>
      </w:r>
      <w:r>
        <w:t xml:space="preserve"> keln, indem er ihr willentlich neue Phoneme hinzufügt oder von ihr wegnimmt.</w:t>
      </w:r>
    </w:p>
    <w:p w:rsidR="00BB7EDA" w:rsidRDefault="007D72B3">
      <w:pPr>
        <w:pStyle w:val="Bodytext20"/>
        <w:shd w:val="clear" w:color="auto" w:fill="auto"/>
        <w:spacing w:before="0" w:after="507" w:line="226" w:lineRule="exact"/>
        <w:ind w:firstLine="340"/>
      </w:pPr>
      <w:r>
        <w:t>Des Weiteren stellt sich die Frage, was denn das Ideal einer Sprache sein soll: Möglichst viele oder möglichst wenig Phoneme? Die Beantwortung dieser Frage hängt vom Standpunkt a</w:t>
      </w:r>
      <w:r>
        <w:t>b: Aus der</w:t>
      </w:r>
    </w:p>
    <w:p w:rsidR="00BB7EDA" w:rsidRDefault="007D72B3">
      <w:pPr>
        <w:pStyle w:val="Bodytext60"/>
        <w:shd w:val="clear" w:color="auto" w:fill="auto"/>
        <w:spacing w:line="192" w:lineRule="exact"/>
        <w:ind w:left="340"/>
        <w:jc w:val="both"/>
      </w:pPr>
      <w:r>
        <w:t>phonetischen Schrift hingegen wird für jeden Laut ein eigenes Zeichen verwendet.</w:t>
      </w:r>
    </w:p>
    <w:p w:rsidR="00BB7EDA" w:rsidRDefault="007D72B3">
      <w:pPr>
        <w:pStyle w:val="Bodytext60"/>
        <w:numPr>
          <w:ilvl w:val="0"/>
          <w:numId w:val="50"/>
        </w:numPr>
        <w:shd w:val="clear" w:color="auto" w:fill="auto"/>
        <w:tabs>
          <w:tab w:val="left" w:pos="288"/>
        </w:tabs>
        <w:spacing w:line="192" w:lineRule="exact"/>
        <w:ind w:left="340" w:hanging="340"/>
        <w:jc w:val="both"/>
      </w:pPr>
      <w:r>
        <w:t xml:space="preserve">Ein Beispiel für Verlust: Die frühgriechischen Phoneme F („Digamma" genannt, als </w:t>
      </w:r>
      <w:r>
        <w:rPr>
          <w:rStyle w:val="Bodytext675ptItalic"/>
        </w:rPr>
        <w:t>/w/</w:t>
      </w:r>
      <w:r>
        <w:t xml:space="preserve"> ausgesprochen) und </w:t>
      </w:r>
      <w:r>
        <w:rPr>
          <w:rStyle w:val="Bodytext675ptItalic"/>
        </w:rPr>
        <w:t>Jod</w:t>
      </w:r>
      <w:r>
        <w:t xml:space="preserve"> gingen für die klassische Zeit verloren </w:t>
      </w:r>
      <w:r>
        <w:rPr>
          <w:rStyle w:val="Bodytext67ptSmallCaps"/>
        </w:rPr>
        <w:t xml:space="preserve">(Hoffmann/von Siebenthal: </w:t>
      </w:r>
      <w:r>
        <w:t>Griechische Grammatik des Neuen Testamentes, S. 9 und 22-23).</w:t>
      </w:r>
    </w:p>
    <w:p w:rsidR="00BB7EDA" w:rsidRDefault="007D72B3">
      <w:pPr>
        <w:pStyle w:val="Bodytext60"/>
        <w:shd w:val="clear" w:color="auto" w:fill="auto"/>
        <w:spacing w:line="192" w:lineRule="exact"/>
        <w:ind w:left="340"/>
        <w:jc w:val="both"/>
      </w:pPr>
      <w:r>
        <w:t>Beispiele für Zunahme: Gegenüber dem klassischen Latein haben die mei</w:t>
      </w:r>
      <w:r>
        <w:softHyphen/>
        <w:t>sten romanischen Sprachen ein unfangreicheres Inventar an Phonemen. Beim Französischen ist dies be</w:t>
      </w:r>
      <w:r>
        <w:t>sonders ausgeprägt. Im Mittelalter wurde durch unbewusste Prozesse ein derart komplexes Phoneminventar aufge</w:t>
      </w:r>
      <w:r>
        <w:softHyphen/>
        <w:t>baut, sodass es schließlich etwa doppelt so viele Phoneme als das Latein umfasste. Seit dem Mittelalter wurde es jedoch wieder etwas reduziert (per</w:t>
      </w:r>
      <w:r>
        <w:t xml:space="preserve">sönliche Mitteilung von Prof. A.M. </w:t>
      </w:r>
      <w:r>
        <w:rPr>
          <w:rStyle w:val="Bodytext67ptSmallCaps"/>
        </w:rPr>
        <w:t xml:space="preserve">Kristol-Larant, </w:t>
      </w:r>
      <w:r>
        <w:t>Universität Neuchätel. 5. April 1996).</w:t>
      </w:r>
    </w:p>
    <w:p w:rsidR="00BB7EDA" w:rsidRDefault="007D72B3">
      <w:pPr>
        <w:pStyle w:val="Bodytext20"/>
        <w:shd w:val="clear" w:color="auto" w:fill="auto"/>
        <w:spacing w:before="0"/>
      </w:pPr>
      <w:r>
        <w:t>Sicht eines Musikers könnte man für das ästhetische Ideal möglichst vieler Phoneme plädieren. Geht man jedoch von der Informations</w:t>
      </w:r>
      <w:r>
        <w:softHyphen/>
        <w:t>theorie aus, so mag man geneigt sei</w:t>
      </w:r>
      <w:r>
        <w:t>n, das Ideal als „höchste Informationsdichte bei möglichst wenigen Bausteinen" zu formulie</w:t>
      </w:r>
      <w:r>
        <w:softHyphen/>
        <w:t>ren. Im Zusammenhang mit dem DNS-Molekül, das in der Zelle die Erbinformation trägt, hat man festgestellt, dass es sich bei der dorti</w:t>
      </w:r>
      <w:r>
        <w:softHyphen/>
        <w:t>gen Verwendung von 4 „Buchstabe</w:t>
      </w:r>
      <w:r>
        <w:t>n",</w:t>
      </w:r>
      <w:r>
        <w:rPr>
          <w:vertAlign w:val="superscript"/>
        </w:rPr>
        <w:footnoteReference w:id="48"/>
      </w:r>
      <w:r>
        <w:t xml:space="preserve"> die jeweils in Dreiergrup</w:t>
      </w:r>
      <w:r>
        <w:softHyphen/>
        <w:t>pen zusammengesetzt sind, um die Informationsdarstellung han</w:t>
      </w:r>
      <w:r>
        <w:softHyphen/>
        <w:t>delt, die am meisten Material spart!</w:t>
      </w:r>
      <w:r>
        <w:rPr>
          <w:vertAlign w:val="superscript"/>
        </w:rPr>
        <w:footnoteReference w:id="49"/>
      </w:r>
      <w:r>
        <w:t xml:space="preserve"> 4 Buchstaben in Dreiergruppen ist dort das Optimum.</w:t>
      </w:r>
    </w:p>
    <w:p w:rsidR="00BB7EDA" w:rsidRDefault="007D72B3">
      <w:pPr>
        <w:pStyle w:val="Bodytext20"/>
        <w:shd w:val="clear" w:color="auto" w:fill="auto"/>
        <w:spacing w:before="0" w:after="184"/>
        <w:ind w:firstLine="320"/>
      </w:pPr>
      <w:r>
        <w:t>Im Zusammenhang mit den menschlichen Sprachen kommt es wirklich auf den Bl</w:t>
      </w:r>
      <w:r>
        <w:t>ickwinkel an, wenn man die Zahl der Phoneme beurteilen will. Daraus folgt, dass dieser Aspekt der Sprache unge</w:t>
      </w:r>
      <w:r>
        <w:softHyphen/>
        <w:t>eignet ist, um als Kriterium für Evolution bzw. Devolution verwen</w:t>
      </w:r>
      <w:r>
        <w:softHyphen/>
        <w:t>det zu werden.</w:t>
      </w:r>
    </w:p>
    <w:p w:rsidR="00BB7EDA" w:rsidRDefault="007D72B3">
      <w:pPr>
        <w:pStyle w:val="Bodytext100"/>
        <w:numPr>
          <w:ilvl w:val="0"/>
          <w:numId w:val="49"/>
        </w:numPr>
        <w:shd w:val="clear" w:color="auto" w:fill="auto"/>
        <w:tabs>
          <w:tab w:val="left" w:pos="649"/>
        </w:tabs>
        <w:spacing w:before="0"/>
        <w:ind w:firstLine="0"/>
      </w:pPr>
      <w:r>
        <w:t>Zur Klassifizierung der Phoneme</w:t>
      </w:r>
    </w:p>
    <w:p w:rsidR="00BB7EDA" w:rsidRDefault="007D72B3">
      <w:pPr>
        <w:pStyle w:val="Bodytext20"/>
        <w:shd w:val="clear" w:color="auto" w:fill="auto"/>
        <w:spacing w:before="0" w:after="180" w:line="226" w:lineRule="exact"/>
      </w:pPr>
      <w:r>
        <w:t xml:space="preserve">Die Phoneme werden in </w:t>
      </w:r>
      <w:r>
        <w:rPr>
          <w:rStyle w:val="Bodytext2Italic0"/>
        </w:rPr>
        <w:t>Vokale</w:t>
      </w:r>
      <w:r>
        <w:t xml:space="preserve"> und</w:t>
      </w:r>
      <w:r>
        <w:t xml:space="preserve"> </w:t>
      </w:r>
      <w:r>
        <w:rPr>
          <w:rStyle w:val="Bodytext2Italic0"/>
        </w:rPr>
        <w:t>Konsonanten</w:t>
      </w:r>
      <w:r>
        <w:t xml:space="preserve"> aufgeteilt. Beide Gruppen können sehr differenziert durch Beobachtung der Art und Weise wie sie produziert werden wiederum in verschiedene Katego</w:t>
      </w:r>
      <w:r>
        <w:softHyphen/>
        <w:t>rien eingeordnet werden. So stellt man sich z.B. bei den Konsonan</w:t>
      </w:r>
      <w:r>
        <w:softHyphen/>
        <w:t>ten die drei Fragen:</w:t>
      </w:r>
      <w:r>
        <w:rPr>
          <w:vertAlign w:val="superscript"/>
        </w:rPr>
        <w:footnoteReference w:id="50"/>
      </w:r>
    </w:p>
    <w:p w:rsidR="00BB7EDA" w:rsidRDefault="007D72B3">
      <w:pPr>
        <w:pStyle w:val="Bodytext20"/>
        <w:numPr>
          <w:ilvl w:val="0"/>
          <w:numId w:val="51"/>
        </w:numPr>
        <w:shd w:val="clear" w:color="auto" w:fill="auto"/>
        <w:tabs>
          <w:tab w:val="left" w:pos="285"/>
        </w:tabs>
        <w:spacing w:before="0" w:line="226" w:lineRule="exact"/>
      </w:pPr>
      <w:r>
        <w:t>Vibrieren</w:t>
      </w:r>
      <w:r>
        <w:t xml:space="preserve"> die Stimmbänder?</w:t>
      </w:r>
    </w:p>
    <w:p w:rsidR="00BB7EDA" w:rsidRDefault="007D72B3">
      <w:pPr>
        <w:pStyle w:val="Bodytext20"/>
        <w:numPr>
          <w:ilvl w:val="0"/>
          <w:numId w:val="51"/>
        </w:numPr>
        <w:shd w:val="clear" w:color="auto" w:fill="auto"/>
        <w:tabs>
          <w:tab w:val="left" w:pos="285"/>
        </w:tabs>
        <w:spacing w:before="0" w:line="226" w:lineRule="exact"/>
      </w:pPr>
      <w:r>
        <w:t>Inwieweit wird der Luftstrom eingeschränkt?</w:t>
      </w:r>
    </w:p>
    <w:p w:rsidR="00BB7EDA" w:rsidRDefault="007D72B3">
      <w:pPr>
        <w:pStyle w:val="Bodytext20"/>
        <w:numPr>
          <w:ilvl w:val="0"/>
          <w:numId w:val="51"/>
        </w:numPr>
        <w:shd w:val="clear" w:color="auto" w:fill="auto"/>
        <w:tabs>
          <w:tab w:val="left" w:pos="285"/>
        </w:tabs>
        <w:spacing w:before="0" w:after="180" w:line="226" w:lineRule="exact"/>
        <w:ind w:left="320" w:hanging="320"/>
        <w:jc w:val="left"/>
      </w:pPr>
      <w:r>
        <w:t>An welcher Stelle berühren die Lippen und die Zunge andere Körperregionen bzw. inwieweit nähern sie sich ihnen?</w:t>
      </w:r>
    </w:p>
    <w:p w:rsidR="00BB7EDA" w:rsidRDefault="007D72B3">
      <w:pPr>
        <w:pStyle w:val="Bodytext100"/>
        <w:numPr>
          <w:ilvl w:val="0"/>
          <w:numId w:val="49"/>
        </w:numPr>
        <w:shd w:val="clear" w:color="auto" w:fill="auto"/>
        <w:tabs>
          <w:tab w:val="left" w:pos="654"/>
        </w:tabs>
        <w:spacing w:before="0"/>
        <w:ind w:firstLine="0"/>
      </w:pPr>
      <w:r>
        <w:t>Zur Bandbreite des Laut-Inventars der Sprachen</w:t>
      </w:r>
    </w:p>
    <w:p w:rsidR="00BB7EDA" w:rsidRDefault="007D72B3">
      <w:pPr>
        <w:pStyle w:val="Bodytext20"/>
        <w:shd w:val="clear" w:color="auto" w:fill="auto"/>
        <w:spacing w:before="0" w:line="226" w:lineRule="exact"/>
      </w:pPr>
      <w:r>
        <w:t>Die Sprache der Rotokas kann mit le</w:t>
      </w:r>
      <w:r>
        <w:t>diglich 11 Buchstaben geschrie</w:t>
      </w:r>
      <w:r>
        <w:softHyphen/>
        <w:t xml:space="preserve">ben werden, da man dort über nur sechs Konsonanten und fünf Vokale verfügt: </w:t>
      </w:r>
      <w:r>
        <w:rPr>
          <w:rStyle w:val="Bodytext2Italic0"/>
        </w:rPr>
        <w:t>a, b, e,g, i, k, o, p, r, t, u.</w:t>
      </w:r>
      <w:r>
        <w:t xml:space="preserve"> Es gibt auch in dieser Sprache jedoch Tausende von Wörtern. Es scheint, dass die geringe Zahl der Phoneme auf der ein</w:t>
      </w:r>
      <w:r>
        <w:t>en Seite durch die Tendenz zu sehr langen Wörtern auf der anderen Seite kompensiert wird.</w:t>
      </w:r>
    </w:p>
    <w:p w:rsidR="00BB7EDA" w:rsidRDefault="007D72B3">
      <w:pPr>
        <w:pStyle w:val="Bodytext20"/>
        <w:shd w:val="clear" w:color="auto" w:fill="auto"/>
        <w:spacing w:before="0" w:after="180" w:line="226" w:lineRule="exact"/>
        <w:ind w:firstLine="320"/>
      </w:pPr>
      <w:r>
        <w:t>Die Unterschiede können gewaltig sein. Während die Rotokas nur über sechs Konsonanten verfügen, zählt man in der kaukasi</w:t>
      </w:r>
      <w:r>
        <w:softHyphen/>
        <w:t>schen Sprache Ubyx über 80.</w:t>
      </w:r>
      <w:r>
        <w:rPr>
          <w:vertAlign w:val="superscript"/>
        </w:rPr>
        <w:footnoteReference w:id="51"/>
      </w:r>
    </w:p>
    <w:p w:rsidR="00BB7EDA" w:rsidRDefault="007D72B3">
      <w:pPr>
        <w:pStyle w:val="Bodytext100"/>
        <w:numPr>
          <w:ilvl w:val="0"/>
          <w:numId w:val="49"/>
        </w:numPr>
        <w:shd w:val="clear" w:color="auto" w:fill="auto"/>
        <w:tabs>
          <w:tab w:val="left" w:pos="668"/>
        </w:tabs>
        <w:spacing w:before="0"/>
        <w:ind w:firstLine="0"/>
      </w:pPr>
      <w:r>
        <w:t>Phonem-Wahrnehmu</w:t>
      </w:r>
      <w:r>
        <w:t>ng</w:t>
      </w:r>
    </w:p>
    <w:p w:rsidR="00BB7EDA" w:rsidRDefault="007D72B3">
      <w:pPr>
        <w:pStyle w:val="Bodytext20"/>
        <w:shd w:val="clear" w:color="auto" w:fill="auto"/>
        <w:spacing w:before="0" w:line="226" w:lineRule="exact"/>
      </w:pPr>
      <w:r>
        <w:t>Das Ohr des einzelnen Menschen ist dahingehend geübt, die bedeutungsunterscheidenden Laute der eigenen Sprache gut zu erkennen. Geht es jedoch um fremde Sprachen, so kann es sein, dass man unterschiedliche Phoneme zuweilen gar nicht wahr</w:t>
      </w:r>
      <w:r>
        <w:softHyphen/>
        <w:t>nimmt. Die Roto</w:t>
      </w:r>
      <w:r>
        <w:t xml:space="preserve">kas auf der Insel Bougainville in Papua Neu- Guinea haben Mühe, bei folgenden vier verschiedenen Silben eine Differenz wahrzunehmen: </w:t>
      </w:r>
      <w:r>
        <w:rPr>
          <w:rStyle w:val="Bodytext2Italic0"/>
        </w:rPr>
        <w:t>[la], Ina], [da]</w:t>
      </w:r>
      <w:r>
        <w:t xml:space="preserve"> und </w:t>
      </w:r>
      <w:r>
        <w:rPr>
          <w:rStyle w:val="Bodytext2Italic0"/>
        </w:rPr>
        <w:t>[ra]</w:t>
      </w:r>
      <w:r>
        <w:t xml:space="preserve"> ist für sie dassel</w:t>
      </w:r>
      <w:r>
        <w:softHyphen/>
        <w:t xml:space="preserve">be. In ihren Ohren klingen die Phoneme </w:t>
      </w:r>
      <w:r>
        <w:rPr>
          <w:rStyle w:val="Bodytext2Italic0"/>
        </w:rPr>
        <w:t>[l], [n], [d]</w:t>
      </w:r>
      <w:r>
        <w:t xml:space="preserve"> und </w:t>
      </w:r>
      <w:r>
        <w:rPr>
          <w:rStyle w:val="Bodytext2Italic0"/>
        </w:rPr>
        <w:t>[r]</w:t>
      </w:r>
      <w:r>
        <w:t xml:space="preserve"> genau gleich.</w:t>
      </w:r>
      <w:r>
        <w:rPr>
          <w:vertAlign w:val="superscript"/>
        </w:rPr>
        <w:footnoteReference w:id="52"/>
      </w:r>
      <w:r>
        <w:t xml:space="preserve"> En</w:t>
      </w:r>
      <w:r>
        <w:t xml:space="preserve">glischsprachige hören keinen Unterschied zwischen den beiden /-Lauten in </w:t>
      </w:r>
      <w:r>
        <w:rPr>
          <w:rStyle w:val="Bodytext2Italic0"/>
        </w:rPr>
        <w:t>milk</w:t>
      </w:r>
      <w:r>
        <w:t xml:space="preserve"> und in </w:t>
      </w:r>
      <w:r>
        <w:rPr>
          <w:rStyle w:val="Bodytext2Italic0"/>
        </w:rPr>
        <w:t>lettuce.</w:t>
      </w:r>
      <w:r>
        <w:t xml:space="preserve"> Dies ist in diesem Fall auch nicht tragisch, weil diese verschieden ausgesprochenen /- Laute im Englischen keine bedeutungsunterscheidende Funktion aufweisen.</w:t>
      </w:r>
      <w:r>
        <w:rPr>
          <w:vertAlign w:val="superscript"/>
        </w:rPr>
        <w:footnoteReference w:id="53"/>
      </w:r>
      <w:r>
        <w:t xml:space="preserve"> Es</w:t>
      </w:r>
      <w:r>
        <w:t xml:space="preserve"> handelt sich also nicht um zwei verschiedene Pho</w:t>
      </w:r>
      <w:r>
        <w:softHyphen/>
        <w:t>neme. Aber in der Sprache der Yanyuwa in Australien ist es wich</w:t>
      </w:r>
      <w:r>
        <w:softHyphen/>
        <w:t xml:space="preserve">tig, wie die Linguistin Jean </w:t>
      </w:r>
      <w:r>
        <w:rPr>
          <w:rStyle w:val="Bodytext28ptBoldSmallCaps"/>
        </w:rPr>
        <w:t xml:space="preserve">Kirton </w:t>
      </w:r>
      <w:r>
        <w:t>schließlich herausgefunden hat, dass man als Ausländer, nebst dem gewohnten /, auch ein zwischen den Zähne</w:t>
      </w:r>
      <w:r>
        <w:t>n gebildetes, so genanntes „interdentales /", differenzie</w:t>
      </w:r>
      <w:r>
        <w:softHyphen/>
        <w:t>ren kann, da es in dieser Sprache wirklich zwei andersartige, bedeutungsunterscheidende /-Laute gibt.</w:t>
      </w:r>
      <w:r>
        <w:rPr>
          <w:vertAlign w:val="superscript"/>
        </w:rPr>
        <w:footnoteReference w:id="54"/>
      </w:r>
    </w:p>
    <w:p w:rsidR="00BB7EDA" w:rsidRDefault="007D72B3">
      <w:pPr>
        <w:pStyle w:val="Bodytext20"/>
        <w:shd w:val="clear" w:color="auto" w:fill="auto"/>
        <w:spacing w:before="0" w:line="226" w:lineRule="exact"/>
        <w:ind w:firstLine="320"/>
      </w:pPr>
      <w:r>
        <w:t xml:space="preserve">Cameron </w:t>
      </w:r>
      <w:r>
        <w:rPr>
          <w:rStyle w:val="Bodytext28ptBoldSmallCaps"/>
        </w:rPr>
        <w:t xml:space="preserve">Townsend, </w:t>
      </w:r>
      <w:r>
        <w:t>der Gründer des SIL,</w:t>
      </w:r>
      <w:r>
        <w:rPr>
          <w:vertAlign w:val="superscript"/>
        </w:rPr>
        <w:footnoteReference w:id="55"/>
      </w:r>
      <w:r>
        <w:t xml:space="preserve"> entdeckte im Cakchiquel, einer Maya-Sprache von Guatema</w:t>
      </w:r>
      <w:r>
        <w:t>la, das Vorhanden</w:t>
      </w:r>
      <w:r>
        <w:softHyphen/>
        <w:t>sein von vier verschiedenen /c-Phonemen.</w:t>
      </w:r>
      <w:r>
        <w:rPr>
          <w:vertAlign w:val="superscript"/>
        </w:rPr>
        <w:footnoteReference w:id="56"/>
      </w:r>
    </w:p>
    <w:p w:rsidR="00BB7EDA" w:rsidRDefault="007D72B3">
      <w:pPr>
        <w:pStyle w:val="Bodytext20"/>
        <w:shd w:val="clear" w:color="auto" w:fill="auto"/>
        <w:spacing w:before="0" w:after="180" w:line="226" w:lineRule="exact"/>
        <w:ind w:firstLine="320"/>
      </w:pPr>
      <w:r>
        <w:t>Die Phonemwahrnehmung des Menschen ist ein Wunderwerk für sich: In der gesprochenen Sprache werden pro Sekunde je nach</w:t>
      </w:r>
      <w:r>
        <w:softHyphen/>
        <w:t>dem etwa 10-20 Laute geäußert. In diesem Tempo müssen Zuhörer diese Einheiten</w:t>
      </w:r>
      <w:r>
        <w:t xml:space="preserve"> aufnehmen und verarbeiten können.</w:t>
      </w:r>
    </w:p>
    <w:p w:rsidR="00BB7EDA" w:rsidRDefault="007D72B3">
      <w:pPr>
        <w:pStyle w:val="Bodytext100"/>
        <w:numPr>
          <w:ilvl w:val="0"/>
          <w:numId w:val="49"/>
        </w:numPr>
        <w:shd w:val="clear" w:color="auto" w:fill="auto"/>
        <w:tabs>
          <w:tab w:val="left" w:pos="654"/>
        </w:tabs>
        <w:spacing w:before="0"/>
        <w:ind w:firstLine="0"/>
      </w:pPr>
      <w:r>
        <w:t>Zum Phänomen der Tonsprachen</w:t>
      </w:r>
    </w:p>
    <w:p w:rsidR="00BB7EDA" w:rsidRDefault="007D72B3">
      <w:pPr>
        <w:pStyle w:val="Bodytext20"/>
        <w:shd w:val="clear" w:color="auto" w:fill="auto"/>
        <w:spacing w:before="0" w:line="226" w:lineRule="exact"/>
      </w:pPr>
      <w:r>
        <w:t>Weltweit gibt es Tausende von Tonsprachen. Dies mag für man</w:t>
      </w:r>
      <w:r>
        <w:softHyphen/>
        <w:t>che Leser überraschend sein, da man dieses Phänomen unter den europäischen Sprachen im eigentlichen Sinn nicht kennt. Er</w:t>
      </w:r>
      <w:r>
        <w:softHyphen/>
      </w:r>
      <w:r>
        <w:t>staunlicherweise existieren Ton- und Nicht-Tonsprachen oft re</w:t>
      </w:r>
      <w:r>
        <w:softHyphen/>
        <w:t xml:space="preserve">gional dicht beieinander. Die verschiedenen Tonhöhen, die bedeutungsunterscheidende Funktion haben, bezeichnet man als </w:t>
      </w:r>
      <w:r>
        <w:rPr>
          <w:rStyle w:val="Bodytext2Italic0"/>
        </w:rPr>
        <w:t>Toneme.</w:t>
      </w:r>
      <w:r>
        <w:rPr>
          <w:rStyle w:val="Bodytext2Italic0"/>
          <w:vertAlign w:val="superscript"/>
        </w:rPr>
        <w:t>6:&gt;</w:t>
      </w:r>
      <w:r>
        <w:t xml:space="preserve"> Es geht dabei nicht um absolute Tonhöhen. Der Grund</w:t>
      </w:r>
      <w:r>
        <w:softHyphen/>
        <w:t>ton der Spre</w:t>
      </w:r>
      <w:r>
        <w:t>chlage unterscheidet sich ja von Mensch zu Mensch. Die verschiedenen Tonhöhen stehen in Beziehung zur individu</w:t>
      </w:r>
      <w:r>
        <w:softHyphen/>
        <w:t>ellen Sprechlage. Ein Tonern kann z.B. hoch, mittel oder tief sein, aber auch fallend, steigend oder fallend-steigend. Die Anzahl der Tönerne bew</w:t>
      </w:r>
      <w:r>
        <w:t>egt sich je nach Sprache im Bereich von etwa 2 bis weit über 10.</w:t>
      </w:r>
      <w:r>
        <w:rPr>
          <w:vertAlign w:val="superscript"/>
        </w:rPr>
        <w:footnoteReference w:id="57"/>
      </w:r>
      <w:r>
        <w:rPr>
          <w:vertAlign w:val="superscript"/>
        </w:rPr>
        <w:t xml:space="preserve"> </w:t>
      </w:r>
      <w:r>
        <w:rPr>
          <w:vertAlign w:val="superscript"/>
        </w:rPr>
        <w:footnoteReference w:id="58"/>
      </w:r>
    </w:p>
    <w:p w:rsidR="00BB7EDA" w:rsidRDefault="007D72B3">
      <w:pPr>
        <w:pStyle w:val="Bodytext20"/>
        <w:shd w:val="clear" w:color="auto" w:fill="auto"/>
        <w:spacing w:before="0" w:line="226" w:lineRule="exact"/>
        <w:ind w:firstLine="320"/>
      </w:pPr>
      <w:r>
        <w:t>Zwei Beispiele sollen das Phänomen der Toneme veranschauli</w:t>
      </w:r>
      <w:r>
        <w:softHyphen/>
        <w:t xml:space="preserve">chen. Nachfolgende drei Sätze aus der Indianer-Sprache der Mixte- ken in Mexiko scheinen für solche, die nicht wissen, dass hier </w:t>
      </w:r>
      <w:r>
        <w:t>Tönhöhen bedeutungsunterscheidende Funktion haben, dasselbe zu sein. In Wirklichkeit handelt es sich um drei völlig verschiede- nene Aussagen.</w:t>
      </w:r>
      <w:r>
        <w:rPr>
          <w:vertAlign w:val="superscript"/>
        </w:rPr>
        <w:footnoteReference w:id="59"/>
      </w:r>
      <w:r>
        <w:t xml:space="preserve"> Die Tonhöhen werden in der Schrift entweder durch hochgestellte Zahlen oder durch Akzente, wie im folgenden Beis</w:t>
      </w:r>
      <w:r>
        <w:t>piel, dargestellt.</w:t>
      </w:r>
    </w:p>
    <w:p w:rsidR="00BB7EDA" w:rsidRDefault="007D72B3">
      <w:pPr>
        <w:pStyle w:val="Bodytext20"/>
        <w:numPr>
          <w:ilvl w:val="0"/>
          <w:numId w:val="52"/>
        </w:numPr>
        <w:shd w:val="clear" w:color="auto" w:fill="auto"/>
        <w:tabs>
          <w:tab w:val="left" w:pos="277"/>
        </w:tabs>
        <w:spacing w:before="0" w:line="226" w:lineRule="exact"/>
      </w:pPr>
      <w:r>
        <w:rPr>
          <w:rStyle w:val="Bodytext2Italic0"/>
        </w:rPr>
        <w:t>yucü cü</w:t>
      </w:r>
      <w:r>
        <w:t xml:space="preserve"> = Es ist ein Joch.</w:t>
      </w:r>
    </w:p>
    <w:p w:rsidR="00BB7EDA" w:rsidRDefault="007D72B3">
      <w:pPr>
        <w:pStyle w:val="Bodytext20"/>
        <w:numPr>
          <w:ilvl w:val="0"/>
          <w:numId w:val="52"/>
        </w:numPr>
        <w:shd w:val="clear" w:color="auto" w:fill="auto"/>
        <w:tabs>
          <w:tab w:val="left" w:pos="277"/>
        </w:tabs>
        <w:spacing w:before="0" w:line="226" w:lineRule="exact"/>
      </w:pPr>
      <w:r>
        <w:t>i</w:t>
      </w:r>
      <w:r>
        <w:rPr>
          <w:rStyle w:val="Bodytext2Italic0"/>
        </w:rPr>
        <w:t>jucu cü</w:t>
      </w:r>
      <w:r>
        <w:t xml:space="preserve"> = Es ist ein Berg.</w:t>
      </w:r>
    </w:p>
    <w:p w:rsidR="00BB7EDA" w:rsidRDefault="007D72B3">
      <w:pPr>
        <w:pStyle w:val="Bodytext20"/>
        <w:numPr>
          <w:ilvl w:val="0"/>
          <w:numId w:val="52"/>
        </w:numPr>
        <w:shd w:val="clear" w:color="auto" w:fill="auto"/>
        <w:tabs>
          <w:tab w:val="left" w:pos="277"/>
        </w:tabs>
        <w:spacing w:before="0" w:after="217" w:line="226" w:lineRule="exact"/>
      </w:pPr>
      <w:r>
        <w:rPr>
          <w:rStyle w:val="Bodytext2Italic0"/>
        </w:rPr>
        <w:t>yucü cü</w:t>
      </w:r>
      <w:r>
        <w:t xml:space="preserve"> = Es ist eine Bürste.</w:t>
      </w:r>
    </w:p>
    <w:p w:rsidR="00BB7EDA" w:rsidRDefault="007D72B3">
      <w:pPr>
        <w:pStyle w:val="Bodytext20"/>
        <w:shd w:val="clear" w:color="auto" w:fill="auto"/>
        <w:spacing w:before="0" w:after="219" w:line="180" w:lineRule="exact"/>
      </w:pPr>
      <w:r>
        <w:t>(</w:t>
      </w:r>
      <w:r>
        <w:rPr>
          <w:rStyle w:val="Bodytext2Italic0"/>
        </w:rPr>
        <w:t>ü</w:t>
      </w:r>
      <w:r>
        <w:t xml:space="preserve"> bedeutet hier ein hoher, u ein mittlerer und </w:t>
      </w:r>
      <w:r>
        <w:rPr>
          <w:rStyle w:val="Bodytext2Italic0"/>
        </w:rPr>
        <w:t>ü</w:t>
      </w:r>
      <w:r>
        <w:t xml:space="preserve"> ein tiefer Ton.)</w:t>
      </w:r>
    </w:p>
    <w:p w:rsidR="00BB7EDA" w:rsidRDefault="007D72B3">
      <w:pPr>
        <w:pStyle w:val="Bodytext20"/>
        <w:shd w:val="clear" w:color="auto" w:fill="auto"/>
        <w:spacing w:before="0" w:after="184"/>
        <w:ind w:firstLine="320"/>
      </w:pPr>
      <w:r>
        <w:t>Im Mongbandi, einer Sprache, die im Norden des Kongo gespro</w:t>
      </w:r>
      <w:r>
        <w:softHyphen/>
        <w:t>chen wird, werden z.B. ve</w:t>
      </w:r>
      <w:r>
        <w:t>rschiedene Zeitformen durch unterschied</w:t>
      </w:r>
      <w:r>
        <w:softHyphen/>
        <w:t xml:space="preserve">liche Tonhöhen bei der Aussprache von Pronomen ausgedrückt. </w:t>
      </w:r>
      <w:r>
        <w:rPr>
          <w:rStyle w:val="Bodytext2Italic0"/>
        </w:rPr>
        <w:t>Mbi</w:t>
      </w:r>
      <w:r>
        <w:t xml:space="preserve"> (ich), oder </w:t>
      </w:r>
      <w:r>
        <w:rPr>
          <w:rStyle w:val="Bodytext2Italic0"/>
        </w:rPr>
        <w:t>’e</w:t>
      </w:r>
      <w:r>
        <w:t xml:space="preserve"> (wir), auf einer tiefen Lage gesprochen, bezeichnet die Vergangenheit, auf einem mittleren Ton die Gegenwart und auf einem hohen Ton die </w:t>
      </w:r>
      <w:r>
        <w:t>Zukunft.</w:t>
      </w:r>
      <w:r>
        <w:rPr>
          <w:vertAlign w:val="superscript"/>
        </w:rPr>
        <w:footnoteReference w:id="60"/>
      </w:r>
    </w:p>
    <w:p w:rsidR="00BB7EDA" w:rsidRDefault="007D72B3">
      <w:pPr>
        <w:pStyle w:val="Bodytext20"/>
        <w:numPr>
          <w:ilvl w:val="0"/>
          <w:numId w:val="49"/>
        </w:numPr>
        <w:shd w:val="clear" w:color="auto" w:fill="auto"/>
        <w:tabs>
          <w:tab w:val="left" w:pos="673"/>
        </w:tabs>
        <w:spacing w:before="0" w:line="226" w:lineRule="exact"/>
      </w:pPr>
      <w:r>
        <w:rPr>
          <w:rStyle w:val="Bodytext2Italic0"/>
        </w:rPr>
        <w:t xml:space="preserve">Schwierigkeiten im Umgang mit Tonsprachen </w:t>
      </w:r>
      <w:r>
        <w:t>Für Europäer ist es schwierig, nachvollziehen zu können, welche Konsequenzen eine mangelhafte Kenntnis der Struktur von Ton</w:t>
      </w:r>
      <w:r>
        <w:softHyphen/>
        <w:t xml:space="preserve">sprachen mit sich bringen kann. Der Franzose </w:t>
      </w:r>
      <w:r>
        <w:rPr>
          <w:rStyle w:val="Bodytext28ptBoldSmallCaps"/>
        </w:rPr>
        <w:t xml:space="preserve">Court </w:t>
      </w:r>
      <w:r>
        <w:t xml:space="preserve">hatte im Tschad jahrelang in </w:t>
      </w:r>
      <w:r>
        <w:t>der Zime-Sprache gepredigt. Es gab unter den Zuhörern immer wieder eigenartige Reaktionen, die er sich nicht erklären konnte. Bei der später erfolgten genaueren Analyse dieser lokalen Sprache von Pala stellte sich heraus, dass die Zeitformen des Perfekts u</w:t>
      </w:r>
      <w:r>
        <w:t>nd des Präsens-Futurs nur durch einen Halbton unterschieden werden. Zudem wurde klar, dass mitten durch Pala eine gefährliche Dialektgrenze verlief, bei welcher der Dialekt A die genannten Zeitformen im Vergleich zum Dialekt B mit den genau umgekehrten den</w:t>
      </w:r>
      <w:r>
        <w:t xml:space="preserve"> Tonmustern bildete. Erschwerend kam noch dazu, dass </w:t>
      </w:r>
      <w:r>
        <w:rPr>
          <w:rStyle w:val="Bodytext28ptBoldSmallCaps"/>
        </w:rPr>
        <w:t xml:space="preserve">Court </w:t>
      </w:r>
      <w:r>
        <w:t>den Dialekt A gelernt hatte, während allerdings die Kirche, wo er predigte, ausgerechnet im Sektor des Dialekts B stand. Wenn er z.B. sagen wollte „Christus ist auferstanden", da meinten seine Dial</w:t>
      </w:r>
      <w:r>
        <w:t>ekt B sprechenden Zuhörer, er behaupte „Christus wird auferstehen".</w:t>
      </w:r>
      <w:r>
        <w:rPr>
          <w:vertAlign w:val="superscript"/>
        </w:rPr>
        <w:footnoteReference w:id="61"/>
      </w:r>
      <w:r>
        <w:rPr>
          <w:vertAlign w:val="superscript"/>
        </w:rPr>
        <w:t xml:space="preserve"> </w:t>
      </w:r>
      <w:r>
        <w:t>Das war fatal.</w:t>
      </w:r>
    </w:p>
    <w:p w:rsidR="00BB7EDA" w:rsidRDefault="007D72B3">
      <w:pPr>
        <w:pStyle w:val="Bodytext20"/>
        <w:shd w:val="clear" w:color="auto" w:fill="auto"/>
        <w:spacing w:before="0" w:after="180" w:line="226" w:lineRule="exact"/>
        <w:ind w:firstLine="320"/>
      </w:pPr>
      <w:r>
        <w:t>Probleme ergeben sich auch, wenn man den Liedtext einer Ton</w:t>
      </w:r>
      <w:r>
        <w:softHyphen/>
        <w:t xml:space="preserve">sprache auf einer vorgegebenen europäischen Melodie singen will. Der nigerianische Musikwissenschaftler Fela </w:t>
      </w:r>
      <w:r>
        <w:rPr>
          <w:rStyle w:val="Bodytext28ptBoldSmallCaps"/>
        </w:rPr>
        <w:t xml:space="preserve">Sowande </w:t>
      </w:r>
      <w:r>
        <w:t>berichtete darüber, wie man in der Yoruba-Sprache jahrzehntelang das Weih</w:t>
      </w:r>
      <w:r>
        <w:softHyphen/>
        <w:t>nachtslied „Herbei, o ihr Gläubgen, fröhlich triumphierend" auf der traditionellen Melodie gesungen hatte, obwohl, bedingt durch die unpassenden Tonlagen, der Sinn in eine vö</w:t>
      </w:r>
      <w:r>
        <w:t>llig absurde Aussage verdreht wurde. In den Ohren der Einheimischen bedeutete der Text nämlich: „Geht aus, grabt nach Palmenkernen, ihr, die ihr vorbei</w:t>
      </w:r>
      <w:r>
        <w:softHyphen/>
        <w:t>fließendes Wasser so sehr liebt!"</w:t>
      </w:r>
      <w:r>
        <w:rPr>
          <w:vertAlign w:val="superscript"/>
        </w:rPr>
        <w:footnoteReference w:id="62"/>
      </w:r>
    </w:p>
    <w:p w:rsidR="00BB7EDA" w:rsidRDefault="007D72B3">
      <w:pPr>
        <w:pStyle w:val="Bodytext20"/>
        <w:shd w:val="clear" w:color="auto" w:fill="auto"/>
        <w:spacing w:before="0" w:after="457" w:line="226" w:lineRule="exact"/>
      </w:pPr>
      <w:r>
        <w:rPr>
          <w:rStyle w:val="Bodytext285ptBoldItalic"/>
        </w:rPr>
        <w:t xml:space="preserve">2.2.1.8.Laute und die Sprachentwicklung bei Babys </w:t>
      </w:r>
      <w:r>
        <w:t>Die einführenden Be</w:t>
      </w:r>
      <w:r>
        <w:t>merkungen zur Phonologie abschließend, möch</w:t>
      </w:r>
      <w:r>
        <w:softHyphen/>
        <w:t>te ich noch etwas Interessantes bezüglich der Lautäußerungen bei Babys hinzufügen. Untersuchungen des Lallens in der frühesten Phase haben gezeigt, dass Säuglinge dabei Laute aus allen mögli</w:t>
      </w:r>
      <w:r>
        <w:softHyphen/>
        <w:t>chen Sprachen der Wel</w:t>
      </w:r>
      <w:r>
        <w:t>t von sich geben. Babys hören allerdings aufmerksam auf die Lautäußerungen der Menschen, die für sie sorgen. Sie beginnen dadurch, sich bei ihren Lautäußerungen beson</w:t>
      </w:r>
      <w:r>
        <w:softHyphen/>
        <w:t>ders auf die Laute ihrer Umwelt zu konzentrieren und schränken ihren Lautbestand mehr und</w:t>
      </w:r>
      <w:r>
        <w:t xml:space="preserve"> mehr ein. Dadurch verlieren sich die „fremden Laute" im Lauf der Zeit. Diese Beobachtungen helfen uns, etwas besser zu verstehen, welche Faktoren bei der Tatsache, dass Kleinkinder im Prinzip jede Sprache der Welt akzentfrei lernen können, mit eine Rolle </w:t>
      </w:r>
      <w:r>
        <w:t>spielen.</w:t>
      </w:r>
      <w:r>
        <w:rPr>
          <w:vertAlign w:val="superscript"/>
        </w:rPr>
        <w:footnoteReference w:id="63"/>
      </w:r>
    </w:p>
    <w:p w:rsidR="00BB7EDA" w:rsidRDefault="007D72B3">
      <w:pPr>
        <w:pStyle w:val="Bodytext20"/>
        <w:numPr>
          <w:ilvl w:val="0"/>
          <w:numId w:val="47"/>
        </w:numPr>
        <w:shd w:val="clear" w:color="auto" w:fill="auto"/>
        <w:tabs>
          <w:tab w:val="left" w:pos="500"/>
        </w:tabs>
        <w:spacing w:before="0" w:after="223" w:line="180" w:lineRule="exact"/>
      </w:pPr>
      <w:r>
        <w:t>Morphologie</w:t>
      </w:r>
    </w:p>
    <w:p w:rsidR="00BB7EDA" w:rsidRDefault="007D72B3">
      <w:pPr>
        <w:pStyle w:val="Bodytext100"/>
        <w:numPr>
          <w:ilvl w:val="0"/>
          <w:numId w:val="53"/>
        </w:numPr>
        <w:shd w:val="clear" w:color="auto" w:fill="auto"/>
        <w:tabs>
          <w:tab w:val="left" w:pos="649"/>
        </w:tabs>
        <w:spacing w:before="0"/>
        <w:ind w:firstLine="0"/>
      </w:pPr>
      <w:r>
        <w:t>Zum Begriff der Morpheme</w:t>
      </w:r>
    </w:p>
    <w:p w:rsidR="00BB7EDA" w:rsidRDefault="007D72B3">
      <w:pPr>
        <w:pStyle w:val="Bodytext20"/>
        <w:shd w:val="clear" w:color="auto" w:fill="auto"/>
        <w:spacing w:before="0" w:line="226" w:lineRule="exact"/>
      </w:pPr>
      <w:r>
        <w:t>Auf der nächsten Ebene im sprachlichen System geht es um die Kombination von Lauten zu Wortteilen, zu Wörtern und zu Wortfor</w:t>
      </w:r>
      <w:r>
        <w:softHyphen/>
        <w:t>men.</w:t>
      </w:r>
      <w:r>
        <w:rPr>
          <w:vertAlign w:val="superscript"/>
        </w:rPr>
        <w:footnoteReference w:id="64"/>
      </w:r>
      <w:r>
        <w:t xml:space="preserve"> Dieser Aspekt der Sprache ist Gegenstand der Morphologie.</w:t>
      </w:r>
      <w:r>
        <w:rPr>
          <w:vertAlign w:val="superscript"/>
        </w:rPr>
        <w:footnoteReference w:id="65"/>
      </w:r>
    </w:p>
    <w:p w:rsidR="00BB7EDA" w:rsidRDefault="007D72B3">
      <w:pPr>
        <w:pStyle w:val="Bodytext20"/>
        <w:shd w:val="clear" w:color="auto" w:fill="auto"/>
        <w:spacing w:before="0" w:after="176" w:line="226" w:lineRule="exact"/>
        <w:ind w:firstLine="320"/>
      </w:pPr>
      <w:r>
        <w:t xml:space="preserve">In der Morphologie </w:t>
      </w:r>
      <w:r>
        <w:t>interessiert man sich für Morpheme, für die kleinsten bedeutungstragenden Elemente einer Sprache. Morpheme unterscheiden sich von Phonemen dadurch, dass sie in sich immer bereits eine bestimmte Bedeutung enthalten, während dies bei Pho</w:t>
      </w:r>
      <w:r>
        <w:softHyphen/>
        <w:t>nemen nur in wenigen</w:t>
      </w:r>
      <w:r>
        <w:t xml:space="preserve"> Fällen so ist. Im Schweizerdeutschen bedeu</w:t>
      </w:r>
      <w:r>
        <w:softHyphen/>
        <w:t xml:space="preserve">tet der Laut </w:t>
      </w:r>
      <w:r>
        <w:rPr>
          <w:rStyle w:val="Bodytext2Italic0"/>
        </w:rPr>
        <w:t>/g/</w:t>
      </w:r>
      <w:r>
        <w:t xml:space="preserve"> für sich nichts. Doch zusammengesetzt mit dem Phonem /fl/bildet er das Wort#«, was so viel wie </w:t>
      </w:r>
      <w:r>
        <w:rPr>
          <w:rStyle w:val="Bodytext2Italic0"/>
        </w:rPr>
        <w:t>gehen</w:t>
      </w:r>
      <w:r>
        <w:t xml:space="preserve"> bedeutet.</w:t>
      </w:r>
    </w:p>
    <w:p w:rsidR="00BB7EDA" w:rsidRDefault="007D72B3">
      <w:pPr>
        <w:pStyle w:val="Bodytext80"/>
        <w:numPr>
          <w:ilvl w:val="0"/>
          <w:numId w:val="53"/>
        </w:numPr>
        <w:shd w:val="clear" w:color="auto" w:fill="auto"/>
        <w:tabs>
          <w:tab w:val="left" w:pos="654"/>
        </w:tabs>
        <w:spacing w:line="230" w:lineRule="exact"/>
      </w:pPr>
      <w:r>
        <w:t>Einfache und komplexe Wörter</w:t>
      </w:r>
    </w:p>
    <w:p w:rsidR="00BB7EDA" w:rsidRDefault="007D72B3">
      <w:pPr>
        <w:pStyle w:val="Bodytext20"/>
        <w:shd w:val="clear" w:color="auto" w:fill="auto"/>
        <w:spacing w:before="0"/>
      </w:pPr>
      <w:r>
        <w:t xml:space="preserve">Morphologen unterscheiden zwischen </w:t>
      </w:r>
      <w:r>
        <w:rPr>
          <w:rStyle w:val="Bodytext2Italic0"/>
        </w:rPr>
        <w:t>einfachen</w:t>
      </w:r>
      <w:r>
        <w:t xml:space="preserve"> und </w:t>
      </w:r>
      <w:r>
        <w:rPr>
          <w:rStyle w:val="Bodytext2Italic0"/>
        </w:rPr>
        <w:t>komple</w:t>
      </w:r>
      <w:r>
        <w:rPr>
          <w:rStyle w:val="Bodytext2Italic0"/>
        </w:rPr>
        <w:t>xen Wör</w:t>
      </w:r>
      <w:r>
        <w:rPr>
          <w:rStyle w:val="Bodytext2Italic0"/>
        </w:rPr>
        <w:softHyphen/>
        <w:t>tern.</w:t>
      </w:r>
      <w:r>
        <w:t xml:space="preserve"> Das deutsche Wort </w:t>
      </w:r>
      <w:r>
        <w:rPr>
          <w:rStyle w:val="Bodytext2Italic0"/>
        </w:rPr>
        <w:t>Fisch</w:t>
      </w:r>
      <w:r>
        <w:t xml:space="preserve"> kann man nicht mehr in kleinere bedeutungstragende Teile aufsprengen. Es handelt sich um ein Morphem und zugleich um ein einfaches Wort.</w:t>
      </w:r>
    </w:p>
    <w:p w:rsidR="00BB7EDA" w:rsidRDefault="007D72B3">
      <w:pPr>
        <w:pStyle w:val="Bodytext20"/>
        <w:shd w:val="clear" w:color="auto" w:fill="auto"/>
        <w:spacing w:before="0" w:after="184"/>
        <w:ind w:firstLine="340"/>
      </w:pPr>
      <w:r>
        <w:t xml:space="preserve">Bei dem Lautkörper Fische handelt es sich um ein komplexes Wort. Man kann es nämlich in zwei bedeutungstragende Elemente aufteilen, in das Morphem </w:t>
      </w:r>
      <w:r>
        <w:rPr>
          <w:rStyle w:val="Bodytext2Italic0"/>
        </w:rPr>
        <w:t>Fisch</w:t>
      </w:r>
      <w:r>
        <w:t xml:space="preserve"> und die Pluralendung </w:t>
      </w:r>
      <w:r>
        <w:rPr>
          <w:rStyle w:val="Bodytext2Italic0"/>
        </w:rPr>
        <w:t>-e.</w:t>
      </w:r>
      <w:r>
        <w:t xml:space="preserve"> Hier fällt nun auf, dass es sich bei dem ersten Morphem um eine Einheit handel</w:t>
      </w:r>
      <w:r>
        <w:t>t, die unabhängig für sich stehen kann, weil dieses Morphem bereits für sich allein ein „Wort" ist, während das zweite Morphem, das in diesem Fall identisch ist mit einem Phonem, niemals die Möglichkeit hat, für sich isoliert dazustehen. Das Phonem /e/ hat</w:t>
      </w:r>
      <w:r>
        <w:t xml:space="preserve"> hier nicht nur bedeutungsunterscheidende Funktion, nein, es teilt uns nämlich auch mit, dass es sich hier um eine Mehrzahl (zwei oder mehr) handelt.</w:t>
      </w:r>
    </w:p>
    <w:p w:rsidR="00BB7EDA" w:rsidRDefault="007D72B3">
      <w:pPr>
        <w:pStyle w:val="Bodytext80"/>
        <w:numPr>
          <w:ilvl w:val="0"/>
          <w:numId w:val="53"/>
        </w:numPr>
        <w:shd w:val="clear" w:color="auto" w:fill="auto"/>
        <w:tabs>
          <w:tab w:val="left" w:pos="654"/>
        </w:tabs>
      </w:pPr>
      <w:r>
        <w:t>Formenlehre, Flexions- lind Agglutinationsmorpheme</w:t>
      </w:r>
    </w:p>
    <w:p w:rsidR="00BB7EDA" w:rsidRDefault="007D72B3">
      <w:pPr>
        <w:pStyle w:val="Bodytext20"/>
        <w:shd w:val="clear" w:color="auto" w:fill="auto"/>
        <w:spacing w:before="0" w:line="226" w:lineRule="exact"/>
      </w:pPr>
      <w:r>
        <w:t xml:space="preserve">Im Zusammenhang mit dem eben angeführten Beispiel des </w:t>
      </w:r>
      <w:r>
        <w:t>Laut</w:t>
      </w:r>
      <w:r>
        <w:softHyphen/>
        <w:t xml:space="preserve">körpers </w:t>
      </w:r>
      <w:r>
        <w:rPr>
          <w:rStyle w:val="Bodytext2Italic0"/>
        </w:rPr>
        <w:t>Fische</w:t>
      </w:r>
      <w:r>
        <w:t xml:space="preserve"> kann noch darauf hingewiesen werden, dass es sich bei dem Morphem </w:t>
      </w:r>
      <w:r>
        <w:rPr>
          <w:rStyle w:val="Bodytext2Italic0"/>
        </w:rPr>
        <w:t>/-e/</w:t>
      </w:r>
      <w:r>
        <w:t xml:space="preserve">um ein </w:t>
      </w:r>
      <w:r>
        <w:rPr>
          <w:rStyle w:val="Bodytext2Italic0"/>
        </w:rPr>
        <w:t>Flexionsmorphem</w:t>
      </w:r>
      <w:r>
        <w:t xml:space="preserve"> handelt. Unter dem Begriff </w:t>
      </w:r>
      <w:r>
        <w:rPr>
          <w:rStyle w:val="Bodytext2Italic0"/>
        </w:rPr>
        <w:t>Flexion</w:t>
      </w:r>
      <w:r>
        <w:t xml:space="preserve"> versteht man die Abwandlung des Substantivs, des Verbs und des Adjektivs in der Deklination bzw. Konjugation</w:t>
      </w:r>
      <w:r>
        <w:t>.</w:t>
      </w:r>
    </w:p>
    <w:p w:rsidR="00BB7EDA" w:rsidRDefault="007D72B3">
      <w:pPr>
        <w:pStyle w:val="Bodytext20"/>
        <w:shd w:val="clear" w:color="auto" w:fill="auto"/>
        <w:spacing w:before="0" w:line="226" w:lineRule="exact"/>
        <w:ind w:firstLine="340"/>
      </w:pPr>
      <w:r>
        <w:t>ln Verbindung mit den agglutinierenden Sprachen, wo an den unveränderten Stamm kettenbildende Morpheme angehängt wer</w:t>
      </w:r>
      <w:r>
        <w:softHyphen/>
        <w:t xml:space="preserve">den, sprechen wir analog von </w:t>
      </w:r>
      <w:r>
        <w:rPr>
          <w:rStyle w:val="Bodytext2Italic0"/>
        </w:rPr>
        <w:t>Agglutinations-Morphemen.</w:t>
      </w:r>
      <w:r>
        <w:t xml:space="preserve"> Die Ab</w:t>
      </w:r>
      <w:r>
        <w:softHyphen/>
        <w:t xml:space="preserve">wandlungen der Wörter - ob durch Flexions- oder Agglutinations- Morpheme - </w:t>
      </w:r>
      <w:r>
        <w:t xml:space="preserve">werden in der </w:t>
      </w:r>
      <w:r>
        <w:rPr>
          <w:rStyle w:val="Bodytext2Italic0"/>
        </w:rPr>
        <w:t>Formenlehre</w:t>
      </w:r>
      <w:r>
        <w:t xml:space="preserve"> systematisch erfasst.</w:t>
      </w:r>
    </w:p>
    <w:p w:rsidR="00BB7EDA" w:rsidRDefault="007D72B3">
      <w:pPr>
        <w:pStyle w:val="Bodytext20"/>
        <w:shd w:val="clear" w:color="auto" w:fill="auto"/>
        <w:spacing w:before="0" w:after="217" w:line="226" w:lineRule="exact"/>
        <w:ind w:firstLine="340"/>
      </w:pPr>
      <w:r>
        <w:t>Man muss gut aufpassen, dass man gleichklingende (homopho</w:t>
      </w:r>
      <w:r>
        <w:softHyphen/>
        <w:t>ne) Morpheme nicht gleichsetzt, solange man nicht deren Bedeu</w:t>
      </w:r>
      <w:r>
        <w:softHyphen/>
        <w:t>tung weiß. Nehmen wir folgendes englisches Beispiel:</w:t>
      </w:r>
    </w:p>
    <w:p w:rsidR="00BB7EDA" w:rsidRDefault="007D72B3">
      <w:pPr>
        <w:pStyle w:val="Bodytext20"/>
        <w:shd w:val="clear" w:color="auto" w:fill="auto"/>
        <w:spacing w:before="0" w:line="180" w:lineRule="exact"/>
        <w:ind w:firstLine="340"/>
      </w:pPr>
      <w:r>
        <w:t xml:space="preserve">The man </w:t>
      </w:r>
      <w:r>
        <w:rPr>
          <w:rStyle w:val="Bodytext2Italic0"/>
        </w:rPr>
        <w:t>hits</w:t>
      </w:r>
      <w:r>
        <w:t xml:space="preserve"> the dog.</w:t>
      </w:r>
      <w:r>
        <w:rPr>
          <w:vertAlign w:val="superscript"/>
        </w:rPr>
        <w:t>74</w:t>
      </w:r>
    </w:p>
    <w:p w:rsidR="00BB7EDA" w:rsidRPr="007D72B3" w:rsidRDefault="007D72B3">
      <w:pPr>
        <w:pStyle w:val="Bodytext20"/>
        <w:shd w:val="clear" w:color="auto" w:fill="auto"/>
        <w:spacing w:before="0" w:after="546" w:line="180" w:lineRule="exact"/>
        <w:ind w:firstLine="340"/>
        <w:rPr>
          <w:lang w:val="en-US"/>
        </w:rPr>
      </w:pPr>
      <w:r w:rsidRPr="007D72B3">
        <w:rPr>
          <w:lang w:val="en-US"/>
        </w:rPr>
        <w:t>The singers</w:t>
      </w:r>
      <w:r w:rsidRPr="007D72B3">
        <w:rPr>
          <w:lang w:val="en-US"/>
        </w:rPr>
        <w:t xml:space="preserve"> produced many </w:t>
      </w:r>
      <w:r w:rsidRPr="007D72B3">
        <w:rPr>
          <w:rStyle w:val="Bodytext2Italic0"/>
          <w:lang w:val="en-US"/>
        </w:rPr>
        <w:t>hits.</w:t>
      </w:r>
      <w:r w:rsidRPr="007D72B3">
        <w:rPr>
          <w:rStyle w:val="Bodytext2Italic0"/>
          <w:vertAlign w:val="superscript"/>
          <w:lang w:val="en-US"/>
        </w:rPr>
        <w:t>75</w:t>
      </w:r>
    </w:p>
    <w:p w:rsidR="00BB7EDA" w:rsidRDefault="007D72B3">
      <w:pPr>
        <w:pStyle w:val="Bodytext60"/>
        <w:shd w:val="clear" w:color="auto" w:fill="auto"/>
        <w:spacing w:line="160" w:lineRule="exact"/>
        <w:ind w:firstLine="340"/>
        <w:jc w:val="both"/>
      </w:pPr>
      <w:r>
        <w:rPr>
          <w:rStyle w:val="Bodytext675ptItalic"/>
        </w:rPr>
        <w:t>=</w:t>
      </w:r>
      <w:r>
        <w:t xml:space="preserve"> Der Mann schlägt den Hund.</w:t>
      </w:r>
    </w:p>
    <w:p w:rsidR="00BB7EDA" w:rsidRDefault="007D72B3">
      <w:pPr>
        <w:pStyle w:val="Bodytext60"/>
        <w:shd w:val="clear" w:color="auto" w:fill="auto"/>
        <w:spacing w:line="160" w:lineRule="exact"/>
        <w:ind w:firstLine="340"/>
        <w:jc w:val="both"/>
      </w:pPr>
      <w:r>
        <w:t>= Die Sänger produzierten viele Hits.</w:t>
      </w:r>
    </w:p>
    <w:p w:rsidR="00BB7EDA" w:rsidRDefault="007D72B3">
      <w:pPr>
        <w:pStyle w:val="Bodytext20"/>
        <w:shd w:val="clear" w:color="auto" w:fill="auto"/>
        <w:spacing w:before="0" w:after="180" w:line="226" w:lineRule="exact"/>
        <w:ind w:firstLine="320"/>
      </w:pPr>
      <w:r>
        <w:t>Im ersten Fall bezeichnet das Morphem -s die 3. Person Singular, im zweiten jedoch den Plural. Diese beiden Flexionsmorpheme klingen zwar gleich, haben jedoch überhau</w:t>
      </w:r>
      <w:r>
        <w:t>pt nichts miteinander zu tun. Solches kann sehr oft Vorkommen.</w:t>
      </w:r>
    </w:p>
    <w:p w:rsidR="00BB7EDA" w:rsidRDefault="007D72B3">
      <w:pPr>
        <w:pStyle w:val="Bodytext100"/>
        <w:shd w:val="clear" w:color="auto" w:fill="auto"/>
        <w:spacing w:before="0"/>
        <w:ind w:firstLine="0"/>
      </w:pPr>
      <w:r>
        <w:rPr>
          <w:rStyle w:val="Bodytext109ptNotItalic"/>
          <w:b/>
          <w:bCs/>
        </w:rPr>
        <w:t xml:space="preserve">2.2.2.4 </w:t>
      </w:r>
      <w:r>
        <w:t>Der Ablaut</w:t>
      </w:r>
    </w:p>
    <w:p w:rsidR="00BB7EDA" w:rsidRDefault="007D72B3">
      <w:pPr>
        <w:pStyle w:val="Bodytext20"/>
        <w:shd w:val="clear" w:color="auto" w:fill="auto"/>
        <w:spacing w:before="0" w:line="226" w:lineRule="exact"/>
      </w:pPr>
      <w:r>
        <w:t>Im Zusammenhang mit den Flexionsformen muss unbedingt noch auf die Besonderheit des Ablauts hingewiesen werden. Viele Wort</w:t>
      </w:r>
      <w:r>
        <w:softHyphen/>
        <w:t xml:space="preserve">formen werden in den flektierenden Sprachen ohne </w:t>
      </w:r>
      <w:r>
        <w:t>Prä-, In- oder Affixe gebildet, sondern lediglich durch die Veränderung des Vokal</w:t>
      </w:r>
      <w:r>
        <w:softHyphen/>
        <w:t>musters innerhalb eines Konsonantengerüsts. Hierzu zwei Beispie</w:t>
      </w:r>
      <w:r>
        <w:softHyphen/>
        <w:t>le:</w:t>
      </w:r>
    </w:p>
    <w:p w:rsidR="00BB7EDA" w:rsidRDefault="007D72B3">
      <w:pPr>
        <w:pStyle w:val="Bodytext20"/>
        <w:shd w:val="clear" w:color="auto" w:fill="auto"/>
        <w:spacing w:before="0" w:line="226" w:lineRule="exact"/>
        <w:ind w:firstLine="320"/>
      </w:pPr>
      <w:r>
        <w:t xml:space="preserve">Das arabische Wort für „Buch" lautet </w:t>
      </w:r>
      <w:r>
        <w:rPr>
          <w:rStyle w:val="Bodytext2Italic0"/>
        </w:rPr>
        <w:t>kitab.</w:t>
      </w:r>
      <w:r>
        <w:t xml:space="preserve"> Der Plural behält die drei Wurzelkonsonanten </w:t>
      </w:r>
      <w:r>
        <w:rPr>
          <w:rStyle w:val="Bodytext2Italic0"/>
        </w:rPr>
        <w:t>ktb,</w:t>
      </w:r>
      <w:r>
        <w:t xml:space="preserve"> an denen der</w:t>
      </w:r>
      <w:r>
        <w:t xml:space="preserve"> Sinn „Schreiben" haftet, bei, während die Vokale auf </w:t>
      </w:r>
      <w:r>
        <w:rPr>
          <w:rStyle w:val="Bodytext2Italic0"/>
        </w:rPr>
        <w:t>u-u</w:t>
      </w:r>
      <w:r>
        <w:t xml:space="preserve"> lauten: </w:t>
      </w:r>
      <w:r>
        <w:rPr>
          <w:rStyle w:val="Bodytext2Italic0"/>
        </w:rPr>
        <w:t>kutub</w:t>
      </w:r>
      <w:r>
        <w:t xml:space="preserve"> („Bücher").</w:t>
      </w:r>
    </w:p>
    <w:p w:rsidR="00BB7EDA" w:rsidRDefault="007D72B3">
      <w:pPr>
        <w:pStyle w:val="Bodytext20"/>
        <w:shd w:val="clear" w:color="auto" w:fill="auto"/>
        <w:spacing w:before="0" w:after="225" w:line="226" w:lineRule="exact"/>
        <w:ind w:firstLine="320"/>
      </w:pPr>
      <w:r>
        <w:t xml:space="preserve">Nun noch ein deutsches Beispiel: Während beim Verb </w:t>
      </w:r>
      <w:r>
        <w:rPr>
          <w:rStyle w:val="Bodytext2Italic0"/>
        </w:rPr>
        <w:t>singen</w:t>
      </w:r>
      <w:r>
        <w:t xml:space="preserve"> die 3. Person, Singular, </w:t>
      </w:r>
      <w:r>
        <w:rPr>
          <w:rStyle w:val="Bodytext2Italic0"/>
        </w:rPr>
        <w:t>er singt</w:t>
      </w:r>
      <w:r>
        <w:t xml:space="preserve"> lautet, wird die entsprechende Präteritum- Form durch Veränderung des ersten Vok</w:t>
      </w:r>
      <w:r>
        <w:t xml:space="preserve">als gebildet: </w:t>
      </w:r>
      <w:r>
        <w:rPr>
          <w:rStyle w:val="Bodytext2Italic0"/>
        </w:rPr>
        <w:t>er sang.</w:t>
      </w:r>
    </w:p>
    <w:p w:rsidR="00BB7EDA" w:rsidRDefault="007D72B3">
      <w:pPr>
        <w:pStyle w:val="Bodytext100"/>
        <w:numPr>
          <w:ilvl w:val="0"/>
          <w:numId w:val="54"/>
        </w:numPr>
        <w:shd w:val="clear" w:color="auto" w:fill="auto"/>
        <w:tabs>
          <w:tab w:val="left" w:pos="649"/>
        </w:tabs>
        <w:spacing w:before="0" w:line="170" w:lineRule="exact"/>
        <w:ind w:firstLine="0"/>
      </w:pPr>
      <w:r>
        <w:t>Was ist ein „Wort“?</w:t>
      </w:r>
    </w:p>
    <w:p w:rsidR="00BB7EDA" w:rsidRDefault="007D72B3">
      <w:pPr>
        <w:pStyle w:val="Bodytext20"/>
        <w:shd w:val="clear" w:color="auto" w:fill="auto"/>
        <w:spacing w:before="0" w:after="180" w:line="226" w:lineRule="exact"/>
      </w:pPr>
      <w:r>
        <w:t xml:space="preserve">Ich habe im vorletzten Abschnitt eben den Begriff </w:t>
      </w:r>
      <w:r>
        <w:rPr>
          <w:rStyle w:val="Bodytext2Italic0"/>
        </w:rPr>
        <w:t>„Wort“</w:t>
      </w:r>
      <w:r>
        <w:t xml:space="preserve"> verwen</w:t>
      </w:r>
      <w:r>
        <w:softHyphen/>
        <w:t xml:space="preserve">det. Was ist eigentlich ein Wort? Der israelische Linguist Benjamin </w:t>
      </w:r>
      <w:r>
        <w:rPr>
          <w:rStyle w:val="Bodytext28ptBoldSmallCaps"/>
        </w:rPr>
        <w:t xml:space="preserve">Kedar </w:t>
      </w:r>
      <w:r>
        <w:t>lieferte folgende Definition:</w:t>
      </w:r>
    </w:p>
    <w:p w:rsidR="00BB7EDA" w:rsidRDefault="007D72B3">
      <w:pPr>
        <w:pStyle w:val="Bodytext20"/>
        <w:shd w:val="clear" w:color="auto" w:fill="auto"/>
        <w:spacing w:before="0" w:after="180" w:line="226" w:lineRule="exact"/>
        <w:ind w:left="320" w:right="320"/>
      </w:pPr>
      <w:r>
        <w:t xml:space="preserve">„Ein Wort ist eine minimale freie Form, die </w:t>
      </w:r>
      <w:r>
        <w:t>isoliert mit einer bestimmten Bedeutung geäußert werden kann und deren Bestandteile nicht abgeändert werden können, ohne eine Bedeutungsänderung zu bewirken."</w:t>
      </w:r>
      <w:r>
        <w:rPr>
          <w:vertAlign w:val="superscript"/>
        </w:rPr>
        <w:footnoteReference w:id="66"/>
      </w:r>
    </w:p>
    <w:p w:rsidR="00BB7EDA" w:rsidRDefault="007D72B3">
      <w:pPr>
        <w:pStyle w:val="Bodytext20"/>
        <w:shd w:val="clear" w:color="auto" w:fill="auto"/>
        <w:spacing w:before="0" w:line="226" w:lineRule="exact"/>
        <w:ind w:firstLine="320"/>
      </w:pPr>
      <w:r>
        <w:t xml:space="preserve">An dieser Stelle mag auch noch der Eegiiff </w:t>
      </w:r>
      <w:r>
        <w:rPr>
          <w:rStyle w:val="Bodytext2Italic0"/>
        </w:rPr>
        <w:t>Lexem</w:t>
      </w:r>
      <w:r>
        <w:t xml:space="preserve"> erläutert wer</w:t>
      </w:r>
      <w:r>
        <w:softHyphen/>
        <w:t>den. Mit diesem Ausdruck bezeichn</w:t>
      </w:r>
      <w:r>
        <w:t xml:space="preserve">et man die Grundeinheiten des </w:t>
      </w:r>
      <w:r>
        <w:rPr>
          <w:rStyle w:val="Bodytext2Italic0"/>
        </w:rPr>
        <w:t>Wortschatzes,</w:t>
      </w:r>
      <w:r>
        <w:t xml:space="preserve"> so wie sie in konventioneller Form in Wörterbüchern aufgelistet sind.</w:t>
      </w:r>
      <w:r>
        <w:rPr>
          <w:vertAlign w:val="superscript"/>
        </w:rPr>
        <w:footnoteReference w:id="67"/>
      </w:r>
    </w:p>
    <w:p w:rsidR="00BB7EDA" w:rsidRDefault="007D72B3">
      <w:pPr>
        <w:pStyle w:val="Bodytext20"/>
        <w:shd w:val="clear" w:color="auto" w:fill="auto"/>
        <w:spacing w:before="0" w:after="180" w:line="226" w:lineRule="exact"/>
        <w:ind w:firstLine="320"/>
      </w:pPr>
      <w:r>
        <w:t>Morphologen beschäftigen sich u.a. ausführlich mit Wörtern. Sie betrachten ein einzelnes Wort auch ganz unabhängig von Sätzen, in den es steh</w:t>
      </w:r>
      <w:r>
        <w:t>en kann. Ein Wort hat ja auch ein bestimmtes Eigenleben. Es kann für sich allein stehen und so selbstständig eine Information weitergeben. Als z.B. die judäische Königin Athalja wiederholt ver</w:t>
      </w:r>
      <w:r>
        <w:softHyphen/>
        <w:t xml:space="preserve">zweifelt das Wort </w:t>
      </w:r>
      <w:r>
        <w:rPr>
          <w:rStyle w:val="Bodytext2Italic0"/>
        </w:rPr>
        <w:t>qeser</w:t>
      </w:r>
      <w:r>
        <w:t xml:space="preserve"> („Verschwörung") schrie und ihre Kleide</w:t>
      </w:r>
      <w:r>
        <w:t>r zerriss, da benutzte sie zwar keine Sätze, brachte aber dennoch mit einer einzelnen wild repetierten Vokabel eine verständliche Bot</w:t>
      </w:r>
      <w:r>
        <w:softHyphen/>
        <w:t>schaft rüber.</w:t>
      </w:r>
      <w:r>
        <w:rPr>
          <w:vertAlign w:val="superscript"/>
        </w:rPr>
        <w:footnoteReference w:id="68"/>
      </w:r>
      <w:r>
        <w:t xml:space="preserve"> Ähnliches ist von David zu sagen. Als er vom Tod seines verkommenen rebellischen Sohnes hörte, vermochte er</w:t>
      </w:r>
      <w:r>
        <w:t xml:space="preserve"> kei</w:t>
      </w:r>
      <w:r>
        <w:softHyphen/>
        <w:t xml:space="preserve">nen Satz mehr zu bilden, sondern schrie weinend und innerlich zerbrochen im Gehen: </w:t>
      </w:r>
      <w:r>
        <w:rPr>
          <w:rStyle w:val="Bodytext2Italic0"/>
        </w:rPr>
        <w:t>beni ’avsalom beni beni 'avsalom</w:t>
      </w:r>
      <w:r>
        <w:t xml:space="preserve"> („Mein Sohn, Absalom, mein Sohn, mein Sohn, Absalom".)</w:t>
      </w:r>
      <w:r>
        <w:rPr>
          <w:vertAlign w:val="superscript"/>
        </w:rPr>
        <w:footnoteReference w:id="69"/>
      </w:r>
    </w:p>
    <w:p w:rsidR="00BB7EDA" w:rsidRDefault="007D72B3">
      <w:pPr>
        <w:pStyle w:val="Bodytext80"/>
        <w:numPr>
          <w:ilvl w:val="0"/>
          <w:numId w:val="55"/>
        </w:numPr>
        <w:shd w:val="clear" w:color="auto" w:fill="auto"/>
        <w:tabs>
          <w:tab w:val="left" w:pos="668"/>
        </w:tabs>
      </w:pPr>
      <w:r>
        <w:t>Freie und gebundene Morpheme</w:t>
      </w:r>
    </w:p>
    <w:p w:rsidR="00BB7EDA" w:rsidRDefault="007D72B3">
      <w:pPr>
        <w:pStyle w:val="Bodytext20"/>
        <w:shd w:val="clear" w:color="auto" w:fill="auto"/>
        <w:spacing w:before="0" w:line="226" w:lineRule="exact"/>
      </w:pPr>
      <w:r>
        <w:t>Morpheme können nicht nur entweder „Wörter"</w:t>
      </w:r>
      <w:r>
        <w:t xml:space="preserve"> oder „Phoneme" sein. Oft bestehen sie aus mehr als einem Phonem, bilden aber noch keine für sich selbst stehende Einheit. Hierzu einige Beispiele: </w:t>
      </w:r>
      <w:r>
        <w:rPr>
          <w:rStyle w:val="Bodytext2Italic0"/>
        </w:rPr>
        <w:t>Ge-</w:t>
      </w:r>
      <w:r>
        <w:t xml:space="preserve"> in „Gemeinde", </w:t>
      </w:r>
      <w:r>
        <w:rPr>
          <w:rStyle w:val="Bodytext2Italic0"/>
        </w:rPr>
        <w:t>Zer-</w:t>
      </w:r>
      <w:r>
        <w:t xml:space="preserve"> in „Zerbruch", </w:t>
      </w:r>
      <w:r>
        <w:rPr>
          <w:rStyle w:val="Bodytext2Italic0"/>
        </w:rPr>
        <w:t>Be-</w:t>
      </w:r>
      <w:r>
        <w:t xml:space="preserve"> in „Besinnung". Das Morphem </w:t>
      </w:r>
      <w:r>
        <w:rPr>
          <w:rStyle w:val="Bodytext2Italic0"/>
        </w:rPr>
        <w:t>Ge-</w:t>
      </w:r>
      <w:r>
        <w:t xml:space="preserve"> drückt aus, dass es sich hier um </w:t>
      </w:r>
      <w:r>
        <w:t xml:space="preserve">einen Sammelbegriff handelt. </w:t>
      </w:r>
      <w:r>
        <w:rPr>
          <w:rStyle w:val="Bodytext2Italic0"/>
        </w:rPr>
        <w:t>Zer-</w:t>
      </w:r>
      <w:r>
        <w:t xml:space="preserve"> betont, dass ein Ding mit Gewalt auseinander geht. </w:t>
      </w:r>
      <w:r>
        <w:rPr>
          <w:rStyle w:val="Bodytext2Italic0"/>
        </w:rPr>
        <w:t>Be-</w:t>
      </w:r>
      <w:r>
        <w:t xml:space="preserve"> deutet an, dass hier eine Bewegung auf einen bestimmten Punkt vollzogen wird. In diesem Zusammenhang sei auf die wichtige Unterschei</w:t>
      </w:r>
      <w:r>
        <w:softHyphen/>
        <w:t xml:space="preserve">dung zwischen </w:t>
      </w:r>
      <w:r>
        <w:rPr>
          <w:rStyle w:val="Bodytext2Italic0"/>
        </w:rPr>
        <w:t>freien</w:t>
      </w:r>
      <w:r>
        <w:t xml:space="preserve"> und </w:t>
      </w:r>
      <w:r>
        <w:rPr>
          <w:rStyle w:val="Bodytext2Italic0"/>
        </w:rPr>
        <w:t>gebundene</w:t>
      </w:r>
      <w:r>
        <w:rPr>
          <w:rStyle w:val="Bodytext2Italic0"/>
        </w:rPr>
        <w:t>n Morphemen</w:t>
      </w:r>
      <w:r>
        <w:t xml:space="preserve"> verwiesen. Die ersteren können isoliert und frei auftreten, während die letztge</w:t>
      </w:r>
      <w:r>
        <w:softHyphen/>
        <w:t>nannten nur mit anderen Morphemen verknüpft Vorkommen kön</w:t>
      </w:r>
      <w:r>
        <w:softHyphen/>
        <w:t>nen. Zwischen freien und gebundenen Morphemen bestehen aus sprachpsychologischer Sicht gewaltige Unterschi</w:t>
      </w:r>
      <w:r>
        <w:t>ede.</w:t>
      </w:r>
    </w:p>
    <w:p w:rsidR="00BB7EDA" w:rsidRDefault="007D72B3">
      <w:pPr>
        <w:pStyle w:val="Bodytext20"/>
        <w:shd w:val="clear" w:color="auto" w:fill="auto"/>
        <w:spacing w:before="0" w:after="180" w:line="226" w:lineRule="exact"/>
        <w:ind w:firstLine="320"/>
      </w:pPr>
      <w:r>
        <w:t xml:space="preserve">Es gibt auch Morpheme, die sowohl frei als auch gebunden auftreten können. Das deutsche Morphem </w:t>
      </w:r>
      <w:r>
        <w:rPr>
          <w:rStyle w:val="Bodytext2Italic0"/>
        </w:rPr>
        <w:t>über</w:t>
      </w:r>
      <w:r>
        <w:t xml:space="preserve"> kann für sich allein stehen, doch bildet es bei manchen Verbformen eine gebundene Vorsilbe: </w:t>
      </w:r>
      <w:r>
        <w:rPr>
          <w:rStyle w:val="Bodytext2Italic0"/>
        </w:rPr>
        <w:t>überdenken, überlegen, übertreiben, übersetzen</w:t>
      </w:r>
      <w:r>
        <w:t xml:space="preserve"> etc.</w:t>
      </w:r>
    </w:p>
    <w:p w:rsidR="00BB7EDA" w:rsidRDefault="007D72B3">
      <w:pPr>
        <w:pStyle w:val="Bodytext80"/>
        <w:numPr>
          <w:ilvl w:val="0"/>
          <w:numId w:val="55"/>
        </w:numPr>
        <w:shd w:val="clear" w:color="auto" w:fill="auto"/>
        <w:tabs>
          <w:tab w:val="left" w:pos="673"/>
        </w:tabs>
      </w:pPr>
      <w:r>
        <w:t>Diskon</w:t>
      </w:r>
      <w:r>
        <w:t>tinuierliche Morpheme</w:t>
      </w:r>
    </w:p>
    <w:p w:rsidR="00BB7EDA" w:rsidRDefault="007D72B3">
      <w:pPr>
        <w:pStyle w:val="Bodytext20"/>
        <w:shd w:val="clear" w:color="auto" w:fill="auto"/>
        <w:spacing w:before="0" w:line="226" w:lineRule="exact"/>
      </w:pPr>
      <w:r>
        <w:t xml:space="preserve">Die ein Morphem bildenden Phoneme müssen nicht unbedingt in unmittelbarer Folge stehen. </w:t>
      </w:r>
      <w:r>
        <w:rPr>
          <w:rStyle w:val="Bodytext2Italic0"/>
        </w:rPr>
        <w:t>Diskontinuierliche Morpheme</w:t>
      </w:r>
      <w:r>
        <w:t xml:space="preserve"> stellen eine Erscheinung dar, die insbesondere für die semitischen Sprachen geradezu typisch sind. Nehmen wir als Beis</w:t>
      </w:r>
      <w:r>
        <w:t>piel zunächst das hebräi</w:t>
      </w:r>
      <w:r>
        <w:softHyphen/>
        <w:t xml:space="preserve">sche Verb </w:t>
      </w:r>
      <w:r>
        <w:rPr>
          <w:rStyle w:val="Bodytext2Italic0"/>
        </w:rPr>
        <w:t>he'emid</w:t>
      </w:r>
      <w:r>
        <w:t xml:space="preserve"> („er stellte"): Die Wortwurzel </w:t>
      </w:r>
      <w:r>
        <w:rPr>
          <w:rStyle w:val="Bodytext2Italic0"/>
        </w:rPr>
        <w:t>'md</w:t>
      </w:r>
      <w:r>
        <w:t xml:space="preserve"> (Aussprache: </w:t>
      </w:r>
      <w:r>
        <w:rPr>
          <w:rStyle w:val="Bodytext2Italic0"/>
        </w:rPr>
        <w:t>'amad</w:t>
      </w:r>
      <w:r>
        <w:t xml:space="preserve">) bedeutet „er stand". Das Morphem </w:t>
      </w:r>
      <w:r>
        <w:rPr>
          <w:rStyle w:val="Bodytext2Italic0"/>
        </w:rPr>
        <w:t>he</w:t>
      </w:r>
      <w:r>
        <w:t>—</w:t>
      </w:r>
      <w:r>
        <w:rPr>
          <w:rStyle w:val="Bodytext2Italic0"/>
        </w:rPr>
        <w:t>i-</w:t>
      </w:r>
      <w:r>
        <w:t xml:space="preserve"> hat kausative</w:t>
      </w:r>
      <w:r>
        <w:rPr>
          <w:vertAlign w:val="superscript"/>
        </w:rPr>
        <w:footnoteReference w:id="70"/>
      </w:r>
      <w:r>
        <w:rPr>
          <w:vertAlign w:val="superscript"/>
        </w:rPr>
        <w:t xml:space="preserve"> </w:t>
      </w:r>
      <w:r>
        <w:t xml:space="preserve">Bedeutung. Dadurch wird der Sinn von </w:t>
      </w:r>
      <w:r>
        <w:rPr>
          <w:rStyle w:val="Bodytext2Italic0"/>
        </w:rPr>
        <w:t>stehen</w:t>
      </w:r>
      <w:r>
        <w:t xml:space="preserve"> in </w:t>
      </w:r>
      <w:r>
        <w:rPr>
          <w:rStyle w:val="Bodytext2Italic0"/>
        </w:rPr>
        <w:t>stellen</w:t>
      </w:r>
      <w:r>
        <w:t xml:space="preserve"> umgewandelt.</w:t>
      </w:r>
    </w:p>
    <w:p w:rsidR="00BB7EDA" w:rsidRDefault="007D72B3">
      <w:pPr>
        <w:pStyle w:val="Bodytext20"/>
        <w:shd w:val="clear" w:color="auto" w:fill="auto"/>
        <w:spacing w:before="0" w:after="180" w:line="226" w:lineRule="exact"/>
        <w:ind w:firstLine="320"/>
      </w:pPr>
      <w:r>
        <w:t xml:space="preserve">Das hebräische Wort </w:t>
      </w:r>
      <w:r>
        <w:rPr>
          <w:rStyle w:val="Bodytext2Italic0"/>
        </w:rPr>
        <w:t>macharesah</w:t>
      </w:r>
      <w:r>
        <w:t xml:space="preserve"> („Pfl</w:t>
      </w:r>
      <w:r>
        <w:t xml:space="preserve">ug") besteht aus den drei Wurzelphonemen </w:t>
      </w:r>
      <w:r>
        <w:rPr>
          <w:rStyle w:val="Bodytext2Italic0"/>
        </w:rPr>
        <w:t>/ch/</w:t>
      </w:r>
      <w:r>
        <w:t xml:space="preserve"> + </w:t>
      </w:r>
      <w:r>
        <w:rPr>
          <w:rStyle w:val="Bodytext2Italic0"/>
        </w:rPr>
        <w:t>Irl</w:t>
      </w:r>
      <w:r>
        <w:t xml:space="preserve"> + </w:t>
      </w:r>
      <w:r>
        <w:rPr>
          <w:rStyle w:val="Bodytext2Italic0"/>
        </w:rPr>
        <w:t>/§/</w:t>
      </w:r>
      <w:r>
        <w:t xml:space="preserve"> („pflügen") und einem für Geräte und Werkzeuge öfter verwendeten Morphem, das zusammenge</w:t>
      </w:r>
      <w:r>
        <w:softHyphen/>
        <w:t>setzt ist aus/m/als Präfix und der Vokalfolge</w:t>
      </w:r>
      <w:r>
        <w:rPr>
          <w:rStyle w:val="Bodytext2Italic0"/>
        </w:rPr>
        <w:t>/a/...</w:t>
      </w:r>
      <w:r>
        <w:t xml:space="preserve"> /e/... </w:t>
      </w:r>
      <w:r>
        <w:rPr>
          <w:rStyle w:val="Bodytext2Italic0"/>
        </w:rPr>
        <w:t>/a/.</w:t>
      </w:r>
      <w:r>
        <w:t xml:space="preserve"> Zu dieser Gruppe gehören z.B. auch folgende Werkzeugnamen: </w:t>
      </w:r>
      <w:r>
        <w:rPr>
          <w:rStyle w:val="Bodytext2Italic0"/>
        </w:rPr>
        <w:t xml:space="preserve">mazmerah </w:t>
      </w:r>
      <w:r>
        <w:t xml:space="preserve">(„Winzermesser", von </w:t>
      </w:r>
      <w:r>
        <w:rPr>
          <w:rStyle w:val="Bodytext2Italic0"/>
        </w:rPr>
        <w:t>zmr</w:t>
      </w:r>
      <w:r>
        <w:t xml:space="preserve"> = „schneiteln"), </w:t>
      </w:r>
      <w:r>
        <w:rPr>
          <w:rStyle w:val="Bodytext2Italic0"/>
        </w:rPr>
        <w:t>magzerah</w:t>
      </w:r>
      <w:r>
        <w:t xml:space="preserve"> („Axt", von </w:t>
      </w:r>
      <w:r>
        <w:rPr>
          <w:rStyle w:val="Bodytext2Italic0"/>
        </w:rPr>
        <w:t xml:space="preserve">gzr </w:t>
      </w:r>
      <w:r>
        <w:t xml:space="preserve">= „schneiden", „fällen") und </w:t>
      </w:r>
      <w:r>
        <w:rPr>
          <w:rStyle w:val="Bodytext2Italic0"/>
        </w:rPr>
        <w:t>mas'enah</w:t>
      </w:r>
      <w:r>
        <w:t xml:space="preserve"> („Stab", von </w:t>
      </w:r>
      <w:r>
        <w:rPr>
          <w:rStyle w:val="Bodytext2Italic0"/>
        </w:rPr>
        <w:t>s'n =</w:t>
      </w:r>
      <w:r>
        <w:t xml:space="preserve"> „sich stüt</w:t>
      </w:r>
      <w:r>
        <w:softHyphen/>
        <w:t>zen" [im Niph'al</w:t>
      </w:r>
      <w:r>
        <w:rPr>
          <w:vertAlign w:val="superscript"/>
        </w:rPr>
        <w:footnoteReference w:id="71"/>
      </w:r>
      <w:r>
        <w:t>]).</w:t>
      </w:r>
    </w:p>
    <w:p w:rsidR="00BB7EDA" w:rsidRDefault="007D72B3">
      <w:pPr>
        <w:pStyle w:val="Bodytext100"/>
        <w:numPr>
          <w:ilvl w:val="0"/>
          <w:numId w:val="55"/>
        </w:numPr>
        <w:shd w:val="clear" w:color="auto" w:fill="auto"/>
        <w:tabs>
          <w:tab w:val="left" w:pos="658"/>
        </w:tabs>
        <w:spacing w:before="0"/>
        <w:ind w:firstLine="0"/>
      </w:pPr>
      <w:r>
        <w:t>Morphologie und Sprachkreativit</w:t>
      </w:r>
      <w:r>
        <w:t>ät</w:t>
      </w:r>
    </w:p>
    <w:p w:rsidR="00BB7EDA" w:rsidRDefault="007D72B3">
      <w:pPr>
        <w:pStyle w:val="Bodytext20"/>
        <w:shd w:val="clear" w:color="auto" w:fill="auto"/>
        <w:spacing w:before="0" w:line="226" w:lineRule="exact"/>
      </w:pPr>
      <w:r>
        <w:t>Im kreativen Umgang mit Sprache ist es dem Menschen relativ leicht möglich, neue Wörter zu bilden und in den allgemeinen Gebrauch einzuführen. So fordern ja z.B. neue kulturelle, politi</w:t>
      </w:r>
      <w:r>
        <w:softHyphen/>
        <w:t>sche, ökonomische Gegebenheiten neue Ausdrücke. Sobald bei</w:t>
      </w:r>
      <w:r>
        <w:softHyphen/>
        <w:t>spielswe</w:t>
      </w:r>
      <w:r>
        <w:t>ise neue Erfindungen gemacht oder neue Konzepte aufge</w:t>
      </w:r>
      <w:r>
        <w:softHyphen/>
        <w:t>stellt werden, ist es nötig, neue Bezeichnungen zur Verfügung zu haben. Dasselbe gilt, wenn von einer Sprache in die andere über</w:t>
      </w:r>
      <w:r>
        <w:softHyphen/>
        <w:t>setzt wird. Als Luther die Bibel übersetzte, fehlten ihm zuweilen Begriff</w:t>
      </w:r>
      <w:r>
        <w:t xml:space="preserve">e in der damaligen deutschen Sprache, sodass er manchmal zu Wortschöpfungen gezwungen war. Ein Beispiel: Es gab keinen Begriff, um das griechische Wort </w:t>
      </w:r>
      <w:r>
        <w:rPr>
          <w:rStyle w:val="Bodytext2Italic0"/>
        </w:rPr>
        <w:t>mysterion</w:t>
      </w:r>
      <w:r>
        <w:t xml:space="preserve"> angemessen zu überset</w:t>
      </w:r>
      <w:r>
        <w:softHyphen/>
        <w:t xml:space="preserve">zen. So schuf Luther das Wort </w:t>
      </w:r>
      <w:r>
        <w:rPr>
          <w:rStyle w:val="Bodytext2Italic0"/>
        </w:rPr>
        <w:t>Geheimnis.</w:t>
      </w:r>
      <w:r>
        <w:t xml:space="preserve"> Er ging dabei von dem Begriff </w:t>
      </w:r>
      <w:r>
        <w:rPr>
          <w:rStyle w:val="Bodytext2Italic0"/>
        </w:rPr>
        <w:t>H</w:t>
      </w:r>
      <w:r>
        <w:rPr>
          <w:rStyle w:val="Bodytext2Italic0"/>
        </w:rPr>
        <w:t>eim</w:t>
      </w:r>
      <w:r>
        <w:t xml:space="preserve"> aus. In diesem Bereich gibt es ja manche Dinge, die nur den eingeweihten Familienmitgliedern bekannt sind. </w:t>
      </w:r>
      <w:r>
        <w:rPr>
          <w:rStyle w:val="Bodytext2Italic0"/>
        </w:rPr>
        <w:t xml:space="preserve">Hehn </w:t>
      </w:r>
      <w:r>
        <w:t>verband er zudem mit den für manche Nominalbildungen übli</w:t>
      </w:r>
      <w:r>
        <w:softHyphen/>
        <w:t xml:space="preserve">chen Morphemen </w:t>
      </w:r>
      <w:r>
        <w:rPr>
          <w:rStyle w:val="Bodytext2Italic0"/>
        </w:rPr>
        <w:t>Ge-</w:t>
      </w:r>
      <w:r>
        <w:t xml:space="preserve"> und </w:t>
      </w:r>
      <w:r>
        <w:rPr>
          <w:rStyle w:val="Bodytext2Italic0"/>
        </w:rPr>
        <w:t>-nis.</w:t>
      </w:r>
      <w:r>
        <w:t xml:space="preserve"> Dieses Beispiel macht klar wie neue Wörter sehr oft d</w:t>
      </w:r>
      <w:r>
        <w:t xml:space="preserve">urch </w:t>
      </w:r>
      <w:r>
        <w:rPr>
          <w:rStyle w:val="Bodytext2Italic0"/>
        </w:rPr>
        <w:t>Rekombination</w:t>
      </w:r>
      <w:r>
        <w:t xml:space="preserve"> von Elementen, die bereits Teil einer Sprache sind, kreiert werden. So entsteht </w:t>
      </w:r>
      <w:r>
        <w:rPr>
          <w:rStyle w:val="Bodytext2Italic0"/>
        </w:rPr>
        <w:t>Neugut.</w:t>
      </w:r>
      <w:r>
        <w:t xml:space="preserve"> Man kann das Vokabular aber auch bereichern, indem man Wörter aus anderen Sprachen entlehnt. In diesem Zusammenhang spricht man dann von </w:t>
      </w:r>
      <w:r>
        <w:rPr>
          <w:rStyle w:val="Bodytext2Italic0"/>
        </w:rPr>
        <w:t>Fremdgut.</w:t>
      </w:r>
    </w:p>
    <w:p w:rsidR="00BB7EDA" w:rsidRDefault="007D72B3">
      <w:pPr>
        <w:pStyle w:val="Bodytext20"/>
        <w:shd w:val="clear" w:color="auto" w:fill="auto"/>
        <w:spacing w:before="0" w:line="226" w:lineRule="exact"/>
        <w:ind w:firstLine="320"/>
      </w:pPr>
      <w:r>
        <w:t>Di</w:t>
      </w:r>
      <w:r>
        <w:t>e Sprachkreativität bewegt sich normalerweise in deutlichen Grenzen. Es kommt kaum vor, dass man neue Wörter kreiert, die gar nichts mit dem Bisherigen zu tun haben, also völlige Phantasie</w:t>
      </w:r>
      <w:r>
        <w:softHyphen/>
        <w:t>wörter sind. Normalerweise geschieht der Vokabularzuwachs durch Ver</w:t>
      </w:r>
      <w:r>
        <w:t>wendung von dem, was in der eigenen oder in irgendeiner fremden Sprache vorhanden ist.</w:t>
      </w:r>
    </w:p>
    <w:p w:rsidR="00BB7EDA" w:rsidRDefault="007D72B3">
      <w:pPr>
        <w:pStyle w:val="Bodytext20"/>
        <w:shd w:val="clear" w:color="auto" w:fill="auto"/>
        <w:spacing w:before="0" w:line="226" w:lineRule="exact"/>
        <w:ind w:firstLine="320"/>
      </w:pPr>
      <w:r>
        <w:t xml:space="preserve">Der Vokabularbestand einer Sprache ist </w:t>
      </w:r>
      <w:r>
        <w:rPr>
          <w:rStyle w:val="Bodytext2Italic0"/>
        </w:rPr>
        <w:t>offen.</w:t>
      </w:r>
      <w:r>
        <w:t xml:space="preserve"> Er kann beliebig ergänzt werden. Gesamthaft setzt er sich zusammen aus dem </w:t>
      </w:r>
      <w:r>
        <w:rPr>
          <w:rStyle w:val="Bodytext2Italic0"/>
        </w:rPr>
        <w:t xml:space="preserve">Erbgut, </w:t>
      </w:r>
      <w:r>
        <w:t>dem von den Vorfahren überlieferten Wort</w:t>
      </w:r>
      <w:r>
        <w:t xml:space="preserve">schatz, sowie aus </w:t>
      </w:r>
      <w:r>
        <w:rPr>
          <w:rStyle w:val="Bodytext2Italic0"/>
        </w:rPr>
        <w:t>Neu- und Fremdgut.</w:t>
      </w:r>
    </w:p>
    <w:p w:rsidR="00BB7EDA" w:rsidRDefault="007D72B3">
      <w:pPr>
        <w:pStyle w:val="Bodytext20"/>
        <w:shd w:val="clear" w:color="auto" w:fill="auto"/>
        <w:spacing w:before="0" w:after="457" w:line="226" w:lineRule="exact"/>
        <w:ind w:firstLine="320"/>
      </w:pPr>
      <w:r>
        <w:t>Während der Mensch kreativ neue Wörter bilden kann, fällt indessen auf, dass er auf dem Gebiet der gebundenen Morpheme, ja überhaupt in allen Bereichen der Formenlehre, äußerst unkreativ ist. Es ist nicht gerade üblich,</w:t>
      </w:r>
      <w:r>
        <w:t xml:space="preserve"> dass von einem Sprachbenützer plötzlich eine neue Nominalendung zur Bezeichnung eines neuen Kasus eingeführt wird, genauso wenig neue Verbalformen zum Ausdruck eines bisher noch nicht vorhandenen Tempus oder Aspekts.</w:t>
      </w:r>
    </w:p>
    <w:p w:rsidR="00BB7EDA" w:rsidRDefault="007D72B3">
      <w:pPr>
        <w:pStyle w:val="Bodytext20"/>
        <w:numPr>
          <w:ilvl w:val="0"/>
          <w:numId w:val="47"/>
        </w:numPr>
        <w:shd w:val="clear" w:color="auto" w:fill="auto"/>
        <w:tabs>
          <w:tab w:val="left" w:pos="495"/>
        </w:tabs>
        <w:spacing w:before="0" w:after="223" w:line="180" w:lineRule="exact"/>
      </w:pPr>
      <w:r>
        <w:t>Syntax</w:t>
      </w:r>
    </w:p>
    <w:p w:rsidR="00BB7EDA" w:rsidRDefault="007D72B3">
      <w:pPr>
        <w:pStyle w:val="Bodytext100"/>
        <w:numPr>
          <w:ilvl w:val="0"/>
          <w:numId w:val="56"/>
        </w:numPr>
        <w:shd w:val="clear" w:color="auto" w:fill="auto"/>
        <w:tabs>
          <w:tab w:val="left" w:pos="654"/>
        </w:tabs>
        <w:spacing w:before="0"/>
        <w:ind w:firstLine="0"/>
      </w:pPr>
      <w:r>
        <w:t>Vom Morphem zum Satzverband</w:t>
      </w:r>
    </w:p>
    <w:p w:rsidR="00BB7EDA" w:rsidRDefault="007D72B3">
      <w:pPr>
        <w:pStyle w:val="Bodytext20"/>
        <w:shd w:val="clear" w:color="auto" w:fill="auto"/>
        <w:spacing w:before="0" w:after="180" w:line="226" w:lineRule="exact"/>
      </w:pPr>
      <w:r>
        <w:t>Auf</w:t>
      </w:r>
      <w:r>
        <w:t xml:space="preserve"> der dritten sprachlichen Ebene werden bedeutungstragende Lautkombinationen zu Sätzen und Satzverbänden zusammenge</w:t>
      </w:r>
      <w:r>
        <w:softHyphen/>
        <w:t>setzt. Mit den Gesetzmäßigkeiten, nach denen dies geschieht, be</w:t>
      </w:r>
      <w:r>
        <w:softHyphen/>
        <w:t>schäftigt man sich in der Syntax.</w:t>
      </w:r>
      <w:r>
        <w:rPr>
          <w:vertAlign w:val="superscript"/>
        </w:rPr>
        <w:footnoteReference w:id="72"/>
      </w:r>
      <w:r>
        <w:t xml:space="preserve"> Unter diesem Begriff versteht man die Lehr</w:t>
      </w:r>
      <w:r>
        <w:t>e</w:t>
      </w:r>
    </w:p>
    <w:p w:rsidR="00BB7EDA" w:rsidRDefault="007D72B3">
      <w:pPr>
        <w:pStyle w:val="Bodytext20"/>
        <w:numPr>
          <w:ilvl w:val="0"/>
          <w:numId w:val="57"/>
        </w:numPr>
        <w:shd w:val="clear" w:color="auto" w:fill="auto"/>
        <w:tabs>
          <w:tab w:val="left" w:pos="279"/>
        </w:tabs>
        <w:spacing w:before="0" w:line="226" w:lineRule="exact"/>
      </w:pPr>
      <w:r>
        <w:t>von der Funktion der Wortarten und Wortformen im Satz, ferner</w:t>
      </w:r>
    </w:p>
    <w:p w:rsidR="00BB7EDA" w:rsidRDefault="007D72B3">
      <w:pPr>
        <w:pStyle w:val="Bodytext20"/>
        <w:numPr>
          <w:ilvl w:val="0"/>
          <w:numId w:val="57"/>
        </w:numPr>
        <w:shd w:val="clear" w:color="auto" w:fill="auto"/>
        <w:tabs>
          <w:tab w:val="left" w:pos="294"/>
        </w:tabs>
        <w:spacing w:before="0" w:line="226" w:lineRule="exact"/>
      </w:pPr>
      <w:r>
        <w:t>deren Zusammenstellung zu Satzteilen und Sätzen sowie</w:t>
      </w:r>
    </w:p>
    <w:p w:rsidR="00BB7EDA" w:rsidRDefault="007D72B3">
      <w:pPr>
        <w:pStyle w:val="Bodytext20"/>
        <w:numPr>
          <w:ilvl w:val="0"/>
          <w:numId w:val="57"/>
        </w:numPr>
        <w:shd w:val="clear" w:color="auto" w:fill="auto"/>
        <w:tabs>
          <w:tab w:val="left" w:pos="294"/>
        </w:tabs>
        <w:spacing w:before="0" w:after="180" w:line="226" w:lineRule="exact"/>
      </w:pPr>
      <w:r>
        <w:t>der Verknüpfung von Sätzen zu Satzverbänden.</w:t>
      </w:r>
      <w:r>
        <w:rPr>
          <w:vertAlign w:val="superscript"/>
        </w:rPr>
        <w:footnoteReference w:id="73"/>
      </w:r>
    </w:p>
    <w:p w:rsidR="00BB7EDA" w:rsidRDefault="007D72B3">
      <w:pPr>
        <w:pStyle w:val="Bodytext20"/>
        <w:shd w:val="clear" w:color="auto" w:fill="auto"/>
        <w:spacing w:before="0" w:line="226" w:lineRule="exact"/>
        <w:ind w:firstLine="320"/>
      </w:pPr>
      <w:r>
        <w:t>In der Syntax werden die Beziehungen zwischen Wörtern, Wort</w:t>
      </w:r>
      <w:r>
        <w:softHyphen/>
        <w:t>gruppen und Sätzen bezüglich For</w:t>
      </w:r>
      <w:r>
        <w:t>m, Funktion, Wirkungsweise und innerer Struktur untersucht.</w:t>
      </w:r>
    </w:p>
    <w:p w:rsidR="00BB7EDA" w:rsidRDefault="007D72B3">
      <w:pPr>
        <w:pStyle w:val="Bodytext20"/>
        <w:shd w:val="clear" w:color="auto" w:fill="auto"/>
        <w:spacing w:before="0" w:line="226" w:lineRule="exact"/>
        <w:ind w:firstLine="320"/>
      </w:pPr>
      <w:r>
        <w:t>Die Informationen, die sich Menschen einander weitergeben wollen, erfordern ja in der Regel mehr als ein Wort. Wenn Wörter zu Sätzen verbunden werden, so können sich in den meisten Sprachen die Fo</w:t>
      </w:r>
      <w:r>
        <w:t>rmen der Wörter ändern, je nach ihrer Funktion im Gesamt- gefüge.</w:t>
      </w:r>
    </w:p>
    <w:p w:rsidR="00BB7EDA" w:rsidRDefault="007D72B3">
      <w:pPr>
        <w:pStyle w:val="Bodytext20"/>
        <w:shd w:val="clear" w:color="auto" w:fill="auto"/>
        <w:spacing w:before="0" w:line="226" w:lineRule="exact"/>
        <w:ind w:firstLine="320"/>
      </w:pPr>
      <w:r>
        <w:t>Als wir noch ganz klein waren, konnten wir höchstens ein paar einzelne Wörter sprechen. Vielleicht saßen wir damals zum Essen auf einem hohen Stühlchen und bekamen gemixte Karotten vorge</w:t>
      </w:r>
      <w:r>
        <w:softHyphen/>
        <w:t>set</w:t>
      </w:r>
      <w:r>
        <w:t xml:space="preserve">zt. Als wir damals gerade den Lautkörper </w:t>
      </w:r>
      <w:r>
        <w:rPr>
          <w:rStyle w:val="Bodytext2Italic0"/>
        </w:rPr>
        <w:t>Nein!</w:t>
      </w:r>
      <w:r>
        <w:t xml:space="preserve"> auszusprechen vermochten, reichte das im Prinzip vollends, um eine wichtige verständliche Aussage zu machen. Doch als wir schließlich sagen konnten </w:t>
      </w:r>
      <w:r>
        <w:rPr>
          <w:rStyle w:val="Bodytext2Italic0"/>
        </w:rPr>
        <w:t>Nein, ich will Kekse!,</w:t>
      </w:r>
      <w:r>
        <w:t xml:space="preserve"> da hatten wir bereits den Durchbruch i</w:t>
      </w:r>
      <w:r>
        <w:t>n das Gebiet der Syntax geschafft, und damit konnten wir unsere Kommunikationsfähigkeit ganz drastisch erhöhen.</w:t>
      </w:r>
    </w:p>
    <w:p w:rsidR="00BB7EDA" w:rsidRDefault="007D72B3">
      <w:pPr>
        <w:pStyle w:val="Bodytext20"/>
        <w:shd w:val="clear" w:color="auto" w:fill="auto"/>
        <w:spacing w:before="0" w:after="180" w:line="226" w:lineRule="exact"/>
        <w:ind w:firstLine="340"/>
      </w:pPr>
      <w:r>
        <w:t xml:space="preserve">Die Syntax regelt die Stellung und Funktion der Wörter im Verbund. Im Deutschen kann man nicht sagen: </w:t>
      </w:r>
      <w:r>
        <w:rPr>
          <w:rStyle w:val="Bodytext2Italic0"/>
        </w:rPr>
        <w:t>Ich Wald hinein den gerne in gehe.</w:t>
      </w:r>
      <w:r>
        <w:t xml:space="preserve"> Alle Wörter sind zwar für sich genommen korrekt. Doch aus ganz bestimmten syntaktischen Gründen können sie so niemals zusammengesetzt werden. Korrekt wären jedoch folgende Möglichkeiten mit unterschiedlicher Akzentsetzung in der Aussage:</w:t>
      </w:r>
    </w:p>
    <w:p w:rsidR="00BB7EDA" w:rsidRDefault="007D72B3">
      <w:pPr>
        <w:pStyle w:val="Bodytext20"/>
        <w:numPr>
          <w:ilvl w:val="0"/>
          <w:numId w:val="58"/>
        </w:numPr>
        <w:shd w:val="clear" w:color="auto" w:fill="auto"/>
        <w:tabs>
          <w:tab w:val="left" w:pos="282"/>
        </w:tabs>
        <w:spacing w:before="0" w:line="226" w:lineRule="exact"/>
      </w:pPr>
      <w:r>
        <w:t>Ich gehe gerne in</w:t>
      </w:r>
      <w:r>
        <w:t xml:space="preserve"> den Wald hinein.</w:t>
      </w:r>
    </w:p>
    <w:p w:rsidR="00BB7EDA" w:rsidRDefault="007D72B3">
      <w:pPr>
        <w:pStyle w:val="Bodytext20"/>
        <w:numPr>
          <w:ilvl w:val="0"/>
          <w:numId w:val="58"/>
        </w:numPr>
        <w:shd w:val="clear" w:color="auto" w:fill="auto"/>
        <w:tabs>
          <w:tab w:val="left" w:pos="294"/>
        </w:tabs>
        <w:spacing w:before="0" w:line="226" w:lineRule="exact"/>
      </w:pPr>
      <w:r>
        <w:t>In den Wald gehe ich gerne hinein.</w:t>
      </w:r>
    </w:p>
    <w:p w:rsidR="00BB7EDA" w:rsidRDefault="007D72B3">
      <w:pPr>
        <w:pStyle w:val="Bodytext20"/>
        <w:numPr>
          <w:ilvl w:val="0"/>
          <w:numId w:val="58"/>
        </w:numPr>
        <w:shd w:val="clear" w:color="auto" w:fill="auto"/>
        <w:tabs>
          <w:tab w:val="left" w:pos="294"/>
        </w:tabs>
        <w:spacing w:before="0" w:line="226" w:lineRule="exact"/>
      </w:pPr>
      <w:r>
        <w:t>Gerne gehe ich in den Wald hinein.</w:t>
      </w:r>
    </w:p>
    <w:p w:rsidR="00BB7EDA" w:rsidRDefault="007D72B3">
      <w:pPr>
        <w:pStyle w:val="Bodytext20"/>
        <w:numPr>
          <w:ilvl w:val="0"/>
          <w:numId w:val="58"/>
        </w:numPr>
        <w:shd w:val="clear" w:color="auto" w:fill="auto"/>
        <w:tabs>
          <w:tab w:val="left" w:pos="298"/>
        </w:tabs>
        <w:spacing w:before="0" w:line="226" w:lineRule="exact"/>
      </w:pPr>
      <w:r>
        <w:t>Hinein in den Wald gehe ich gerne.</w:t>
      </w:r>
    </w:p>
    <w:p w:rsidR="00BB7EDA" w:rsidRDefault="007D72B3">
      <w:pPr>
        <w:pStyle w:val="Bodytext20"/>
        <w:numPr>
          <w:ilvl w:val="0"/>
          <w:numId w:val="58"/>
        </w:numPr>
        <w:shd w:val="clear" w:color="auto" w:fill="auto"/>
        <w:tabs>
          <w:tab w:val="left" w:pos="298"/>
        </w:tabs>
        <w:spacing w:before="0" w:after="180" w:line="226" w:lineRule="exact"/>
      </w:pPr>
      <w:r>
        <w:t>In den Wald hinein gehe ich gerne.</w:t>
      </w:r>
    </w:p>
    <w:p w:rsidR="00BB7EDA" w:rsidRDefault="007D72B3">
      <w:pPr>
        <w:pStyle w:val="Bodytext20"/>
        <w:shd w:val="clear" w:color="auto" w:fill="auto"/>
        <w:spacing w:before="0" w:after="180" w:line="226" w:lineRule="exact"/>
        <w:ind w:firstLine="340"/>
      </w:pPr>
      <w:r>
        <w:t xml:space="preserve">Es ist ein wahres Wunder, wie der Mensch Sätze als syntaktische Einheiten wahrnehmen, analysieren </w:t>
      </w:r>
      <w:r>
        <w:t>und verstehen kann. Dieses Phänomen ist eng mit der eigentümlichen Beschaffenheit des Kurz</w:t>
      </w:r>
      <w:r>
        <w:softHyphen/>
        <w:t>zeitgedächtnisses verknüpft: Etwa fünfundzwanzig zu Sinneinheiten verbundene Wörter vermag das Kurzzeitgedächtnis während etwa 10 Sekunden zu speichern. Dann wird es</w:t>
      </w:r>
      <w:r>
        <w:t xml:space="preserve"> wieder gelöscht. Dies reicht aber gerade, um bei dem üblichen Sprechtempo von etwa 20-25 Phonemen pro Sekunde, in der Lage zu sein, die Ebene der Syntax beherrschen zu können.</w:t>
      </w:r>
      <w:r>
        <w:rPr>
          <w:vertAlign w:val="superscript"/>
        </w:rPr>
        <w:footnoteReference w:id="74"/>
      </w:r>
    </w:p>
    <w:p w:rsidR="00BB7EDA" w:rsidRDefault="007D72B3">
      <w:pPr>
        <w:pStyle w:val="Bodytext100"/>
        <w:numPr>
          <w:ilvl w:val="0"/>
          <w:numId w:val="56"/>
        </w:numPr>
        <w:shd w:val="clear" w:color="auto" w:fill="auto"/>
        <w:tabs>
          <w:tab w:val="left" w:pos="654"/>
        </w:tabs>
        <w:spacing w:before="0"/>
        <w:ind w:firstLine="0"/>
      </w:pPr>
      <w:r>
        <w:t>Tiefen- und Oberflächenstruktur</w:t>
      </w:r>
    </w:p>
    <w:p w:rsidR="00BB7EDA" w:rsidRDefault="007D72B3">
      <w:pPr>
        <w:pStyle w:val="Bodytext20"/>
        <w:shd w:val="clear" w:color="auto" w:fill="auto"/>
        <w:spacing w:before="0" w:line="226" w:lineRule="exact"/>
      </w:pPr>
      <w:r>
        <w:t>Ich habe bereits erwähnt, dass alle geistig ge</w:t>
      </w:r>
      <w:r>
        <w:t>sunden Kleinkinder fähig sind, jede beliebige Sprache der Welt perfekt zu erlernen. Obwohl die Grammatiken der Sprachen in aller Welt von ihrer Vielfalt her gesehen eine riesige Bandbreite abdecken, ist es für ein Kind dennoch möglich, mit Hilfe seiner ang</w:t>
      </w:r>
      <w:r>
        <w:t>eborenen Fähigkeiten, jeden beliebigen Sprach-Code zu knacken. Diese Tatsache verdeut</w:t>
      </w:r>
      <w:r>
        <w:softHyphen/>
        <w:t>licht, dass den Sprachen der Welt, trotz der z.T. gewaltigen struk</w:t>
      </w:r>
      <w:r>
        <w:softHyphen/>
        <w:t>turellen Diskrepanzen, eine fundamentale Einheit und Verbin</w:t>
      </w:r>
      <w:r>
        <w:softHyphen/>
        <w:t xml:space="preserve">dung unterliegen muss. </w:t>
      </w:r>
      <w:r>
        <w:rPr>
          <w:rStyle w:val="Bodytext28ptSmallCaps"/>
        </w:rPr>
        <w:t xml:space="preserve">Chomsky </w:t>
      </w:r>
      <w:r>
        <w:t xml:space="preserve">und die mit </w:t>
      </w:r>
      <w:r>
        <w:t xml:space="preserve">ihm verbundenen Strukturalisten haben daher den Konzepten einer </w:t>
      </w:r>
      <w:r>
        <w:rPr>
          <w:rStyle w:val="Bodytext2Italic0"/>
        </w:rPr>
        <w:t>Tiefen-</w:t>
      </w:r>
      <w:r>
        <w:t xml:space="preserve"> und einer </w:t>
      </w:r>
      <w:r>
        <w:rPr>
          <w:rStyle w:val="Bodytext2Italic0"/>
        </w:rPr>
        <w:t>Oberflächenstruktur</w:t>
      </w:r>
      <w:r>
        <w:t xml:space="preserve"> großes Gewicht beigemessen. Er ist später aller</w:t>
      </w:r>
      <w:r>
        <w:softHyphen/>
        <w:t xml:space="preserve">dings von diesen Begriffen wieder abgekommen. Was sich für viele zunächst so logisch anhörte, hat sich in </w:t>
      </w:r>
      <w:r>
        <w:t>seiner an sich extremen Form nicht bestätigt.</w:t>
      </w:r>
      <w:r>
        <w:rPr>
          <w:vertAlign w:val="superscript"/>
        </w:rPr>
        <w:footnoteReference w:id="75"/>
      </w:r>
      <w:r>
        <w:t xml:space="preserve"> Wenn ich diese Ausdrücke nun dennoch weiter verwende, so lediglich in ganz vorsichtiger Weise mit star</w:t>
      </w:r>
      <w:r>
        <w:softHyphen/>
        <w:t>ken Einschränkungen und massiven Modifikationen, um damit Phänomene zu bezeichnen, die nicht so einfach al</w:t>
      </w:r>
      <w:r>
        <w:t>s völlig nicht</w:t>
      </w:r>
      <w:r>
        <w:softHyphen/>
        <w:t>existent vom Tisch gewischt werden können. Ich umschreibe diese Begriffe mit der gebotenen Zurückhaltung, um damit dem berech</w:t>
      </w:r>
      <w:r>
        <w:softHyphen/>
        <w:t>tigten kritischen Vorwurf der Spekulation entgehen zu können, wie folgt:</w:t>
      </w:r>
    </w:p>
    <w:p w:rsidR="00BB7EDA" w:rsidRDefault="007D72B3">
      <w:pPr>
        <w:pStyle w:val="Bodytext20"/>
        <w:shd w:val="clear" w:color="auto" w:fill="auto"/>
        <w:spacing w:before="0" w:line="226" w:lineRule="exact"/>
        <w:ind w:firstLine="320"/>
      </w:pPr>
      <w:r>
        <w:t>Die „</w:t>
      </w:r>
      <w:r>
        <w:rPr>
          <w:rStyle w:val="Bodytext2Italic0"/>
        </w:rPr>
        <w:t>Oberflächenstruktur"</w:t>
      </w:r>
      <w:r>
        <w:t xml:space="preserve"> umfasst alle Phänomene der Gramma</w:t>
      </w:r>
      <w:r>
        <w:softHyphen/>
        <w:t>tik und Semantik einer bestimmten Sprache.</w:t>
      </w:r>
    </w:p>
    <w:p w:rsidR="00BB7EDA" w:rsidRDefault="007D72B3">
      <w:pPr>
        <w:pStyle w:val="Bodytext20"/>
        <w:shd w:val="clear" w:color="auto" w:fill="auto"/>
        <w:spacing w:before="0" w:line="226" w:lineRule="exact"/>
        <w:ind w:firstLine="320"/>
      </w:pPr>
      <w:r>
        <w:t xml:space="preserve">Mit dem Begriff </w:t>
      </w:r>
      <w:r>
        <w:rPr>
          <w:rStyle w:val="Bodytext2Italic0"/>
        </w:rPr>
        <w:t>„Tiefenstruktur"</w:t>
      </w:r>
      <w:r>
        <w:t xml:space="preserve"> bezeichne ich die im Innern des Menschen angelegten geistigen Voraussetzungen, um sich Sprachen überhaupt aneignen zu können.</w:t>
      </w:r>
      <w:r>
        <w:rPr>
          <w:vertAlign w:val="superscript"/>
        </w:rPr>
        <w:footnoteReference w:id="76"/>
      </w:r>
    </w:p>
    <w:p w:rsidR="00BB7EDA" w:rsidRDefault="007D72B3">
      <w:pPr>
        <w:pStyle w:val="Bodytext20"/>
        <w:shd w:val="clear" w:color="auto" w:fill="auto"/>
        <w:spacing w:before="0" w:after="180" w:line="226" w:lineRule="exact"/>
        <w:ind w:firstLine="320"/>
      </w:pPr>
      <w:r>
        <w:t>Es ist bis heute a</w:t>
      </w:r>
      <w:r>
        <w:t xml:space="preserve">llerdings nicht geklärt, was nun eigentlich im Detail alles angeboren ist und was nicht. Es ist jedoch eindeutig, dass der Mensch über biologische und geistige Voraussetzungen verfügt, welche die Grundlage für seinen erstaunlich einfachen Spracherwerb als </w:t>
      </w:r>
      <w:r>
        <w:t>Kleinkind bilden.</w:t>
      </w:r>
    </w:p>
    <w:p w:rsidR="00BB7EDA" w:rsidRDefault="007D72B3">
      <w:pPr>
        <w:pStyle w:val="Bodytext100"/>
        <w:numPr>
          <w:ilvl w:val="0"/>
          <w:numId w:val="56"/>
        </w:numPr>
        <w:shd w:val="clear" w:color="auto" w:fill="auto"/>
        <w:tabs>
          <w:tab w:val="left" w:pos="654"/>
        </w:tabs>
        <w:spacing w:before="0"/>
        <w:ind w:firstLine="0"/>
      </w:pPr>
      <w:r>
        <w:t>Zum Geheimnis des Sprachenverbs</w:t>
      </w:r>
    </w:p>
    <w:p w:rsidR="00BB7EDA" w:rsidRDefault="007D72B3">
      <w:pPr>
        <w:pStyle w:val="Bodytext20"/>
        <w:shd w:val="clear" w:color="auto" w:fill="auto"/>
        <w:spacing w:before="0" w:line="226" w:lineRule="exact"/>
      </w:pPr>
      <w:r>
        <w:t>Wie kommt ein Kleinkind eigentlich zur Sprache?</w:t>
      </w:r>
      <w:r>
        <w:rPr>
          <w:vertAlign w:val="superscript"/>
        </w:rPr>
        <w:footnoteReference w:id="77"/>
      </w:r>
      <w:r>
        <w:t xml:space="preserve"> In der stark evolutionistisch geprägten psychologischen Schule des Behavioris</w:t>
      </w:r>
      <w:r>
        <w:softHyphen/>
        <w:t>mus von den Zwanziger- bis in die Sechzigerjahre des 20. Jahrhun</w:t>
      </w:r>
      <w:r>
        <w:softHyphen/>
        <w:t>derts, ging ma</w:t>
      </w:r>
      <w:r>
        <w:t>n davon aus, dass dies durch Assoziation, Imitation und Verstärkung, z.B. mittels Lob oder Lächeln, geschieht. Dinge und Wörter werden assoziiert, indem z.B. die Mutter mit der Hand auf einen bestimmten Gegenstand deutet und dabei einige Male laut</w:t>
      </w:r>
      <w:r>
        <w:br w:type="page"/>
        <w:t>und deut</w:t>
      </w:r>
      <w:r>
        <w:t>lich dasselbe Wort ausspricht. Eingehende Studien des Spracherwerbs bei Kindern haben den Behaviorismus jedoch stark zurückgedrängt und in Misskredit gebracht. Nachahmung, also Nachplappern, spielt beim Spracherwerb effektiv eine untergeord</w:t>
      </w:r>
      <w:r>
        <w:softHyphen/>
        <w:t>nete Rolle. Ins</w:t>
      </w:r>
      <w:r>
        <w:t>besondere grammatische Formen werden Von den Kindern kaum imitiert. In der Frühphase werden einzelne Wörter nachgesagt. Aber sehr schnell beginnen die Kinder, eigene Aussa</w:t>
      </w:r>
      <w:r>
        <w:softHyphen/>
        <w:t>genzu machen. Es scheint, dass Kinder nicht Einzelfälle von Sprach- anwendung lernen</w:t>
      </w:r>
      <w:r>
        <w:t>, sondern vielmehr die Regeln, die den Einzelfäl</w:t>
      </w:r>
      <w:r>
        <w:softHyphen/>
        <w:t>len zugrunde liegen. Das Kind schließt von der Parole auf die Langue. Die Vorgehensweise lässt sich mit folgenden Begriffen um</w:t>
      </w:r>
      <w:r>
        <w:softHyphen/>
        <w:t>schreiben: Induktion, Generalisierung und Erprobung.</w:t>
      </w:r>
    </w:p>
    <w:p w:rsidR="00BB7EDA" w:rsidRDefault="007D72B3">
      <w:pPr>
        <w:pStyle w:val="Bodytext20"/>
        <w:shd w:val="clear" w:color="auto" w:fill="auto"/>
        <w:spacing w:before="0" w:after="3931"/>
        <w:ind w:firstLine="340"/>
      </w:pPr>
      <w:r>
        <w:t xml:space="preserve">Bei der </w:t>
      </w:r>
      <w:r>
        <w:rPr>
          <w:rStyle w:val="Bodytext2Italic0"/>
        </w:rPr>
        <w:t>Induktion</w:t>
      </w:r>
      <w:r>
        <w:t xml:space="preserve"> nimmt das</w:t>
      </w:r>
      <w:r>
        <w:t xml:space="preserve"> Kind nicht nur Wörter aus den Sprachakten, die es hört, auf, sondern ebenso grammatische Gesetz</w:t>
      </w:r>
      <w:r>
        <w:softHyphen/>
        <w:t xml:space="preserve">mäßigkeiten. Darauf folgt die </w:t>
      </w:r>
      <w:r>
        <w:rPr>
          <w:rStyle w:val="Bodytext2Italic0"/>
        </w:rPr>
        <w:t>Generalisierung:</w:t>
      </w:r>
      <w:r>
        <w:t xml:space="preserve"> Die hypothetisch ge</w:t>
      </w:r>
      <w:r>
        <w:softHyphen/>
        <w:t xml:space="preserve">bildeten Regeln werden auf ähnliche Fälle angewandt. Bei der </w:t>
      </w:r>
      <w:r>
        <w:rPr>
          <w:rStyle w:val="Bodytext2Italic0"/>
        </w:rPr>
        <w:t>Erpro</w:t>
      </w:r>
      <w:r>
        <w:rPr>
          <w:rStyle w:val="Bodytext2Italic0"/>
        </w:rPr>
        <w:softHyphen/>
        <w:t>bungbildet</w:t>
      </w:r>
      <w:r>
        <w:t xml:space="preserve"> das Kind Sätze</w:t>
      </w:r>
      <w:r>
        <w:t xml:space="preserve"> nach diesen Regeln und vergleicht seine Resultate mit dem Input seiner Umwelt. Es korrigiert seine Hypo</w:t>
      </w:r>
      <w:r>
        <w:softHyphen/>
        <w:t>thesen auch durch weitere Beispiele aus der Erwachsenensprache.</w:t>
      </w:r>
    </w:p>
    <w:p w:rsidR="00BB7EDA" w:rsidRDefault="007D72B3">
      <w:pPr>
        <w:pStyle w:val="Bodytext120"/>
        <w:shd w:val="clear" w:color="auto" w:fill="auto"/>
        <w:spacing w:before="0" w:after="0"/>
      </w:pPr>
      <w:r>
        <w:pict>
          <v:shape id="_x0000_s1058" type="#_x0000_t75" style="position:absolute;left:0;text-align:left;margin-left:136.5pt;margin-top:-173.3pt;width:143.05pt;height:228.5pt;z-index:-125829369;mso-wrap-distance-left:14.9pt;mso-wrap-distance-right:5pt;mso-wrap-distance-bottom:20pt;mso-position-horizontal-relative:margin" wrapcoords="0 0 21600 0 21600 21600 0 21600 0 0">
            <v:imagedata r:id="rId42" o:title="image6"/>
            <w10:wrap type="square" side="left" anchorx="margin"/>
          </v:shape>
        </w:pict>
      </w:r>
      <w:r>
        <w:t>Abb. 5 Haniel, 3'/2Jahre alt. Der kindliche Spracherwerb vollzieht sich durch Induktio</w:t>
      </w:r>
      <w:r>
        <w:t>n, Generalisie</w:t>
      </w:r>
      <w:r>
        <w:softHyphen/>
        <w:t>rung und Erprobung. Es handelt sich dabei um ein geheimnisvolles Phänomen.</w:t>
      </w:r>
      <w:r>
        <w:br w:type="page"/>
      </w:r>
    </w:p>
    <w:p w:rsidR="00BB7EDA" w:rsidRDefault="007D72B3">
      <w:pPr>
        <w:pStyle w:val="Bodytext20"/>
        <w:shd w:val="clear" w:color="auto" w:fill="auto"/>
        <w:spacing w:before="0" w:line="226" w:lineRule="exact"/>
      </w:pPr>
      <w:r>
        <w:t xml:space="preserve">Ein Kind realisiert z.B., dass </w:t>
      </w:r>
      <w:r>
        <w:rPr>
          <w:rStyle w:val="Bodytext2Italic0"/>
        </w:rPr>
        <w:t>spazieren</w:t>
      </w:r>
      <w:r>
        <w:t xml:space="preserve"> als Akt einer Person in der Vergangenheit mit </w:t>
      </w:r>
      <w:r>
        <w:rPr>
          <w:rStyle w:val="Bodytext2Italic0"/>
        </w:rPr>
        <w:t>er spazierte</w:t>
      </w:r>
      <w:r>
        <w:t xml:space="preserve"> umschrieben wird. Daraus folgert es, dass man beispielsweise bei </w:t>
      </w:r>
      <w:r>
        <w:t xml:space="preserve">der Anwendung des Verbums </w:t>
      </w:r>
      <w:r>
        <w:rPr>
          <w:rStyle w:val="Bodytext2Italic0"/>
        </w:rPr>
        <w:t xml:space="preserve">singen </w:t>
      </w:r>
      <w:r>
        <w:t xml:space="preserve">wohl </w:t>
      </w:r>
      <w:r>
        <w:rPr>
          <w:rStyle w:val="Bodytext2Italic0"/>
        </w:rPr>
        <w:t>ersingte</w:t>
      </w:r>
      <w:r>
        <w:t xml:space="preserve"> sagt. Doch in diesem Fall muss es schließlich erfahren, dass es eine falsche Generalisierung vorgenommen hat und die frühere Hypothese etwas umbilden muss. Hier kommt nun eine wichtige Feststellung hinzu: Wenn</w:t>
      </w:r>
      <w:r>
        <w:t xml:space="preserve"> der ganze Spracherwerbsprozess nur auf den Prinzipien von Induktion, Generalisierung und Erpro</w:t>
      </w:r>
      <w:r>
        <w:softHyphen/>
        <w:t>bung beruhen würde, dann müsste die Zeit der Sprachentwicklung viel länger dauern, als dies in Wirklichkeit der Fall ist. Die Möglich</w:t>
      </w:r>
      <w:r>
        <w:softHyphen/>
        <w:t>keiten von falschen Hypoth</w:t>
      </w:r>
      <w:r>
        <w:t>esen und nichtzutreffenden Verallge</w:t>
      </w:r>
      <w:r>
        <w:softHyphen/>
        <w:t>meinerungen sind dermaßen zahlreich. Zudem sind gewisse Fälle, denen man allgemeine Regeln entnehmen könnte, oftmals recht selten. Es fällt auf, dass erstaunlich viel zu gute Ergebnisse aus dem Kind herauskommen im Vergl</w:t>
      </w:r>
      <w:r>
        <w:t xml:space="preserve">eich zu dem, was hineingegeben wird. Wenn man die theoretische Zahl der Fehlermöglichkeiten in Betracht zieht, ist es geradezu frappant wie wenig grammatische Fehler Kleinkinder machen. Das fällt uns einfach zu wenig auf, weil wir derart an das Wunder des </w:t>
      </w:r>
      <w:r>
        <w:t>kleinkindlichen Spracherwerbs ge</w:t>
      </w:r>
      <w:r>
        <w:softHyphen/>
        <w:t>wöhnt sind und wir es schlicht als normal empfinden. Dabei realisie</w:t>
      </w:r>
      <w:r>
        <w:softHyphen/>
        <w:t>ren wir leider gar nicht mehr das absolut Sensationelle, das effektiv dahinter steht. Dieses drastische Ungleichgewicht von „Input" und „Output" kann insbe</w:t>
      </w:r>
      <w:r>
        <w:t>sondere in den Fällen eindrücklich demon</w:t>
      </w:r>
      <w:r>
        <w:softHyphen/>
        <w:t>striert werden, wo Kinder von ihrer Umwelt nur wenig, zudem ungepflegte und schlechte Sprache zu hören bekommen, und wo sie dennoch in der Lage sind, in kürzester Zeit sich eine im Prinzip vollständige Grammatik anz</w:t>
      </w:r>
      <w:r>
        <w:t>ueignen. Diese Beobachtungen haben dazu geführt, dass man sich in der Psycholinguistik gezwungen sah, von einer grammatikalischen Vorstrukturierung im Geist des Men</w:t>
      </w:r>
      <w:r>
        <w:softHyphen/>
        <w:t>schen auszugehen. Offensichtlich besteht in unserer mentalen Be</w:t>
      </w:r>
      <w:r>
        <w:softHyphen/>
        <w:t>schaffenheit eine Art Vorah</w:t>
      </w:r>
      <w:r>
        <w:t>nung</w:t>
      </w:r>
      <w:r>
        <w:rPr>
          <w:vertAlign w:val="superscript"/>
        </w:rPr>
        <w:footnoteReference w:id="78"/>
      </w:r>
      <w:r>
        <w:t xml:space="preserve"> von Grammatik, die viele in die Irre führenden Sprachexperimente und Abzweigungen erspart. In diesem Zusammenhang versuchte man ja in der Vergangenheit, nach einer </w:t>
      </w:r>
      <w:r>
        <w:rPr>
          <w:rStyle w:val="Bodytext2Italic0"/>
        </w:rPr>
        <w:t>universalen Grammatik,</w:t>
      </w:r>
      <w:r>
        <w:t xml:space="preserve"> die allen Sprachen der Welt zu</w:t>
      </w:r>
      <w:r>
        <w:softHyphen/>
        <w:t xml:space="preserve">grunde liegen soll, zu forschen </w:t>
      </w:r>
      <w:r>
        <w:t xml:space="preserve">und zu suchen. Die Existenz einer solchen „Grammatik" war natürlich immer eine rein spekulative Angelegenheit. Ich schlage vor, zurückhaltend von einer </w:t>
      </w:r>
      <w:r>
        <w:rPr>
          <w:rStyle w:val="Bodytext2Italic0"/>
        </w:rPr>
        <w:t>universalen Grammatik-Prädisposition</w:t>
      </w:r>
      <w:r>
        <w:t xml:space="preserve"> zu sprechen, und zwar in dem Sinn, dass</w:t>
      </w:r>
      <w:r>
        <w:br w:type="page"/>
        <w:t>das Kind durch Vererbung üb</w:t>
      </w:r>
      <w:r>
        <w:t>er gewisse sprachliche Universalien und Hypothesenformulierungsmöglichkeiten verfügt. Es ist näm</w:t>
      </w:r>
      <w:r>
        <w:softHyphen/>
        <w:t>lich klar, dass Kinder, die keinen sprachlichen Input von ihrer Umwelt bekommen, nie selber eine Sprache entwickeln. Die Erfah</w:t>
      </w:r>
      <w:r>
        <w:softHyphen/>
        <w:t>rung zeigt, dass der Mensch niem</w:t>
      </w:r>
      <w:r>
        <w:t>als von sich aus eine Sprache generiert, nie eine Sprache aus dem Nichts erschafft. Der Mensch ist aber als Kind so angelegt, dass er auf eine von außen an ihn heran</w:t>
      </w:r>
      <w:r>
        <w:softHyphen/>
        <w:t>tretende Sprache reagiert, in sie eindringt und sie schließlich erfasst, allerdings so, da</w:t>
      </w:r>
      <w:r>
        <w:t>ss er strukturell unglaublich komplexe und hoch</w:t>
      </w:r>
      <w:r>
        <w:softHyphen/>
        <w:t>philosophische Dinge über logische Kategorien weiß, von denen er gar nicht weiß, dass er sie weiß.</w:t>
      </w:r>
    </w:p>
    <w:p w:rsidR="00BB7EDA" w:rsidRDefault="007D72B3">
      <w:pPr>
        <w:pStyle w:val="Bodytext20"/>
        <w:shd w:val="clear" w:color="auto" w:fill="auto"/>
        <w:spacing w:before="0" w:after="184"/>
        <w:ind w:firstLine="320"/>
      </w:pPr>
      <w:r>
        <w:t xml:space="preserve">Das oben angeführte Beispiel einer falschen Generalisierung zeigt übrigens, wie kreativ der Mensch veranlagt </w:t>
      </w:r>
      <w:r>
        <w:t>ist im Blick auf die Verwendung von Morphemen. Hier zeigt sich das Phänomen der Analogiebildung. Dies ist ein wichtiger Aspekt im Zusammenhang mit der Sprachkreativität.</w:t>
      </w:r>
    </w:p>
    <w:p w:rsidR="00BB7EDA" w:rsidRDefault="007D72B3">
      <w:pPr>
        <w:pStyle w:val="Bodytext100"/>
        <w:numPr>
          <w:ilvl w:val="0"/>
          <w:numId w:val="59"/>
        </w:numPr>
        <w:shd w:val="clear" w:color="auto" w:fill="auto"/>
        <w:tabs>
          <w:tab w:val="left" w:pos="654"/>
        </w:tabs>
        <w:spacing w:before="0"/>
        <w:ind w:firstLine="0"/>
      </w:pPr>
      <w:r>
        <w:t>Wolfskinder</w:t>
      </w:r>
    </w:p>
    <w:p w:rsidR="00BB7EDA" w:rsidRDefault="007D72B3">
      <w:pPr>
        <w:pStyle w:val="Bodytext20"/>
        <w:shd w:val="clear" w:color="auto" w:fill="auto"/>
        <w:spacing w:before="0" w:after="507" w:line="226" w:lineRule="exact"/>
      </w:pPr>
      <w:r>
        <w:t xml:space="preserve">Der griechische Geschichtsschreiber Herodot überlieferte uns ein </w:t>
      </w:r>
      <w:r>
        <w:t>wissenschaftliches Sprach-Experiment, das man - glücklicherweise - in unserer Gesellschaft zur Zeit nicht akzeptieren würde: Vor etwa zweieinhalbtausend Jahren stellte der ägyptische Pharao Psammetich die Vermutung auf, dass das Wort, das ein Kind als erst</w:t>
      </w:r>
      <w:r>
        <w:t>es Wort aussprechen würde, wenn es ohne sprachlichen Input aufwächst, gewiss ein Wort aus der ältesten Sprache der Welt sein müsste. Dieser König ging natürlich von der Arbeitshypothese aus, dass es sich dabei bestimmt um Ägyptisch handeln müsste. Zwei neu</w:t>
      </w:r>
      <w:r>
        <w:t>gebo</w:t>
      </w:r>
      <w:r>
        <w:softHyphen/>
        <w:t xml:space="preserve">rene Babys wurden in völliger Isolation in der Wildnis von einem Hirten, der nicht mit ihnen sprechen durfte, aufgezogen. Als nach zwei Jahren die Stunde der Wahrheit kam, stellte man fest, dass diese Kinder </w:t>
      </w:r>
      <w:r>
        <w:rPr>
          <w:rStyle w:val="Bodytext2Italic0"/>
        </w:rPr>
        <w:t>bek, bek</w:t>
      </w:r>
      <w:r>
        <w:t xml:space="preserve"> sagten, was wohl auf die Nachahmun</w:t>
      </w:r>
      <w:r>
        <w:t>g des Mekkern der Ziegen, an deren Milch sie sich täglich laben durften, zurückzu</w:t>
      </w:r>
      <w:r>
        <w:softHyphen/>
        <w:t xml:space="preserve">führen ist. Bei der damaligen Analyse dieser Ergebnisse realisierte man jedoch, dass </w:t>
      </w:r>
      <w:r>
        <w:rPr>
          <w:rStyle w:val="Bodytext2Italic0"/>
        </w:rPr>
        <w:t>bekos</w:t>
      </w:r>
      <w:r>
        <w:t xml:space="preserve"> auf Phrygisch „Brot" hieß, und so kam Psammetich enttäuscht zum Schluss, dass das V</w:t>
      </w:r>
      <w:r>
        <w:t>olk der Phryger wohl eine ältere Sprache und Kultur haben musste als die stolzen Nachkommen der Pyramiden-Erbauer am Nil.</w:t>
      </w:r>
      <w:r>
        <w:rPr>
          <w:vertAlign w:val="superscript"/>
        </w:rPr>
        <w:t>89</w:t>
      </w:r>
      <w:r>
        <w:t xml:space="preserve"> Einen anderen</w:t>
      </w:r>
    </w:p>
    <w:p w:rsidR="00BB7EDA" w:rsidRDefault="007D72B3">
      <w:pPr>
        <w:pStyle w:val="Bodytext60"/>
        <w:shd w:val="clear" w:color="auto" w:fill="auto"/>
        <w:spacing w:line="192" w:lineRule="exact"/>
        <w:jc w:val="both"/>
      </w:pPr>
      <w:r>
        <w:pict>
          <v:shape id="_x0000_s1059" type="#_x0000_t202" style="position:absolute;left:0;text-align:left;margin-left:-3.3pt;margin-top:-2.65pt;width:8.65pt;height:7.95pt;z-index:-125829368;mso-wrap-distance-left:5pt;mso-wrap-distance-right:7.45pt;mso-wrap-distance-bottom:9.45pt;mso-position-horizontal-relative:margin" filled="f" stroked="f">
            <v:textbox style="mso-fit-shape-to-text:t" inset="0,0,0,0">
              <w:txbxContent>
                <w:p w:rsidR="00BB7EDA" w:rsidRDefault="007D72B3">
                  <w:pPr>
                    <w:pStyle w:val="Bodytext13"/>
                    <w:shd w:val="clear" w:color="auto" w:fill="auto"/>
                    <w:spacing w:line="100" w:lineRule="exact"/>
                  </w:pPr>
                  <w:r>
                    <w:t>S9</w:t>
                  </w:r>
                </w:p>
              </w:txbxContent>
            </v:textbox>
            <w10:wrap type="square" side="right" anchorx="margin"/>
          </v:shape>
        </w:pict>
      </w:r>
      <w:r>
        <w:rPr>
          <w:rStyle w:val="Bodytext67ptSmallCaps"/>
        </w:rPr>
        <w:t xml:space="preserve">Aitchison: </w:t>
      </w:r>
      <w:r>
        <w:t xml:space="preserve">Der Mensch - das sprechende Wesen, S. </w:t>
      </w:r>
      <w:r>
        <w:rPr>
          <w:rStyle w:val="Bodytext67ptSmallCaps"/>
        </w:rPr>
        <w:t xml:space="preserve">95; Zimmer: </w:t>
      </w:r>
      <w:r>
        <w:rPr>
          <w:rStyle w:val="Bodytext6SmallCaps"/>
        </w:rPr>
        <w:t xml:space="preserve">So </w:t>
      </w:r>
      <w:r>
        <w:rPr>
          <w:rStyle w:val="Bodytext67pt"/>
        </w:rPr>
        <w:t xml:space="preserve">kommt </w:t>
      </w:r>
      <w:r>
        <w:t>der Mensch zur Sprache, S. 7.</w:t>
      </w:r>
      <w:r>
        <w:br w:type="page"/>
      </w:r>
    </w:p>
    <w:p w:rsidR="00BB7EDA" w:rsidRDefault="007D72B3">
      <w:pPr>
        <w:pStyle w:val="Bodytext20"/>
        <w:shd w:val="clear" w:color="auto" w:fill="auto"/>
        <w:spacing w:before="0" w:line="226" w:lineRule="exact"/>
      </w:pPr>
      <w:r>
        <w:t xml:space="preserve">Schluss, </w:t>
      </w:r>
      <w:r>
        <w:t>den man aus dieser Erfahrung hätte ziehen können, wäre dieser: Das Experiment gibt keinen Anlass, zu glauben, dass Men</w:t>
      </w:r>
      <w:r>
        <w:softHyphen/>
        <w:t>schen von sich aus eine Sprache generieren.</w:t>
      </w:r>
    </w:p>
    <w:p w:rsidR="00BB7EDA" w:rsidRDefault="007D72B3">
      <w:pPr>
        <w:pStyle w:val="Bodytext20"/>
        <w:shd w:val="clear" w:color="auto" w:fill="auto"/>
        <w:spacing w:before="0" w:line="226" w:lineRule="exact"/>
        <w:ind w:firstLine="320"/>
      </w:pPr>
      <w:r>
        <w:t>Das widerliche und stumpfsinnige Experiment des Staufer</w:t>
      </w:r>
      <w:r>
        <w:softHyphen/>
        <w:t>kaisers Friedrich II., das der Chroni</w:t>
      </w:r>
      <w:r>
        <w:t>st Salimbene von Parma be</w:t>
      </w:r>
      <w:r>
        <w:softHyphen/>
        <w:t>schrieb, sollte aufzeigen, ob Kinder ohne Sprach-Input, Hebräisch, Griechisch, Latein, Arabisch, oder vielleicht die Sprache, in der ihre Eltern geboren waren, sprechen würden. Ihre stummen Am</w:t>
      </w:r>
      <w:r>
        <w:softHyphen/>
        <w:t>men zeigten ihnen, nach wissenschaftl</w:t>
      </w:r>
      <w:r>
        <w:t>icher Programmanweisung des Chefs, keine Zuneigung, und so starben denn all diese Kin</w:t>
      </w:r>
      <w:r>
        <w:softHyphen/>
        <w:t>der.</w:t>
      </w:r>
      <w:r>
        <w:rPr>
          <w:vertAlign w:val="superscript"/>
        </w:rPr>
        <w:footnoteReference w:id="79"/>
      </w:r>
      <w:r>
        <w:t xml:space="preserve"> Kommunikation und liebende Gemeinschaft gehört zum Menschsein, und in Fällen, wo es zwar durch Lautsprache nicht geschehen kann - wenn beispielsweise Kinder taubstu</w:t>
      </w:r>
      <w:r>
        <w:t>mm sind</w:t>
      </w:r>
      <w:r>
        <w:rPr>
          <w:vertAlign w:val="superscript"/>
        </w:rPr>
        <w:footnoteReference w:id="80"/>
      </w:r>
      <w:r>
        <w:t xml:space="preserve"> - da muss es allein durch Lächeln, Umarmen und elterlicher Liebe jeder Art geschehen. Der klar kommunizierte Erweis von Liebe ist offensichtlich lebenswichtig.</w:t>
      </w:r>
    </w:p>
    <w:p w:rsidR="00BB7EDA" w:rsidRDefault="007D72B3">
      <w:pPr>
        <w:pStyle w:val="Bodytext20"/>
        <w:shd w:val="clear" w:color="auto" w:fill="auto"/>
        <w:spacing w:before="0" w:line="226" w:lineRule="exact"/>
        <w:ind w:firstLine="320"/>
      </w:pPr>
      <w:r>
        <w:t>Es gibt nur wenige zuverlässige Berichte von Kindern, die sprach</w:t>
      </w:r>
      <w:r>
        <w:softHyphen/>
        <w:t>lich isoliert aufwuchs</w:t>
      </w:r>
      <w:r>
        <w:t>en. Sie zeigen aber alle, dass sie jeweils keine Sprache besaßen, als man sie fand.</w:t>
      </w:r>
      <w:r>
        <w:rPr>
          <w:vertAlign w:val="superscript"/>
        </w:rPr>
        <w:footnoteReference w:id="81"/>
      </w:r>
      <w:r>
        <w:t xml:space="preserve"> Auch der wegen einer Verfil</w:t>
      </w:r>
      <w:r>
        <w:softHyphen/>
        <w:t>mung berühmte Junge Victor de Aveyron, der 1797 nackt und bloß in den Wäldern von Caune beim Eichelnsammeln gefunden worden war, sprach kein Fr</w:t>
      </w:r>
      <w:r>
        <w:t>anzösisch, kein Phrygisch, kein Hebräisch und auch keine neue von ihm selbst generierte Sprache. Dafür grunzte er wie ein Tier.</w:t>
      </w:r>
      <w:r>
        <w:rPr>
          <w:vertAlign w:val="superscript"/>
        </w:rPr>
        <w:footnoteReference w:id="82"/>
      </w:r>
      <w:r>
        <w:t xml:space="preserve"> Victor war, als man ihn entdeckte, etwa zwölf Jahre alt. Dr. </w:t>
      </w:r>
      <w:r>
        <w:rPr>
          <w:rStyle w:val="Bodytext28ptSmallCaps"/>
        </w:rPr>
        <w:t xml:space="preserve">Itard </w:t>
      </w:r>
      <w:r>
        <w:t>wurde damals sein geduldiger, einfallsreicher Erzieher und L</w:t>
      </w:r>
      <w:r>
        <w:t>ehrer. Doch nach sechs Jahren Unterricht konnte Victor ledig</w:t>
      </w:r>
      <w:r>
        <w:softHyphen/>
        <w:t>lich ein paar geschriebene Wörter erkennen. Sprechen lernte er so gut wie nicht.</w:t>
      </w:r>
      <w:r>
        <w:rPr>
          <w:vertAlign w:val="superscript"/>
        </w:rPr>
        <w:footnoteReference w:id="83"/>
      </w:r>
      <w:r>
        <w:t xml:space="preserve"> Die sensible Phase zum Spracherwerb war offen</w:t>
      </w:r>
      <w:r>
        <w:softHyphen/>
        <w:t>sichtlich völlig verpasst worden.</w:t>
      </w:r>
    </w:p>
    <w:p w:rsidR="00BB7EDA" w:rsidRDefault="007D72B3">
      <w:pPr>
        <w:pStyle w:val="Bodytext20"/>
        <w:shd w:val="clear" w:color="auto" w:fill="auto"/>
        <w:spacing w:before="0" w:line="226" w:lineRule="exact"/>
        <w:ind w:firstLine="320"/>
      </w:pPr>
      <w:r>
        <w:t>Ich hoffe, mit diesen wenigen Aus</w:t>
      </w:r>
      <w:r>
        <w:t>führungen zumindest andeu</w:t>
      </w:r>
      <w:r>
        <w:softHyphen/>
        <w:t>tungsweise begreiflich gemacht zu haben, dass es sich bei dem</w:t>
      </w:r>
    </w:p>
    <w:p w:rsidR="00BB7EDA" w:rsidRDefault="007D72B3">
      <w:pPr>
        <w:pStyle w:val="Bodytext20"/>
        <w:shd w:val="clear" w:color="auto" w:fill="auto"/>
        <w:spacing w:before="0" w:line="226" w:lineRule="exact"/>
      </w:pPr>
      <w:r>
        <w:t>Konzept einer sprachlichen „Tiefenstruktur" nicht um etwas rein aus der Luft Gegriffenes handeln kann.</w:t>
      </w:r>
    </w:p>
    <w:p w:rsidR="00BB7EDA" w:rsidRDefault="007D72B3">
      <w:pPr>
        <w:pStyle w:val="Bodytext20"/>
        <w:shd w:val="clear" w:color="auto" w:fill="auto"/>
        <w:spacing w:before="0" w:line="226" w:lineRule="exact"/>
        <w:ind w:firstLine="320"/>
      </w:pPr>
      <w:r>
        <w:t>Der Erwerb einer ersten Sprache muss unbedingt vor der Puber</w:t>
      </w:r>
      <w:r>
        <w:softHyphen/>
        <w:t xml:space="preserve">tät </w:t>
      </w:r>
      <w:r>
        <w:t>stattfinden, überhaupt so früh wie möglich. Das Kleinkind besitzt offensichtlich eine Art „Dietrich", durch dessen Einsatz es in der Lage ist das „Schloss" jeder Sprache der Welt zu öffnen.</w:t>
      </w:r>
      <w:r>
        <w:rPr>
          <w:vertAlign w:val="superscript"/>
        </w:rPr>
        <w:footnoteReference w:id="84"/>
      </w:r>
      <w:r>
        <w:t xml:space="preserve"> Mit der Pubertät erstarrt dieser Dietrich.</w:t>
      </w:r>
    </w:p>
    <w:p w:rsidR="00BB7EDA" w:rsidRDefault="007D72B3">
      <w:pPr>
        <w:pStyle w:val="Bodytext20"/>
        <w:shd w:val="clear" w:color="auto" w:fill="auto"/>
        <w:spacing w:before="0" w:line="226" w:lineRule="exact"/>
        <w:ind w:firstLine="320"/>
      </w:pPr>
      <w:r>
        <w:rPr>
          <w:rStyle w:val="Bodytext28ptSmallCaps"/>
        </w:rPr>
        <w:t xml:space="preserve">Wilder Smith </w:t>
      </w:r>
      <w:r>
        <w:t>beschrieb</w:t>
      </w:r>
      <w:r>
        <w:t xml:space="preserve"> den Fall eines Wolfskindes, der sich im 20. Jahrhundert ereignet hatte. Es handelte sich um einen Indianer aus Kalifornien, der sich als Kleinkind in den dortigen Tannenwäl</w:t>
      </w:r>
      <w:r>
        <w:softHyphen/>
        <w:t>dern als Jäger und Sammler allein durchschlagen konnte.</w:t>
      </w:r>
      <w:r>
        <w:rPr>
          <w:vertAlign w:val="superscript"/>
        </w:rPr>
        <w:footnoteReference w:id="85"/>
      </w:r>
      <w:r>
        <w:t xml:space="preserve"> Mit 30 Jahren kam dieser </w:t>
      </w:r>
      <w:r>
        <w:t>Einzelgänger mit Weißen in Berührung. Er ver</w:t>
      </w:r>
      <w:r>
        <w:softHyphen/>
        <w:t>mochte sich nur mit Zeichen und Lauten zu verständigen. Ja, er konnte keine indianische Sprache sprechen, und natürlich auch nicht irgendeine andere. Man nahm ihn freundlich auf. Ethnologen und andere Wissenscha</w:t>
      </w:r>
      <w:r>
        <w:t>ftler beschäftigten ihn in einem Indianer- Museum, wo er den Besuchern das Leben der Eingeborenen im Wald demonstrieren durfte. Er versuchte, Englisch zu lernen. Doch er schaffte es nur bis zur zweiten Ebene des Sprach-Codes, bis zur Morphologie. Er konnte</w:t>
      </w:r>
      <w:r>
        <w:t xml:space="preserve"> einige Vokabeln lernen, war aber unfähig, korrekt Sätze zu bilden. Seine Kapazität, die Regeln einer Syntax zu erfassen, existierte nicht mehr. Irgendwie war sein „Dietrich" zu einem wesentlich Teil „erstarrt". Uber sein Innenleben hat man kaum etwas erfa</w:t>
      </w:r>
      <w:r>
        <w:t>hren können. Es blieb unbekannt, was er glaubte. Abstrakte Begriffe lagen außerhalb seiner Möglichkeiten. Er besaß aber ein großes Bedürfnis nach Gemeinschaft. Dies war auch der Grund, warum er als Erwachsener es schließlich wagte, mit weißen Menschen in K</w:t>
      </w:r>
      <w:r>
        <w:t>ontakt zu treten, obwohl er von ihnen anfänglich das Schlimmste erwartete.</w:t>
      </w:r>
    </w:p>
    <w:p w:rsidR="00BB7EDA" w:rsidRDefault="007D72B3">
      <w:pPr>
        <w:pStyle w:val="Bodytext20"/>
        <w:shd w:val="clear" w:color="auto" w:fill="auto"/>
        <w:spacing w:before="0" w:line="226" w:lineRule="exact"/>
        <w:ind w:firstLine="320"/>
      </w:pPr>
      <w:r>
        <w:t>Als Erwachsene, die wir als Kinder eine erste Sprache lernen durften, ist uns im Allgemeinen viel zu wenig bewusst, welch ein einschneidender Wechsel beim Übergang in die Pubertät i</w:t>
      </w:r>
      <w:r>
        <w:t>n sprach</w:t>
      </w:r>
      <w:r>
        <w:softHyphen/>
        <w:t>licher Hinsicht in uns vorgegangen ist. Denn seit der Pubertät konn</w:t>
      </w:r>
      <w:r>
        <w:softHyphen/>
        <w:t>ten wir nämlich nie mehr Sprachen so spielerisch, natürlich und einfach lernen, wie das im Kleinkindalter geschehen ist. Erwachsene und Kinder ab etwa zehn Jahren, müssen sich the</w:t>
      </w:r>
      <w:r>
        <w:t>oretisch, verbun</w:t>
      </w:r>
      <w:r>
        <w:softHyphen/>
        <w:t>den mit viel Mühe und Fleiß, mit grammatikalischen Strukturen beschäftigen, um den Zugang zu einer neuen Fremdsprache zu schaffen. Unser „Dietrich" ist nicht mehr in der Weise funktionsfä</w:t>
      </w:r>
      <w:r>
        <w:softHyphen/>
        <w:t>hig, wie er es früher war.</w:t>
      </w:r>
    </w:p>
    <w:p w:rsidR="00BB7EDA" w:rsidRDefault="007D72B3">
      <w:pPr>
        <w:pStyle w:val="Bodytext20"/>
        <w:shd w:val="clear" w:color="auto" w:fill="auto"/>
        <w:spacing w:before="0" w:after="180" w:line="226" w:lineRule="exact"/>
        <w:ind w:firstLine="340"/>
      </w:pPr>
      <w:r>
        <w:t>Das Erwerben der Mutters</w:t>
      </w:r>
      <w:r>
        <w:t>prache ist von grundsätzlich anderer Art als das Erlernen einer Fremdsprache.</w:t>
      </w:r>
    </w:p>
    <w:p w:rsidR="00BB7EDA" w:rsidRDefault="007D72B3">
      <w:pPr>
        <w:pStyle w:val="Bodytext80"/>
        <w:shd w:val="clear" w:color="auto" w:fill="auto"/>
      </w:pPr>
      <w:r>
        <w:rPr>
          <w:rStyle w:val="Bodytext8NotItalic"/>
        </w:rPr>
        <w:t xml:space="preserve">2.2.3.5 </w:t>
      </w:r>
      <w:r>
        <w:t>Kreol-Sprachen</w:t>
      </w:r>
    </w:p>
    <w:p w:rsidR="00BB7EDA" w:rsidRDefault="007D72B3">
      <w:pPr>
        <w:pStyle w:val="Bodytext20"/>
        <w:shd w:val="clear" w:color="auto" w:fill="auto"/>
        <w:spacing w:before="0" w:line="226" w:lineRule="exact"/>
      </w:pPr>
      <w:r>
        <w:t>In Verbindung mit den Begriffen der „Oberflächen-,, und der „Tiefen</w:t>
      </w:r>
      <w:r>
        <w:softHyphen/>
        <w:t>struktur" muss ich nun unbedingt noch einiges über das Phänomen der Kreolsprachen ausfü</w:t>
      </w:r>
      <w:r>
        <w:t>hren:</w:t>
      </w:r>
    </w:p>
    <w:p w:rsidR="00BB7EDA" w:rsidRDefault="007D72B3">
      <w:pPr>
        <w:pStyle w:val="Bodytext20"/>
        <w:shd w:val="clear" w:color="auto" w:fill="auto"/>
        <w:spacing w:before="0" w:line="226" w:lineRule="exact"/>
        <w:ind w:firstLine="340"/>
      </w:pPr>
      <w:r>
        <w:t xml:space="preserve">Mit dem Begriff „Kreolsprachen" bezeichnet man etwa dreißig Sprachen, die in der Zeitperiode zwischen dem 16. und dem 19. Jahrhundert vor allem durch die Arbeiter- und Sklavenheere der europäischen Kolonialmächte ausgebildet worden sind. Sobald eine </w:t>
      </w:r>
      <w:r>
        <w:t>neue Kolonie gegründet worden war, wurden billige Arbeits</w:t>
      </w:r>
      <w:r>
        <w:softHyphen/>
        <w:t>kräfte aus aller Welt herbeigeschafft. In vielen Fällen kamen Men</w:t>
      </w:r>
      <w:r>
        <w:softHyphen/>
        <w:t>schen verschiedenster Sprachen zusammen. Dies führte zu Verständigungsproblemen. Um diese Kommunikationsschwierig</w:t>
      </w:r>
      <w:r>
        <w:softHyphen/>
        <w:t>keiten zu überbrüc</w:t>
      </w:r>
      <w:r>
        <w:t>ken, half man sich mit primitiven Behelfs</w:t>
      </w:r>
      <w:r>
        <w:softHyphen/>
        <w:t xml:space="preserve">sprachen. Für den Begriff „Behelfssprache" verwendet man auch den Ausdruck </w:t>
      </w:r>
      <w:r>
        <w:rPr>
          <w:rStyle w:val="Bodytext2Italic0"/>
        </w:rPr>
        <w:t>„Pidgin“.</w:t>
      </w:r>
      <w:r>
        <w:t xml:space="preserve"> Die Wörter einer Pidgin-Sprache stamm</w:t>
      </w:r>
      <w:r>
        <w:softHyphen/>
        <w:t xml:space="preserve">ten meistens aus der von den jeweiligen Herrschern gesprochenen Sprache, d.h. z.B. aus dem </w:t>
      </w:r>
      <w:r>
        <w:t>Französischen, Spanischen, Portugie</w:t>
      </w:r>
      <w:r>
        <w:softHyphen/>
        <w:t>sischen oder dem Niederländischen. Von der Grammatik dieser Sprachen wurde jeweils so viel wie möglich abgestreift. Pidgin ist also eine rudimentäre Sprache mit einem ganz kleinen Wortschatz.</w:t>
      </w:r>
    </w:p>
    <w:p w:rsidR="00BB7EDA" w:rsidRDefault="007D72B3">
      <w:pPr>
        <w:pStyle w:val="Bodytext20"/>
        <w:shd w:val="clear" w:color="auto" w:fill="auto"/>
        <w:spacing w:before="0" w:line="226" w:lineRule="exact"/>
        <w:ind w:firstLine="340"/>
      </w:pPr>
      <w:r>
        <w:t>Die beschriebene Situation b</w:t>
      </w:r>
      <w:r>
        <w:t>etrifft die jeweils erste Generation. Diese Arbeiterheere hatten nun aber Nachkommen. Ihre Kinder bekamen oft hauptsächlich Pidgin zu hören, sodass dieses Idiom ihre Muttersprache wurde. Zur Zeit solcher Übergänge geschah etwas Überraschendes: Das Pidgin w</w:t>
      </w:r>
      <w:r>
        <w:t>urde „kreolisiert", wie man so schön sagt. Die offene Grammatik der Elterngeneration bekam durch die Kinder Regelcharakter, sodass sich schließlich jeweils eine ver</w:t>
      </w:r>
      <w:r>
        <w:softHyphen/>
        <w:t>bindliche Satzbau-Grammatik entwickelte.</w:t>
      </w:r>
    </w:p>
    <w:p w:rsidR="00BB7EDA" w:rsidRDefault="007D72B3">
      <w:pPr>
        <w:pStyle w:val="Bodytext20"/>
        <w:shd w:val="clear" w:color="auto" w:fill="auto"/>
        <w:spacing w:before="0" w:line="226" w:lineRule="exact"/>
        <w:ind w:firstLine="340"/>
      </w:pPr>
      <w:r>
        <w:t xml:space="preserve">Der Linguist Derek </w:t>
      </w:r>
      <w:r>
        <w:rPr>
          <w:rStyle w:val="Bodytext28ptBoldSmallCaps"/>
        </w:rPr>
        <w:t xml:space="preserve">Bickerton </w:t>
      </w:r>
      <w:r>
        <w:t xml:space="preserve">von der Universität </w:t>
      </w:r>
      <w:r>
        <w:t>Hawaii hat sich besonders um die Kreolsprachen verdient gemacht. Er hatte sein Augenmerk darauf gerichtet, Gemeinsamkeiten der Kreolspra</w:t>
      </w:r>
      <w:r>
        <w:softHyphen/>
        <w:t>chen herauszuarbeiten: Sie bestehen zur Hauptsache aus Substan</w:t>
      </w:r>
      <w:r>
        <w:softHyphen/>
        <w:t>tiven und Verben. Es gibt keine Fallformen. Fragen werde</w:t>
      </w:r>
      <w:r>
        <w:t>n durch steigende Satzmelodie gebildet. Zu einem verneinten Verb besit</w:t>
      </w:r>
      <w:r>
        <w:softHyphen/>
        <w:t xml:space="preserve">zen sie oft ein verneintes Subjekt. Ein Beispiel aus dem Guyana- Kreol: </w:t>
      </w:r>
      <w:r>
        <w:rPr>
          <w:rStyle w:val="Bodytext2Italic0"/>
        </w:rPr>
        <w:t>Nodogdid not bite noman.</w:t>
      </w:r>
      <w:r>
        <w:t xml:space="preserve"> Interessant ist in diesem Zusammen</w:t>
      </w:r>
      <w:r>
        <w:softHyphen/>
        <w:t xml:space="preserve">hang, dass diese Art der Verneinung einer kindlichen </w:t>
      </w:r>
      <w:r>
        <w:t xml:space="preserve">Sprachphase zwischen dreieinhalb und vier Jahren entspricht (vgl. z.B. </w:t>
      </w:r>
      <w:r>
        <w:rPr>
          <w:rStyle w:val="Bodytext2Italic0"/>
        </w:rPr>
        <w:t>Keiner mag mich nicht).</w:t>
      </w:r>
    </w:p>
    <w:p w:rsidR="00BB7EDA" w:rsidRDefault="007D72B3">
      <w:pPr>
        <w:pStyle w:val="Bodytext20"/>
        <w:shd w:val="clear" w:color="auto" w:fill="auto"/>
        <w:spacing w:before="0" w:line="226" w:lineRule="exact"/>
        <w:ind w:firstLine="320"/>
      </w:pPr>
      <w:r>
        <w:t>Die Verben werden nicht konjugiert. Aber es haben sich hoch interessante syntaktische Regeln zum Ausdruck von Zeit und Aspekt herausgebildet. Einige Beispiele au</w:t>
      </w:r>
      <w:r>
        <w:t xml:space="preserve">s dem Hawaii-Kreol: </w:t>
      </w:r>
      <w:r>
        <w:rPr>
          <w:rStyle w:val="Bodytext2Italic0"/>
        </w:rPr>
        <w:t xml:space="preserve">He walk </w:t>
      </w:r>
      <w:r>
        <w:t>steht im Präsens und bedeutet „Er geht".</w:t>
      </w:r>
    </w:p>
    <w:p w:rsidR="00BB7EDA" w:rsidRDefault="007D72B3">
      <w:pPr>
        <w:pStyle w:val="Bodytext20"/>
        <w:shd w:val="clear" w:color="auto" w:fill="auto"/>
        <w:spacing w:before="0" w:line="226" w:lineRule="exact"/>
        <w:ind w:firstLine="320"/>
      </w:pPr>
      <w:r>
        <w:t xml:space="preserve">Für die Vergangenheit wird ein Partikel vor das Verb gestellt: </w:t>
      </w:r>
      <w:r>
        <w:rPr>
          <w:rStyle w:val="Bodytext2Italic0"/>
        </w:rPr>
        <w:t>He bin zvalk</w:t>
      </w:r>
      <w:r>
        <w:t xml:space="preserve"> („Er ist gegangen"). Auch zum Ausdruck dessen, was noch nicht ist (Futur) oder lediglich sein könnte (Irrealis)</w:t>
      </w:r>
      <w:r>
        <w:t xml:space="preserve">, wird einfach ein Partikel vorangestellt.' </w:t>
      </w:r>
      <w:r>
        <w:rPr>
          <w:rStyle w:val="Bodytext2Italic0"/>
        </w:rPr>
        <w:t>He go walk</w:t>
      </w:r>
      <w:r>
        <w:t xml:space="preserve"> (= „Er wird/würde gehen").</w:t>
      </w:r>
    </w:p>
    <w:p w:rsidR="00BB7EDA" w:rsidRDefault="007D72B3">
      <w:pPr>
        <w:pStyle w:val="Bodytext20"/>
        <w:shd w:val="clear" w:color="auto" w:fill="auto"/>
        <w:spacing w:before="0" w:line="226" w:lineRule="exact"/>
        <w:ind w:firstLine="320"/>
      </w:pPr>
      <w:r>
        <w:t>Es gibt die Möglichkeit, eine fortdauernde Handlung zu be</w:t>
      </w:r>
      <w:r>
        <w:softHyphen/>
        <w:t xml:space="preserve">schreiben, entsprechend dem englischen „continious time". </w:t>
      </w:r>
      <w:r>
        <w:rPr>
          <w:rStyle w:val="Bodytext2Italic0"/>
        </w:rPr>
        <w:t>He stay walk</w:t>
      </w:r>
      <w:r>
        <w:t xml:space="preserve"> bedeutet „Er geht und geht und geht".</w:t>
      </w:r>
    </w:p>
    <w:p w:rsidR="00BB7EDA" w:rsidRDefault="007D72B3">
      <w:pPr>
        <w:pStyle w:val="Bodytext20"/>
        <w:shd w:val="clear" w:color="auto" w:fill="auto"/>
        <w:spacing w:before="0" w:line="226" w:lineRule="exact"/>
        <w:ind w:firstLine="320"/>
      </w:pPr>
      <w:r>
        <w:t>Die dre</w:t>
      </w:r>
      <w:r>
        <w:t xml:space="preserve">i genannten Partikel lassen sich auch alle kombinieren, und zwar immer in der Reihenfolge Zeit-Modus-Aspekt. Dies gilt entsprechend auch für andere Kreolsprachen. </w:t>
      </w:r>
      <w:r>
        <w:rPr>
          <w:rStyle w:val="Bodytext2Italic0"/>
        </w:rPr>
        <w:t xml:space="preserve">He bin go stay walk </w:t>
      </w:r>
      <w:r>
        <w:t>kann man ungefähr wie folgt übersetzen: „Er wäre davor ununter</w:t>
      </w:r>
      <w:r>
        <w:softHyphen/>
        <w:t>brochen ge</w:t>
      </w:r>
      <w:r>
        <w:t>laufen."</w:t>
      </w:r>
      <w:r>
        <w:rPr>
          <w:vertAlign w:val="superscript"/>
        </w:rPr>
        <w:footnoteReference w:id="86"/>
      </w:r>
    </w:p>
    <w:p w:rsidR="00BB7EDA" w:rsidRDefault="007D72B3">
      <w:pPr>
        <w:pStyle w:val="Bodytext20"/>
        <w:shd w:val="clear" w:color="auto" w:fill="auto"/>
        <w:spacing w:before="0" w:line="226" w:lineRule="exact"/>
        <w:ind w:firstLine="320"/>
      </w:pPr>
      <w:r>
        <w:t>Das Beispiel der Kreol-Sprachen bestätigt die Annahme, dass der Mensch ein angeborenes Sprachempfinden besitzt, das sich in der sensiblen Spracherwerbs-Phase in syntaktischer Hinsicht durch er</w:t>
      </w:r>
      <w:r>
        <w:softHyphen/>
        <w:t>staunliche Kreativität auswirken kann. Insbesondere d</w:t>
      </w:r>
      <w:r>
        <w:t>ie Beobach</w:t>
      </w:r>
      <w:r>
        <w:softHyphen/>
        <w:t>tung, dass in den Kreolsprachen allgemein die Partikel-Reihenfolge Zeit-Modus-Aspekt zu beobachten ist, lässt interessante Rückschlüsse auf eine angeborene Grammatik-Disposition zu.</w:t>
      </w:r>
    </w:p>
    <w:p w:rsidR="00BB7EDA" w:rsidRDefault="007D72B3">
      <w:pPr>
        <w:pStyle w:val="Bodytext20"/>
        <w:shd w:val="clear" w:color="auto" w:fill="auto"/>
        <w:spacing w:before="0" w:line="226" w:lineRule="exact"/>
        <w:ind w:firstLine="320"/>
      </w:pPr>
      <w:r>
        <w:t>Hätten die Pidgin-Kinder nie eine Sprache hören können, so wäre</w:t>
      </w:r>
      <w:r>
        <w:t>n sie allerdings sprachlos geblieben wie Wolfskinder. Aber selbst die rudimentäre Sprache, welche die Pidgin-Umwelt ihnen anzubieten hatte, war bereits genügend Input, um daraus scheinba</w:t>
      </w:r>
      <w:r>
        <w:softHyphen/>
        <w:t>re Regeln herauszufühlen und sie schließlich im dialektischen Um</w:t>
      </w:r>
      <w:r>
        <w:softHyphen/>
        <w:t>gang</w:t>
      </w:r>
      <w:r>
        <w:t xml:space="preserve"> mit der Umwelt zu grammatikalisieren.</w:t>
      </w:r>
    </w:p>
    <w:p w:rsidR="00BB7EDA" w:rsidRDefault="007D72B3">
      <w:pPr>
        <w:pStyle w:val="Bodytext20"/>
        <w:shd w:val="clear" w:color="auto" w:fill="auto"/>
        <w:spacing w:before="0" w:after="457" w:line="226" w:lineRule="exact"/>
        <w:ind w:firstLine="320"/>
      </w:pPr>
      <w:r>
        <w:t>Wir haben bereits gesehen, dass der Mensch im Bereich des Vokabulars kreativ ist. Das Beispiel der Kreol-Sprachen illustriert sehr anschaulich die schöpferische Fähigkeit des Menschen auf dem Gebiet der Syntax.</w:t>
      </w:r>
    </w:p>
    <w:p w:rsidR="00BB7EDA" w:rsidRDefault="007D72B3">
      <w:pPr>
        <w:pStyle w:val="Bodytext90"/>
        <w:numPr>
          <w:ilvl w:val="0"/>
          <w:numId w:val="60"/>
        </w:numPr>
        <w:shd w:val="clear" w:color="auto" w:fill="auto"/>
        <w:tabs>
          <w:tab w:val="left" w:pos="505"/>
        </w:tabs>
        <w:spacing w:after="223" w:line="180" w:lineRule="exact"/>
      </w:pPr>
      <w:r>
        <w:t>Semant</w:t>
      </w:r>
      <w:r>
        <w:t>ik</w:t>
      </w:r>
    </w:p>
    <w:p w:rsidR="00BB7EDA" w:rsidRDefault="007D72B3">
      <w:pPr>
        <w:pStyle w:val="Bodytext100"/>
        <w:numPr>
          <w:ilvl w:val="0"/>
          <w:numId w:val="61"/>
        </w:numPr>
        <w:shd w:val="clear" w:color="auto" w:fill="auto"/>
        <w:tabs>
          <w:tab w:val="left" w:pos="654"/>
        </w:tabs>
        <w:spacing w:before="0"/>
        <w:ind w:firstLine="0"/>
      </w:pPr>
      <w:r>
        <w:t>Grammatik mid Semantik</w:t>
      </w:r>
    </w:p>
    <w:p w:rsidR="00BB7EDA" w:rsidRDefault="007D72B3">
      <w:pPr>
        <w:pStyle w:val="Bodytext20"/>
        <w:shd w:val="clear" w:color="auto" w:fill="auto"/>
        <w:spacing w:before="0" w:line="226" w:lineRule="exact"/>
      </w:pPr>
      <w:r>
        <w:t xml:space="preserve">In der </w:t>
      </w:r>
      <w:r>
        <w:rPr>
          <w:rStyle w:val="Bodytext2Italic0"/>
        </w:rPr>
        <w:t>Grammatik,</w:t>
      </w:r>
      <w:r>
        <w:t xml:space="preserve"> bestehend aus Phonologie, Morphologie und Syntax, befasst man sich mit der </w:t>
      </w:r>
      <w:r>
        <w:rPr>
          <w:rStyle w:val="Bodytext2Italic0"/>
        </w:rPr>
        <w:t>Ausdrucksseite</w:t>
      </w:r>
      <w:r>
        <w:t xml:space="preserve"> der Sprachen. Die </w:t>
      </w:r>
      <w:r>
        <w:rPr>
          <w:rStyle w:val="Bodytext2Italic0"/>
        </w:rPr>
        <w:t>Informationsseite</w:t>
      </w:r>
      <w:r>
        <w:t xml:space="preserve"> hingegen ist Angelegenheit der </w:t>
      </w:r>
      <w:r>
        <w:rPr>
          <w:rStyle w:val="Bodytext2Italic0"/>
        </w:rPr>
        <w:t>Semantik</w:t>
      </w:r>
      <w:r>
        <w:rPr>
          <w:vertAlign w:val="superscript"/>
        </w:rPr>
        <w:footnoteReference w:id="87"/>
      </w:r>
      <w:r>
        <w:rPr>
          <w:vertAlign w:val="superscript"/>
        </w:rPr>
        <w:t xml:space="preserve"> </w:t>
      </w:r>
      <w:r>
        <w:rPr>
          <w:vertAlign w:val="superscript"/>
        </w:rPr>
        <w:footnoteReference w:id="88"/>
      </w:r>
      <w:r>
        <w:t>. Wäh</w:t>
      </w:r>
      <w:r>
        <w:softHyphen/>
        <w:t>rend man sich in der Grammatik mit der</w:t>
      </w:r>
      <w:r>
        <w:t xml:space="preserve"> äußeren Form, dem Sym</w:t>
      </w:r>
      <w:r>
        <w:softHyphen/>
        <w:t>bol, dem Bezeichnenden," beschäftigt, richtet man indessen bei der Semantik - koordiniert dazu - das Augenmerk auf den Inhalt, auf das Konzept bzw. auf das Bezeichnete.</w:t>
      </w:r>
      <w:r>
        <w:rPr>
          <w:vertAlign w:val="superscript"/>
        </w:rPr>
        <w:footnoteReference w:id="89"/>
      </w:r>
    </w:p>
    <w:p w:rsidR="00BB7EDA" w:rsidRDefault="007D72B3">
      <w:pPr>
        <w:pStyle w:val="Bodytext20"/>
        <w:shd w:val="clear" w:color="auto" w:fill="auto"/>
        <w:spacing w:before="0" w:line="226" w:lineRule="exact"/>
        <w:ind w:firstLine="320"/>
      </w:pPr>
      <w:r>
        <w:t xml:space="preserve">Bei der Untersuchung des Informationsgehaltes von Lautgebilden </w:t>
      </w:r>
      <w:r>
        <w:t xml:space="preserve">in isolierter Form forschen wir nach deren </w:t>
      </w:r>
      <w:r>
        <w:rPr>
          <w:rStyle w:val="Bodytext2Italic0"/>
        </w:rPr>
        <w:t xml:space="preserve">lexikalischer Bedeutung. </w:t>
      </w:r>
      <w:r>
        <w:t xml:space="preserve">Geht es um den Sinn der Morpheme im Satz- und Textgefüge, so spricht man in diesem Zusammenhang von deren </w:t>
      </w:r>
      <w:r>
        <w:rPr>
          <w:rStyle w:val="Bodytext2Italic0"/>
        </w:rPr>
        <w:t>struktureller Be</w:t>
      </w:r>
      <w:r>
        <w:rPr>
          <w:rStyle w:val="Bodytext2Italic0"/>
        </w:rPr>
        <w:softHyphen/>
        <w:t>deutung.</w:t>
      </w:r>
      <w:r>
        <w:t xml:space="preserve"> Die </w:t>
      </w:r>
      <w:r>
        <w:rPr>
          <w:rStyle w:val="Bodytext2Italic0"/>
        </w:rPr>
        <w:t>totale linguistische Bedeutung</w:t>
      </w:r>
      <w:r>
        <w:t xml:space="preserve"> einer Äußerung setzt </w:t>
      </w:r>
      <w:r>
        <w:t>sich zusammen aus den lexikalischen Bedeutungen der einzelnen Wör</w:t>
      </w:r>
      <w:r>
        <w:softHyphen/>
        <w:t>ter und deren grammatisch bedingten strukturellen Bedeutungen.</w:t>
      </w:r>
    </w:p>
    <w:p w:rsidR="00BB7EDA" w:rsidRDefault="007D72B3">
      <w:pPr>
        <w:pStyle w:val="Bodytext20"/>
        <w:shd w:val="clear" w:color="auto" w:fill="auto"/>
        <w:spacing w:before="0" w:after="180" w:line="226" w:lineRule="exact"/>
        <w:ind w:firstLine="320"/>
      </w:pPr>
      <w:r>
        <w:t xml:space="preserve">Nehmen wir als Beispiel für lexikalische Bedeutung das Wort </w:t>
      </w:r>
      <w:r>
        <w:rPr>
          <w:rStyle w:val="Bodytext2Italic0"/>
        </w:rPr>
        <w:t>Luft.</w:t>
      </w:r>
      <w:r>
        <w:t xml:space="preserve"> Man kann die Bedeutung der Lautkombination /?/ + </w:t>
      </w:r>
      <w:r>
        <w:rPr>
          <w:rStyle w:val="Bodytext2Italic0"/>
        </w:rPr>
        <w:t xml:space="preserve">/u/ + /f/ + </w:t>
      </w:r>
      <w:r>
        <w:rPr>
          <w:rStyle w:val="Bodytext2Italic0"/>
        </w:rPr>
        <w:t>/t/</w:t>
      </w:r>
      <w:r>
        <w:t>z.B. als „Gasgemisch, das die Erde als Hülle umgibt" beschreiben. Die spezifische und volle Bedeutung eines Wortes ergibt sich aber erst durch dessen Platz innerhalb eines Satzes und eines Satz</w:t>
      </w:r>
      <w:r>
        <w:softHyphen/>
        <w:t>verbandes, letztlich sogar erst innerhalb eines existenziel</w:t>
      </w:r>
      <w:r>
        <w:t>len Gesamt</w:t>
      </w:r>
      <w:r>
        <w:softHyphen/>
        <w:t>kontextes.</w:t>
      </w:r>
    </w:p>
    <w:p w:rsidR="00BB7EDA" w:rsidRDefault="007D72B3">
      <w:pPr>
        <w:pStyle w:val="Bodytext100"/>
        <w:numPr>
          <w:ilvl w:val="0"/>
          <w:numId w:val="62"/>
        </w:numPr>
        <w:shd w:val="clear" w:color="auto" w:fill="auto"/>
        <w:tabs>
          <w:tab w:val="left" w:pos="658"/>
        </w:tabs>
        <w:spacing w:before="0"/>
        <w:ind w:firstLine="0"/>
      </w:pPr>
      <w:r>
        <w:t>Homophonie</w:t>
      </w:r>
    </w:p>
    <w:p w:rsidR="00BB7EDA" w:rsidRDefault="007D72B3">
      <w:pPr>
        <w:pStyle w:val="Bodytext20"/>
        <w:shd w:val="clear" w:color="auto" w:fill="auto"/>
        <w:spacing w:before="0" w:after="180" w:line="226" w:lineRule="exact"/>
      </w:pPr>
      <w:r>
        <w:t>Es kann Vorkommen, dass ein bestimmtes Lautgebilde völlig ver</w:t>
      </w:r>
      <w:r>
        <w:softHyphen/>
        <w:t xml:space="preserve">schiedene Bedeutungen haben kann. Das deutsche Morphem </w:t>
      </w:r>
      <w:r>
        <w:rPr>
          <w:rStyle w:val="Bodytext2Italic0"/>
        </w:rPr>
        <w:t xml:space="preserve">Kiefer </w:t>
      </w:r>
      <w:r>
        <w:t>kann man grob erklären als „Nadelbaumart" oder „eine bestimmte Knochenpartie des Schädels". Im Hebr</w:t>
      </w:r>
      <w:r>
        <w:t xml:space="preserve">äischen bedeutet </w:t>
      </w:r>
      <w:r>
        <w:rPr>
          <w:rStyle w:val="Bodytext2Italic0"/>
        </w:rPr>
        <w:t>kar</w:t>
      </w:r>
      <w:r>
        <w:t xml:space="preserve"> sowohl „Lamm" als auch „Kamelsattel". Es handelt sich hier in beiden Fällen eigentlich um je zwei verschiedene, allerdings gleich lautende Lexeme verschiedener Herkunft. In diesem Zusammenhang spricht man von </w:t>
      </w:r>
      <w:r>
        <w:rPr>
          <w:rStyle w:val="Bodytext2Italic0"/>
        </w:rPr>
        <w:t>Homophonie</w:t>
      </w:r>
      <w:r>
        <w:rPr>
          <w:rStyle w:val="Bodytext210ptItalic"/>
        </w:rPr>
        <w:t>,</w:t>
      </w:r>
      <w:r>
        <w:rPr>
          <w:rStyle w:val="Bodytext210ptItalic"/>
          <w:vertAlign w:val="superscript"/>
        </w:rPr>
        <w:t>W1</w:t>
      </w:r>
      <w:r>
        <w:rPr>
          <w:rStyle w:val="Bodytext210pt"/>
        </w:rPr>
        <w:t xml:space="preserve"> </w:t>
      </w:r>
      <w:r>
        <w:t>Das Phänomen</w:t>
      </w:r>
      <w:r>
        <w:t xml:space="preserve"> der Homophonie spielt z.B. im Chinesischen eine große Rolle, weil es dort überaus gehäuft vorkommt.</w:t>
      </w:r>
    </w:p>
    <w:p w:rsidR="00BB7EDA" w:rsidRDefault="007D72B3">
      <w:pPr>
        <w:pStyle w:val="Bodytext80"/>
        <w:numPr>
          <w:ilvl w:val="0"/>
          <w:numId w:val="63"/>
        </w:numPr>
        <w:shd w:val="clear" w:color="auto" w:fill="auto"/>
        <w:tabs>
          <w:tab w:val="left" w:pos="649"/>
        </w:tabs>
      </w:pPr>
      <w:r>
        <w:t>Information und deren Übermittlung</w:t>
      </w:r>
    </w:p>
    <w:p w:rsidR="00BB7EDA" w:rsidRDefault="007D72B3">
      <w:pPr>
        <w:pStyle w:val="Bodytext20"/>
        <w:shd w:val="clear" w:color="auto" w:fill="auto"/>
        <w:spacing w:before="0" w:line="226" w:lineRule="exact"/>
      </w:pPr>
      <w:r>
        <w:t>Die Zeichenketten, die nach grammatischen Regeln zusammenge</w:t>
      </w:r>
      <w:r>
        <w:softHyphen/>
        <w:t>stellt werden können, bilden die notwendige Voraussetzung zu</w:t>
      </w:r>
      <w:r>
        <w:t>r Übermittlung von Information. Das Wichtigste an einer Informati</w:t>
      </w:r>
      <w:r>
        <w:softHyphen/>
        <w:t>on, die weitergegeben wird, ist jedoch nicht der gewählte Code an sich, sondern die darin gefasste Botschaft. Jede Information kann mit jeder x-beliebigen Sprache der Welt übermittelt werden</w:t>
      </w:r>
      <w:r>
        <w:t>. Das We</w:t>
      </w:r>
      <w:r>
        <w:softHyphen/>
        <w:t xml:space="preserve">sentliche für den Sprecher und den Hörer einer Sprache, für den </w:t>
      </w:r>
      <w:r>
        <w:rPr>
          <w:rStyle w:val="Bodytext2Italic0"/>
        </w:rPr>
        <w:t>Sender</w:t>
      </w:r>
      <w:r>
        <w:t xml:space="preserve"> und den </w:t>
      </w:r>
      <w:r>
        <w:rPr>
          <w:rStyle w:val="Bodytext2Italic0"/>
        </w:rPr>
        <w:t>Empfänger,</w:t>
      </w:r>
      <w:r>
        <w:t xml:space="preserve"> ist jedoch die </w:t>
      </w:r>
      <w:r>
        <w:rPr>
          <w:rStyle w:val="Bodytext2Italic0"/>
        </w:rPr>
        <w:t>Aussage, der Sinn, die Bedeutung.</w:t>
      </w:r>
      <w:r>
        <w:t xml:space="preserve"> Erst dadurch wird die Zeichenkette der Grammatik zur Information. Werner Girr, Spezialist für Informatik, nu</w:t>
      </w:r>
      <w:r>
        <w:t>merische Mathematik und Systemtheorie, schrieb dazu: „Es gehört zum We</w:t>
      </w:r>
      <w:r>
        <w:softHyphen/>
        <w:t>sen jeder Information, dass sie von jemandem ausgesandt und an jemanden gerichtet ist. Wo Information auch immer auftritt, haben wir es stets mit einem Sender und einem Empfänger zu tun</w:t>
      </w:r>
      <w:r>
        <w:t>."</w:t>
      </w:r>
      <w:r>
        <w:rPr>
          <w:vertAlign w:val="superscript"/>
        </w:rPr>
        <w:footnoteReference w:id="90"/>
      </w:r>
      <w:r>
        <w:rPr>
          <w:vertAlign w:val="superscript"/>
        </w:rPr>
        <w:t xml:space="preserve"> </w:t>
      </w:r>
      <w:r>
        <w:rPr>
          <w:vertAlign w:val="superscript"/>
        </w:rPr>
        <w:footnoteReference w:id="91"/>
      </w:r>
    </w:p>
    <w:p w:rsidR="00BB7EDA" w:rsidRDefault="007D72B3">
      <w:pPr>
        <w:pStyle w:val="Bodytext20"/>
        <w:shd w:val="clear" w:color="auto" w:fill="auto"/>
        <w:spacing w:before="0" w:line="226" w:lineRule="exact"/>
        <w:ind w:firstLine="320"/>
      </w:pPr>
      <w:r>
        <w:t xml:space="preserve">An dieser Stelle mag uns auffallen, dass Information </w:t>
      </w:r>
      <w:r>
        <w:rPr>
          <w:rStyle w:val="Bodytext2Italic0"/>
        </w:rPr>
        <w:t>eine rein geistige Größe</w:t>
      </w:r>
      <w:r>
        <w:t xml:space="preserve"> ist.</w:t>
      </w:r>
      <w:r>
        <w:rPr>
          <w:vertAlign w:val="superscript"/>
        </w:rPr>
        <w:footnoteReference w:id="92"/>
      </w:r>
      <w:r>
        <w:t xml:space="preserve"> Sie kann mit Hilfe von Materie übermittelt werden, z.B. durch Schallwellen im Gespräch, durch Tinte auf Papier beim Schreiben, durch bestimmte Anordnung von Atomen un</w:t>
      </w:r>
      <w:r>
        <w:t>d Molekülen im Fall der DNS-Erbsubstanz etc. In all diesen Fällen ist das Materielle aber eindeutig nicht identisch mit der Information selbst. Die Materie ist immer lediglich Träger einer ihr aufoktroyierten geistigen Größe.</w:t>
      </w:r>
    </w:p>
    <w:p w:rsidR="00BB7EDA" w:rsidRDefault="007D72B3">
      <w:pPr>
        <w:pStyle w:val="Bodytext20"/>
        <w:shd w:val="clear" w:color="auto" w:fill="auto"/>
        <w:spacing w:before="0" w:line="226" w:lineRule="exact"/>
        <w:ind w:firstLine="320"/>
      </w:pPr>
      <w:r>
        <w:t>Gesprochener Dialog mit mensch</w:t>
      </w:r>
      <w:r>
        <w:t>lichen Sprachen geschieht so: Der Sender besitzt oder bildet in seinem Inneren Information. Er verschlüsselt sie in Code-Zeichen, und zwar in Form von Schallwel</w:t>
      </w:r>
      <w:r>
        <w:softHyphen/>
        <w:t>len, die er an einen Empfänger übermittelt. Der Empfänger ent</w:t>
      </w:r>
      <w:r>
        <w:softHyphen/>
        <w:t>schlüsselt die Code-Zeichen und n</w:t>
      </w:r>
      <w:r>
        <w:t>immt die Information in sich auf.</w:t>
      </w:r>
      <w:r>
        <w:br w:type="page"/>
      </w:r>
    </w:p>
    <w:p w:rsidR="00BB7EDA" w:rsidRDefault="007D72B3">
      <w:pPr>
        <w:pStyle w:val="Bodytext120"/>
        <w:shd w:val="clear" w:color="auto" w:fill="auto"/>
        <w:spacing w:before="0" w:after="269"/>
      </w:pPr>
      <w:r>
        <w:pict>
          <v:shape id="_x0000_s1060" type="#_x0000_t202" style="position:absolute;left:0;text-align:left;margin-left:18.65pt;margin-top:-230.65pt;width:239.05pt;height:.05pt;z-index:-125829367;mso-wrap-distance-left:21.6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1142"/>
                    <w:gridCol w:w="1301"/>
                    <w:gridCol w:w="1075"/>
                    <w:gridCol w:w="629"/>
                  </w:tblGrid>
                  <w:tr w:rsidR="00BB7EDA">
                    <w:tblPrEx>
                      <w:tblCellMar>
                        <w:top w:w="0" w:type="dxa"/>
                        <w:bottom w:w="0" w:type="dxa"/>
                      </w:tblCellMar>
                    </w:tblPrEx>
                    <w:trPr>
                      <w:trHeight w:hRule="exact" w:val="226"/>
                      <w:jc w:val="center"/>
                    </w:trPr>
                    <w:tc>
                      <w:tcPr>
                        <w:tcW w:w="634" w:type="dxa"/>
                        <w:tcBorders>
                          <w:top w:val="single" w:sz="4" w:space="0" w:color="auto"/>
                          <w:left w:val="single" w:sz="4" w:space="0" w:color="auto"/>
                        </w:tcBorders>
                        <w:shd w:val="clear" w:color="auto" w:fill="FFFFFF"/>
                      </w:tcPr>
                      <w:p w:rsidR="00BB7EDA" w:rsidRDefault="00BB7EDA">
                        <w:pPr>
                          <w:rPr>
                            <w:sz w:val="10"/>
                            <w:szCs w:val="10"/>
                          </w:rPr>
                        </w:pPr>
                      </w:p>
                    </w:tc>
                    <w:tc>
                      <w:tcPr>
                        <w:tcW w:w="1142" w:type="dxa"/>
                        <w:tcBorders>
                          <w:left w:val="single" w:sz="4" w:space="0" w:color="auto"/>
                        </w:tcBorders>
                        <w:shd w:val="clear" w:color="auto" w:fill="FFFFFF"/>
                      </w:tcPr>
                      <w:p w:rsidR="00BB7EDA" w:rsidRDefault="007D72B3">
                        <w:pPr>
                          <w:pStyle w:val="Bodytext20"/>
                          <w:shd w:val="clear" w:color="auto" w:fill="auto"/>
                          <w:spacing w:before="0" w:line="150" w:lineRule="exact"/>
                          <w:jc w:val="left"/>
                        </w:pPr>
                        <w:r>
                          <w:rPr>
                            <w:rStyle w:val="Bodytext2Arial75pt"/>
                          </w:rPr>
                          <w:t>beabsichtigtes</w:t>
                        </w:r>
                      </w:p>
                    </w:tc>
                    <w:tc>
                      <w:tcPr>
                        <w:tcW w:w="1301" w:type="dxa"/>
                        <w:vMerge w:val="restart"/>
                        <w:tcBorders>
                          <w:top w:val="single" w:sz="4" w:space="0" w:color="auto"/>
                        </w:tcBorders>
                        <w:shd w:val="clear" w:color="auto" w:fill="FFFFFF"/>
                        <w:vAlign w:val="bottom"/>
                      </w:tcPr>
                      <w:p w:rsidR="00BB7EDA" w:rsidRDefault="007D72B3">
                        <w:pPr>
                          <w:pStyle w:val="Bodytext20"/>
                          <w:shd w:val="clear" w:color="auto" w:fill="auto"/>
                          <w:spacing w:before="0" w:line="150" w:lineRule="exact"/>
                          <w:ind w:left="200"/>
                          <w:jc w:val="left"/>
                        </w:pPr>
                        <w:r>
                          <w:rPr>
                            <w:rStyle w:val="Bodytext275pt0"/>
                          </w:rPr>
                          <w:t>Apobetik</w:t>
                        </w:r>
                      </w:p>
                    </w:tc>
                    <w:tc>
                      <w:tcPr>
                        <w:tcW w:w="1075" w:type="dxa"/>
                        <w:tcBorders>
                          <w:left w:val="single" w:sz="4" w:space="0" w:color="auto"/>
                        </w:tcBorders>
                        <w:shd w:val="clear" w:color="auto" w:fill="FFFFFF"/>
                      </w:tcPr>
                      <w:p w:rsidR="00BB7EDA" w:rsidRDefault="007D72B3">
                        <w:pPr>
                          <w:pStyle w:val="Bodytext20"/>
                          <w:shd w:val="clear" w:color="auto" w:fill="auto"/>
                          <w:spacing w:before="0" w:line="150" w:lineRule="exact"/>
                          <w:ind w:left="200"/>
                          <w:jc w:val="left"/>
                        </w:pPr>
                        <w:r>
                          <w:rPr>
                            <w:rStyle w:val="Bodytext2Arial75pt"/>
                          </w:rPr>
                          <w:t>erreichtes</w:t>
                        </w:r>
                      </w:p>
                    </w:tc>
                    <w:tc>
                      <w:tcPr>
                        <w:tcW w:w="629" w:type="dxa"/>
                        <w:tcBorders>
                          <w:left w:val="single" w:sz="4" w:space="0" w:color="auto"/>
                          <w:right w:val="single" w:sz="4" w:space="0" w:color="auto"/>
                        </w:tcBorders>
                        <w:shd w:val="clear" w:color="auto" w:fill="FFFFFF"/>
                      </w:tcPr>
                      <w:p w:rsidR="00BB7EDA" w:rsidRDefault="00BB7EDA">
                        <w:pPr>
                          <w:rPr>
                            <w:sz w:val="10"/>
                            <w:szCs w:val="10"/>
                          </w:rPr>
                        </w:pPr>
                      </w:p>
                    </w:tc>
                  </w:tr>
                  <w:tr w:rsidR="00BB7EDA">
                    <w:tblPrEx>
                      <w:tblCellMar>
                        <w:top w:w="0" w:type="dxa"/>
                        <w:bottom w:w="0" w:type="dxa"/>
                      </w:tblCellMar>
                    </w:tblPrEx>
                    <w:trPr>
                      <w:trHeight w:hRule="exact" w:val="221"/>
                      <w:jc w:val="center"/>
                    </w:trPr>
                    <w:tc>
                      <w:tcPr>
                        <w:tcW w:w="634" w:type="dxa"/>
                        <w:tcBorders>
                          <w:left w:val="single" w:sz="4" w:space="0" w:color="auto"/>
                        </w:tcBorders>
                        <w:shd w:val="clear" w:color="auto" w:fill="FFFFFF"/>
                      </w:tcPr>
                      <w:p w:rsidR="00BB7EDA" w:rsidRDefault="00BB7EDA">
                        <w:pPr>
                          <w:rPr>
                            <w:sz w:val="10"/>
                            <w:szCs w:val="10"/>
                          </w:rPr>
                        </w:pPr>
                      </w:p>
                    </w:tc>
                    <w:tc>
                      <w:tcPr>
                        <w:tcW w:w="1142" w:type="dxa"/>
                        <w:tcBorders>
                          <w:top w:val="single" w:sz="4" w:space="0" w:color="auto"/>
                          <w:left w:val="single" w:sz="4" w:space="0" w:color="auto"/>
                        </w:tcBorders>
                        <w:shd w:val="clear" w:color="auto" w:fill="FFFFFF"/>
                      </w:tcPr>
                      <w:p w:rsidR="00BB7EDA" w:rsidRDefault="007D72B3">
                        <w:pPr>
                          <w:pStyle w:val="Bodytext20"/>
                          <w:shd w:val="clear" w:color="auto" w:fill="auto"/>
                          <w:spacing w:before="0" w:line="150" w:lineRule="exact"/>
                          <w:jc w:val="left"/>
                        </w:pPr>
                        <w:r>
                          <w:rPr>
                            <w:rStyle w:val="Bodytext2Arial75pt"/>
                          </w:rPr>
                          <w:t xml:space="preserve">Ergebnis </w:t>
                        </w:r>
                        <w:r>
                          <w:rPr>
                            <w:rStyle w:val="Bodytext275pt0"/>
                          </w:rPr>
                          <w:t>*</w:t>
                        </w:r>
                      </w:p>
                    </w:tc>
                    <w:tc>
                      <w:tcPr>
                        <w:tcW w:w="1301" w:type="dxa"/>
                        <w:vMerge/>
                        <w:shd w:val="clear" w:color="auto" w:fill="FFFFFF"/>
                        <w:vAlign w:val="bottom"/>
                      </w:tcPr>
                      <w:p w:rsidR="00BB7EDA" w:rsidRDefault="00BB7EDA"/>
                    </w:tc>
                    <w:tc>
                      <w:tcPr>
                        <w:tcW w:w="1075" w:type="dxa"/>
                        <w:tcBorders>
                          <w:top w:val="single" w:sz="4" w:space="0" w:color="auto"/>
                          <w:left w:val="single" w:sz="4" w:space="0" w:color="auto"/>
                        </w:tcBorders>
                        <w:shd w:val="clear" w:color="auto" w:fill="FFFFFF"/>
                      </w:tcPr>
                      <w:p w:rsidR="00BB7EDA" w:rsidRDefault="007D72B3">
                        <w:pPr>
                          <w:pStyle w:val="Bodytext20"/>
                          <w:shd w:val="clear" w:color="auto" w:fill="auto"/>
                          <w:spacing w:before="0" w:line="150" w:lineRule="exact"/>
                          <w:jc w:val="left"/>
                        </w:pPr>
                        <w:r>
                          <w:rPr>
                            <w:rStyle w:val="Bodytext2Arial75pt"/>
                          </w:rPr>
                          <w:t>"Ziel</w:t>
                        </w:r>
                      </w:p>
                    </w:tc>
                    <w:tc>
                      <w:tcPr>
                        <w:tcW w:w="629" w:type="dxa"/>
                        <w:tcBorders>
                          <w:left w:val="single" w:sz="4" w:space="0" w:color="auto"/>
                          <w:right w:val="single" w:sz="4" w:space="0" w:color="auto"/>
                        </w:tcBorders>
                        <w:shd w:val="clear" w:color="auto" w:fill="FFFFFF"/>
                      </w:tcPr>
                      <w:p w:rsidR="00BB7EDA" w:rsidRDefault="00BB7EDA">
                        <w:pPr>
                          <w:rPr>
                            <w:sz w:val="10"/>
                            <w:szCs w:val="10"/>
                          </w:rPr>
                        </w:pPr>
                      </w:p>
                    </w:tc>
                  </w:tr>
                  <w:tr w:rsidR="00BB7EDA">
                    <w:tblPrEx>
                      <w:tblCellMar>
                        <w:top w:w="0" w:type="dxa"/>
                        <w:bottom w:w="0" w:type="dxa"/>
                      </w:tblCellMar>
                    </w:tblPrEx>
                    <w:trPr>
                      <w:trHeight w:hRule="exact" w:val="403"/>
                      <w:jc w:val="center"/>
                    </w:trPr>
                    <w:tc>
                      <w:tcPr>
                        <w:tcW w:w="634" w:type="dxa"/>
                        <w:tcBorders>
                          <w:left w:val="single" w:sz="4" w:space="0" w:color="auto"/>
                        </w:tcBorders>
                        <w:shd w:val="clear" w:color="auto" w:fill="FFFFFF"/>
                      </w:tcPr>
                      <w:p w:rsidR="00BB7EDA" w:rsidRDefault="007D72B3">
                        <w:pPr>
                          <w:pStyle w:val="Bodytext20"/>
                          <w:shd w:val="clear" w:color="auto" w:fill="auto"/>
                          <w:spacing w:before="0" w:line="180" w:lineRule="exact"/>
                          <w:ind w:left="260"/>
                          <w:jc w:val="left"/>
                        </w:pPr>
                        <w:r>
                          <w:rPr>
                            <w:rStyle w:val="Bodytext2ArialSpacing0pt"/>
                            <w:b w:val="0"/>
                            <w:bCs w:val="0"/>
                          </w:rPr>
                          <w:t>c</w:t>
                        </w:r>
                      </w:p>
                      <w:p w:rsidR="00BB7EDA" w:rsidRDefault="007D72B3">
                        <w:pPr>
                          <w:pStyle w:val="Bodytext20"/>
                          <w:shd w:val="clear" w:color="auto" w:fill="auto"/>
                          <w:spacing w:before="0" w:line="150" w:lineRule="exact"/>
                          <w:ind w:left="260"/>
                          <w:jc w:val="left"/>
                        </w:pPr>
                        <w:r>
                          <w:rPr>
                            <w:rStyle w:val="Bodytext275pt0"/>
                          </w:rPr>
                          <w:t>o</w:t>
                        </w:r>
                      </w:p>
                    </w:tc>
                    <w:tc>
                      <w:tcPr>
                        <w:tcW w:w="1142" w:type="dxa"/>
                        <w:tcBorders>
                          <w:left w:val="single" w:sz="4" w:space="0" w:color="auto"/>
                        </w:tcBorders>
                        <w:shd w:val="clear" w:color="auto" w:fill="FFFFFF"/>
                        <w:vAlign w:val="bottom"/>
                      </w:tcPr>
                      <w:p w:rsidR="00BB7EDA" w:rsidRDefault="007D72B3">
                        <w:pPr>
                          <w:pStyle w:val="Bodytext20"/>
                          <w:shd w:val="clear" w:color="auto" w:fill="auto"/>
                          <w:spacing w:before="0" w:line="180" w:lineRule="exact"/>
                          <w:jc w:val="left"/>
                        </w:pPr>
                        <w:r>
                          <w:rPr>
                            <w:rStyle w:val="Bodytext2ArialSpacing0pt"/>
                            <w:b w:val="0"/>
                            <w:bCs w:val="0"/>
                          </w:rPr>
                          <w:t>erwartete</w:t>
                        </w:r>
                      </w:p>
                    </w:tc>
                    <w:tc>
                      <w:tcPr>
                        <w:tcW w:w="1301" w:type="dxa"/>
                        <w:vMerge w:val="restart"/>
                        <w:tcBorders>
                          <w:top w:val="single" w:sz="4" w:space="0" w:color="auto"/>
                        </w:tcBorders>
                        <w:shd w:val="clear" w:color="auto" w:fill="FFFFFF"/>
                        <w:vAlign w:val="bottom"/>
                      </w:tcPr>
                      <w:p w:rsidR="00BB7EDA" w:rsidRDefault="007D72B3">
                        <w:pPr>
                          <w:pStyle w:val="Bodytext20"/>
                          <w:shd w:val="clear" w:color="auto" w:fill="auto"/>
                          <w:spacing w:before="0" w:line="150" w:lineRule="exact"/>
                          <w:ind w:left="200"/>
                          <w:jc w:val="left"/>
                        </w:pPr>
                        <w:r>
                          <w:rPr>
                            <w:rStyle w:val="Bodytext275pt0"/>
                          </w:rPr>
                          <w:t>Pragmatik</w:t>
                        </w:r>
                      </w:p>
                    </w:tc>
                    <w:tc>
                      <w:tcPr>
                        <w:tcW w:w="1075" w:type="dxa"/>
                        <w:tcBorders>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rPr>
                          <w:t>_ ausgeführte</w:t>
                        </w:r>
                      </w:p>
                    </w:tc>
                    <w:tc>
                      <w:tcPr>
                        <w:tcW w:w="629" w:type="dxa"/>
                        <w:vMerge w:val="restart"/>
                        <w:tcBorders>
                          <w:left w:val="single" w:sz="4" w:space="0" w:color="auto"/>
                          <w:right w:val="single" w:sz="4" w:space="0" w:color="auto"/>
                        </w:tcBorders>
                        <w:shd w:val="clear" w:color="auto" w:fill="FFFFFF"/>
                      </w:tcPr>
                      <w:p w:rsidR="00BB7EDA" w:rsidRDefault="007D72B3">
                        <w:pPr>
                          <w:pStyle w:val="Bodytext20"/>
                          <w:shd w:val="clear" w:color="auto" w:fill="auto"/>
                          <w:spacing w:before="0" w:after="60" w:line="150" w:lineRule="exact"/>
                          <w:ind w:right="240"/>
                          <w:jc w:val="right"/>
                        </w:pPr>
                        <w:r>
                          <w:rPr>
                            <w:rStyle w:val="Bodytext275pt0"/>
                          </w:rPr>
                          <w:t>o</w:t>
                        </w:r>
                      </w:p>
                      <w:p w:rsidR="00BB7EDA" w:rsidRDefault="007D72B3">
                        <w:pPr>
                          <w:pStyle w:val="Bodytext20"/>
                          <w:shd w:val="clear" w:color="auto" w:fill="auto"/>
                          <w:spacing w:before="60" w:line="150" w:lineRule="exact"/>
                          <w:ind w:right="240"/>
                          <w:jc w:val="right"/>
                        </w:pPr>
                        <w:r>
                          <w:rPr>
                            <w:rStyle w:val="Bodytext275pt0"/>
                          </w:rPr>
                          <w:t>co</w:t>
                        </w:r>
                      </w:p>
                    </w:tc>
                  </w:tr>
                  <w:tr w:rsidR="00BB7EDA">
                    <w:tblPrEx>
                      <w:tblCellMar>
                        <w:top w:w="0" w:type="dxa"/>
                        <w:bottom w:w="0" w:type="dxa"/>
                      </w:tblCellMar>
                    </w:tblPrEx>
                    <w:trPr>
                      <w:trHeight w:hRule="exact" w:val="240"/>
                      <w:jc w:val="center"/>
                    </w:trPr>
                    <w:tc>
                      <w:tcPr>
                        <w:tcW w:w="634" w:type="dxa"/>
                        <w:tcBorders>
                          <w:left w:val="single" w:sz="4" w:space="0" w:color="auto"/>
                        </w:tcBorders>
                        <w:shd w:val="clear" w:color="auto" w:fill="FFFFFF"/>
                        <w:vAlign w:val="bottom"/>
                      </w:tcPr>
                      <w:p w:rsidR="00BB7EDA" w:rsidRDefault="007D72B3">
                        <w:pPr>
                          <w:pStyle w:val="Bodytext20"/>
                          <w:shd w:val="clear" w:color="auto" w:fill="auto"/>
                          <w:spacing w:before="0" w:line="190" w:lineRule="exact"/>
                          <w:ind w:left="260"/>
                          <w:jc w:val="left"/>
                        </w:pPr>
                        <w:r>
                          <w:rPr>
                            <w:rStyle w:val="Bodytext295ptBoldSpacing0pt"/>
                          </w:rPr>
                          <w:t>cs</w:t>
                        </w:r>
                      </w:p>
                      <w:p w:rsidR="00BB7EDA" w:rsidRDefault="007D72B3">
                        <w:pPr>
                          <w:pStyle w:val="Bodytext20"/>
                          <w:shd w:val="clear" w:color="auto" w:fill="auto"/>
                          <w:spacing w:before="0" w:line="150" w:lineRule="exact"/>
                          <w:ind w:right="220"/>
                          <w:jc w:val="right"/>
                        </w:pPr>
                        <w:r>
                          <w:rPr>
                            <w:rStyle w:val="Bodytext275pt0"/>
                          </w:rPr>
                          <w:t>F</w:t>
                        </w:r>
                      </w:p>
                    </w:tc>
                    <w:tc>
                      <w:tcPr>
                        <w:tcW w:w="1142"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rPr>
                          <w:t>Handlung</w:t>
                        </w:r>
                      </w:p>
                    </w:tc>
                    <w:tc>
                      <w:tcPr>
                        <w:tcW w:w="1301" w:type="dxa"/>
                        <w:vMerge/>
                        <w:shd w:val="clear" w:color="auto" w:fill="FFFFFF"/>
                        <w:vAlign w:val="bottom"/>
                      </w:tcPr>
                      <w:p w:rsidR="00BB7EDA" w:rsidRDefault="00BB7EDA"/>
                    </w:tc>
                    <w:tc>
                      <w:tcPr>
                        <w:tcW w:w="1075"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ind w:left="200"/>
                          <w:jc w:val="left"/>
                        </w:pPr>
                        <w:r>
                          <w:rPr>
                            <w:rStyle w:val="Bodytext2Arial75pt"/>
                          </w:rPr>
                          <w:t>Handlung</w:t>
                        </w:r>
                      </w:p>
                    </w:tc>
                    <w:tc>
                      <w:tcPr>
                        <w:tcW w:w="629" w:type="dxa"/>
                        <w:vMerge/>
                        <w:tcBorders>
                          <w:left w:val="single" w:sz="4" w:space="0" w:color="auto"/>
                          <w:right w:val="single" w:sz="4" w:space="0" w:color="auto"/>
                        </w:tcBorders>
                        <w:shd w:val="clear" w:color="auto" w:fill="FFFFFF"/>
                      </w:tcPr>
                      <w:p w:rsidR="00BB7EDA" w:rsidRDefault="00BB7EDA"/>
                    </w:tc>
                  </w:tr>
                  <w:tr w:rsidR="00BB7EDA">
                    <w:tblPrEx>
                      <w:tblCellMar>
                        <w:top w:w="0" w:type="dxa"/>
                        <w:bottom w:w="0" w:type="dxa"/>
                      </w:tblCellMar>
                    </w:tblPrEx>
                    <w:trPr>
                      <w:trHeight w:hRule="exact" w:val="182"/>
                      <w:jc w:val="center"/>
                    </w:trPr>
                    <w:tc>
                      <w:tcPr>
                        <w:tcW w:w="634" w:type="dxa"/>
                        <w:tcBorders>
                          <w:left w:val="single" w:sz="4" w:space="0" w:color="auto"/>
                        </w:tcBorders>
                        <w:shd w:val="clear" w:color="auto" w:fill="FFFFFF"/>
                      </w:tcPr>
                      <w:p w:rsidR="00BB7EDA" w:rsidRDefault="00BB7EDA">
                        <w:pPr>
                          <w:rPr>
                            <w:sz w:val="10"/>
                            <w:szCs w:val="10"/>
                          </w:rPr>
                        </w:pPr>
                      </w:p>
                    </w:tc>
                    <w:tc>
                      <w:tcPr>
                        <w:tcW w:w="1142" w:type="dxa"/>
                        <w:tcBorders>
                          <w:left w:val="single" w:sz="4" w:space="0" w:color="auto"/>
                        </w:tcBorders>
                        <w:shd w:val="clear" w:color="auto" w:fill="FFFFFF"/>
                      </w:tcPr>
                      <w:p w:rsidR="00BB7EDA" w:rsidRDefault="00BB7EDA">
                        <w:pPr>
                          <w:rPr>
                            <w:sz w:val="10"/>
                            <w:szCs w:val="10"/>
                          </w:rPr>
                        </w:pPr>
                      </w:p>
                    </w:tc>
                    <w:tc>
                      <w:tcPr>
                        <w:tcW w:w="1301" w:type="dxa"/>
                        <w:tcBorders>
                          <w:top w:val="single" w:sz="4" w:space="0" w:color="auto"/>
                        </w:tcBorders>
                        <w:shd w:val="clear" w:color="auto" w:fill="FFFFFF"/>
                      </w:tcPr>
                      <w:p w:rsidR="00BB7EDA" w:rsidRDefault="00BB7EDA">
                        <w:pPr>
                          <w:rPr>
                            <w:sz w:val="10"/>
                            <w:szCs w:val="10"/>
                          </w:rPr>
                        </w:pPr>
                      </w:p>
                    </w:tc>
                    <w:tc>
                      <w:tcPr>
                        <w:tcW w:w="1075" w:type="dxa"/>
                        <w:shd w:val="clear" w:color="auto" w:fill="FFFFFF"/>
                      </w:tcPr>
                      <w:p w:rsidR="00BB7EDA" w:rsidRDefault="00BB7EDA">
                        <w:pPr>
                          <w:rPr>
                            <w:sz w:val="10"/>
                            <w:szCs w:val="10"/>
                          </w:rPr>
                        </w:pPr>
                      </w:p>
                    </w:tc>
                    <w:tc>
                      <w:tcPr>
                        <w:tcW w:w="629" w:type="dxa"/>
                        <w:tcBorders>
                          <w:left w:val="single" w:sz="4" w:space="0" w:color="auto"/>
                          <w:right w:val="single" w:sz="4" w:space="0" w:color="auto"/>
                        </w:tcBorders>
                        <w:shd w:val="clear" w:color="auto" w:fill="FFFFFF"/>
                      </w:tcPr>
                      <w:p w:rsidR="00BB7EDA" w:rsidRDefault="007D72B3">
                        <w:pPr>
                          <w:pStyle w:val="Bodytext20"/>
                          <w:shd w:val="clear" w:color="auto" w:fill="auto"/>
                          <w:spacing w:before="0" w:line="150" w:lineRule="exact"/>
                          <w:ind w:right="240"/>
                          <w:jc w:val="right"/>
                        </w:pPr>
                        <w:r>
                          <w:rPr>
                            <w:rStyle w:val="Bodytext275pt0"/>
                          </w:rPr>
                          <w:t>O</w:t>
                        </w:r>
                      </w:p>
                    </w:tc>
                  </w:tr>
                  <w:tr w:rsidR="00BB7EDA">
                    <w:tblPrEx>
                      <w:tblCellMar>
                        <w:top w:w="0" w:type="dxa"/>
                        <w:bottom w:w="0" w:type="dxa"/>
                      </w:tblCellMar>
                    </w:tblPrEx>
                    <w:trPr>
                      <w:trHeight w:hRule="exact" w:val="240"/>
                      <w:jc w:val="center"/>
                    </w:trPr>
                    <w:tc>
                      <w:tcPr>
                        <w:tcW w:w="634" w:type="dxa"/>
                        <w:tcBorders>
                          <w:left w:val="single" w:sz="4" w:space="0" w:color="auto"/>
                        </w:tcBorders>
                        <w:shd w:val="clear" w:color="auto" w:fill="FFFFFF"/>
                        <w:vAlign w:val="bottom"/>
                      </w:tcPr>
                      <w:p w:rsidR="00BB7EDA" w:rsidRDefault="007D72B3">
                        <w:pPr>
                          <w:pStyle w:val="Bodytext20"/>
                          <w:shd w:val="clear" w:color="auto" w:fill="auto"/>
                          <w:spacing w:before="0" w:line="180" w:lineRule="exact"/>
                          <w:ind w:left="260"/>
                          <w:jc w:val="left"/>
                        </w:pPr>
                        <w:r>
                          <w:rPr>
                            <w:rStyle w:val="Bodytext2ArialSpacing0pt"/>
                            <w:b w:val="0"/>
                            <w:bCs w:val="0"/>
                          </w:rPr>
                          <w:t>c</w:t>
                        </w:r>
                      </w:p>
                    </w:tc>
                    <w:tc>
                      <w:tcPr>
                        <w:tcW w:w="1142" w:type="dxa"/>
                        <w:tcBorders>
                          <w:left w:val="single" w:sz="4" w:space="0" w:color="auto"/>
                        </w:tcBorders>
                        <w:shd w:val="clear" w:color="auto" w:fill="FFFFFF"/>
                      </w:tcPr>
                      <w:p w:rsidR="00BB7EDA" w:rsidRDefault="007D72B3">
                        <w:pPr>
                          <w:pStyle w:val="Bodytext20"/>
                          <w:shd w:val="clear" w:color="auto" w:fill="auto"/>
                          <w:spacing w:before="0" w:line="150" w:lineRule="exact"/>
                          <w:jc w:val="left"/>
                        </w:pPr>
                        <w:r>
                          <w:rPr>
                            <w:rStyle w:val="Bodytext2Arial75pt"/>
                          </w:rPr>
                          <w:t>mitgeteilte</w:t>
                        </w:r>
                      </w:p>
                    </w:tc>
                    <w:tc>
                      <w:tcPr>
                        <w:tcW w:w="1301" w:type="dxa"/>
                        <w:vMerge w:val="restart"/>
                        <w:tcBorders>
                          <w:top w:val="single" w:sz="4" w:space="0" w:color="auto"/>
                        </w:tcBorders>
                        <w:shd w:val="clear" w:color="auto" w:fill="FFFFFF"/>
                      </w:tcPr>
                      <w:p w:rsidR="00BB7EDA" w:rsidRDefault="007D72B3">
                        <w:pPr>
                          <w:pStyle w:val="Bodytext20"/>
                          <w:shd w:val="clear" w:color="auto" w:fill="auto"/>
                          <w:spacing w:before="0" w:line="150" w:lineRule="exact"/>
                          <w:ind w:left="200"/>
                          <w:jc w:val="left"/>
                        </w:pPr>
                        <w:r>
                          <w:rPr>
                            <w:rStyle w:val="Bodytext275pt0"/>
                          </w:rPr>
                          <w:t>Semantik</w:t>
                        </w:r>
                      </w:p>
                    </w:tc>
                    <w:tc>
                      <w:tcPr>
                        <w:tcW w:w="1075" w:type="dxa"/>
                        <w:tcBorders>
                          <w:left w:val="single" w:sz="4" w:space="0" w:color="auto"/>
                        </w:tcBorders>
                        <w:shd w:val="clear" w:color="auto" w:fill="FFFFFF"/>
                      </w:tcPr>
                      <w:p w:rsidR="00BB7EDA" w:rsidRDefault="007D72B3">
                        <w:pPr>
                          <w:pStyle w:val="Bodytext20"/>
                          <w:shd w:val="clear" w:color="auto" w:fill="auto"/>
                          <w:spacing w:before="0" w:line="150" w:lineRule="exact"/>
                          <w:ind w:left="200"/>
                          <w:jc w:val="left"/>
                        </w:pPr>
                        <w:r>
                          <w:rPr>
                            <w:rStyle w:val="Bodytext2Arial75pt"/>
                          </w:rPr>
                          <w:t>verstandene</w:t>
                        </w:r>
                      </w:p>
                    </w:tc>
                    <w:tc>
                      <w:tcPr>
                        <w:tcW w:w="629" w:type="dxa"/>
                        <w:tcBorders>
                          <w:left w:val="single" w:sz="4" w:space="0" w:color="auto"/>
                          <w:right w:val="single" w:sz="4" w:space="0" w:color="auto"/>
                        </w:tcBorders>
                        <w:shd w:val="clear" w:color="auto" w:fill="FFFFFF"/>
                      </w:tcPr>
                      <w:p w:rsidR="00BB7EDA" w:rsidRDefault="007D72B3">
                        <w:pPr>
                          <w:pStyle w:val="Bodytext20"/>
                          <w:shd w:val="clear" w:color="auto" w:fill="auto"/>
                          <w:spacing w:before="0" w:line="180" w:lineRule="exact"/>
                          <w:ind w:right="240"/>
                          <w:jc w:val="right"/>
                        </w:pPr>
                        <w:r>
                          <w:rPr>
                            <w:rStyle w:val="Bodytext2ArialSpacing0pt"/>
                            <w:b w:val="0"/>
                            <w:bCs w:val="0"/>
                          </w:rPr>
                          <w:t>c</w:t>
                        </w:r>
                      </w:p>
                    </w:tc>
                  </w:tr>
                  <w:tr w:rsidR="00BB7EDA">
                    <w:tblPrEx>
                      <w:tblCellMar>
                        <w:top w:w="0" w:type="dxa"/>
                        <w:bottom w:w="0" w:type="dxa"/>
                      </w:tblCellMar>
                    </w:tblPrEx>
                    <w:trPr>
                      <w:trHeight w:hRule="exact" w:val="216"/>
                      <w:jc w:val="center"/>
                    </w:trPr>
                    <w:tc>
                      <w:tcPr>
                        <w:tcW w:w="634" w:type="dxa"/>
                        <w:vMerge w:val="restart"/>
                        <w:tcBorders>
                          <w:left w:val="single" w:sz="4" w:space="0" w:color="auto"/>
                        </w:tcBorders>
                        <w:shd w:val="clear" w:color="auto" w:fill="FFFFFF"/>
                        <w:vAlign w:val="bottom"/>
                      </w:tcPr>
                      <w:p w:rsidR="00BB7EDA" w:rsidRDefault="007D72B3">
                        <w:pPr>
                          <w:pStyle w:val="Bodytext20"/>
                          <w:shd w:val="clear" w:color="auto" w:fill="auto"/>
                          <w:spacing w:before="0" w:line="150" w:lineRule="exact"/>
                          <w:ind w:left="260"/>
                          <w:jc w:val="left"/>
                        </w:pPr>
                        <w:r>
                          <w:rPr>
                            <w:rStyle w:val="Bodytext275pt0"/>
                          </w:rPr>
                          <w:t>O)</w:t>
                        </w:r>
                      </w:p>
                      <w:p w:rsidR="00BB7EDA" w:rsidRDefault="007D72B3">
                        <w:pPr>
                          <w:pStyle w:val="Bodytext20"/>
                          <w:shd w:val="clear" w:color="auto" w:fill="auto"/>
                          <w:spacing w:before="0" w:line="150" w:lineRule="exact"/>
                          <w:ind w:left="260"/>
                          <w:jc w:val="left"/>
                        </w:pPr>
                        <w:r>
                          <w:rPr>
                            <w:rStyle w:val="Bodytext275pt0"/>
                          </w:rPr>
                          <w:t>o</w:t>
                        </w:r>
                      </w:p>
                    </w:tc>
                    <w:tc>
                      <w:tcPr>
                        <w:tcW w:w="1142"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rPr>
                          <w:t>Gedanken</w:t>
                        </w:r>
                      </w:p>
                    </w:tc>
                    <w:tc>
                      <w:tcPr>
                        <w:tcW w:w="1301" w:type="dxa"/>
                        <w:vMerge/>
                        <w:shd w:val="clear" w:color="auto" w:fill="FFFFFF"/>
                      </w:tcPr>
                      <w:p w:rsidR="00BB7EDA" w:rsidRDefault="00BB7EDA"/>
                    </w:tc>
                    <w:tc>
                      <w:tcPr>
                        <w:tcW w:w="1075" w:type="dxa"/>
                        <w:vMerge w:val="restart"/>
                        <w:tcBorders>
                          <w:top w:val="single" w:sz="4" w:space="0" w:color="auto"/>
                        </w:tcBorders>
                        <w:shd w:val="clear" w:color="auto" w:fill="FFFFFF"/>
                      </w:tcPr>
                      <w:p w:rsidR="00BB7EDA" w:rsidRDefault="007D72B3">
                        <w:pPr>
                          <w:pStyle w:val="Bodytext20"/>
                          <w:shd w:val="clear" w:color="auto" w:fill="auto"/>
                          <w:spacing w:before="0" w:line="150" w:lineRule="exact"/>
                          <w:ind w:left="200"/>
                          <w:jc w:val="left"/>
                        </w:pPr>
                        <w:r>
                          <w:rPr>
                            <w:rStyle w:val="Bodytext2Arial75pt"/>
                          </w:rPr>
                          <w:t>Bedeutung</w:t>
                        </w:r>
                      </w:p>
                    </w:tc>
                    <w:tc>
                      <w:tcPr>
                        <w:tcW w:w="629" w:type="dxa"/>
                        <w:vMerge w:val="restart"/>
                        <w:tcBorders>
                          <w:left w:val="single" w:sz="4" w:space="0" w:color="auto"/>
                          <w:right w:val="single" w:sz="4" w:space="0" w:color="auto"/>
                        </w:tcBorders>
                        <w:shd w:val="clear" w:color="auto" w:fill="FFFFFF"/>
                        <w:vAlign w:val="bottom"/>
                      </w:tcPr>
                      <w:p w:rsidR="00BB7EDA" w:rsidRDefault="007D72B3">
                        <w:pPr>
                          <w:pStyle w:val="Bodytext20"/>
                          <w:shd w:val="clear" w:color="auto" w:fill="auto"/>
                          <w:spacing w:before="0" w:line="120" w:lineRule="exact"/>
                          <w:ind w:right="240"/>
                          <w:jc w:val="right"/>
                        </w:pPr>
                        <w:r>
                          <w:rPr>
                            <w:rStyle w:val="Bodytext275pt0"/>
                          </w:rPr>
                          <w:t>©</w:t>
                        </w:r>
                      </w:p>
                      <w:p w:rsidR="00BB7EDA" w:rsidRDefault="007D72B3">
                        <w:pPr>
                          <w:pStyle w:val="Bodytext20"/>
                          <w:shd w:val="clear" w:color="auto" w:fill="auto"/>
                          <w:spacing w:before="0" w:line="120" w:lineRule="exact"/>
                          <w:ind w:right="240"/>
                          <w:jc w:val="right"/>
                        </w:pPr>
                        <w:r>
                          <w:rPr>
                            <w:rStyle w:val="Bodytext2ArialSpacing0pt"/>
                            <w:b w:val="0"/>
                            <w:bCs w:val="0"/>
                          </w:rPr>
                          <w:t>c</w:t>
                        </w:r>
                      </w:p>
                      <w:p w:rsidR="00BB7EDA" w:rsidRDefault="007D72B3">
                        <w:pPr>
                          <w:pStyle w:val="Bodytext20"/>
                          <w:shd w:val="clear" w:color="auto" w:fill="auto"/>
                          <w:spacing w:before="0" w:line="120" w:lineRule="exact"/>
                          <w:ind w:right="240"/>
                          <w:jc w:val="right"/>
                        </w:pPr>
                        <w:r>
                          <w:rPr>
                            <w:rStyle w:val="Bodytext275pt0"/>
                          </w:rPr>
                          <w:t>©</w:t>
                        </w:r>
                      </w:p>
                    </w:tc>
                  </w:tr>
                  <w:tr w:rsidR="00BB7EDA">
                    <w:tblPrEx>
                      <w:tblCellMar>
                        <w:top w:w="0" w:type="dxa"/>
                        <w:bottom w:w="0" w:type="dxa"/>
                      </w:tblCellMar>
                    </w:tblPrEx>
                    <w:trPr>
                      <w:trHeight w:hRule="exact" w:val="197"/>
                      <w:jc w:val="center"/>
                    </w:trPr>
                    <w:tc>
                      <w:tcPr>
                        <w:tcW w:w="634" w:type="dxa"/>
                        <w:vMerge/>
                        <w:tcBorders>
                          <w:left w:val="single" w:sz="4" w:space="0" w:color="auto"/>
                        </w:tcBorders>
                        <w:shd w:val="clear" w:color="auto" w:fill="FFFFFF"/>
                        <w:vAlign w:val="bottom"/>
                      </w:tcPr>
                      <w:p w:rsidR="00BB7EDA" w:rsidRDefault="00BB7EDA"/>
                    </w:tc>
                    <w:tc>
                      <w:tcPr>
                        <w:tcW w:w="1142" w:type="dxa"/>
                        <w:tcBorders>
                          <w:left w:val="single" w:sz="4" w:space="0" w:color="auto"/>
                        </w:tcBorders>
                        <w:shd w:val="clear" w:color="auto" w:fill="FFFFFF"/>
                      </w:tcPr>
                      <w:p w:rsidR="00BB7EDA" w:rsidRDefault="00BB7EDA">
                        <w:pPr>
                          <w:rPr>
                            <w:sz w:val="10"/>
                            <w:szCs w:val="10"/>
                          </w:rPr>
                        </w:pPr>
                      </w:p>
                    </w:tc>
                    <w:tc>
                      <w:tcPr>
                        <w:tcW w:w="1301" w:type="dxa"/>
                        <w:tcBorders>
                          <w:top w:val="single" w:sz="4" w:space="0" w:color="auto"/>
                        </w:tcBorders>
                        <w:shd w:val="clear" w:color="auto" w:fill="FFFFFF"/>
                      </w:tcPr>
                      <w:p w:rsidR="00BB7EDA" w:rsidRDefault="00BB7EDA">
                        <w:pPr>
                          <w:rPr>
                            <w:sz w:val="10"/>
                            <w:szCs w:val="10"/>
                          </w:rPr>
                        </w:pPr>
                      </w:p>
                    </w:tc>
                    <w:tc>
                      <w:tcPr>
                        <w:tcW w:w="1075" w:type="dxa"/>
                        <w:vMerge/>
                        <w:shd w:val="clear" w:color="auto" w:fill="FFFFFF"/>
                      </w:tcPr>
                      <w:p w:rsidR="00BB7EDA" w:rsidRDefault="00BB7EDA"/>
                    </w:tc>
                    <w:tc>
                      <w:tcPr>
                        <w:tcW w:w="629" w:type="dxa"/>
                        <w:vMerge/>
                        <w:tcBorders>
                          <w:left w:val="single" w:sz="4" w:space="0" w:color="auto"/>
                          <w:right w:val="single" w:sz="4" w:space="0" w:color="auto"/>
                        </w:tcBorders>
                        <w:shd w:val="clear" w:color="auto" w:fill="FFFFFF"/>
                        <w:vAlign w:val="bottom"/>
                      </w:tcPr>
                      <w:p w:rsidR="00BB7EDA" w:rsidRDefault="00BB7EDA"/>
                    </w:tc>
                  </w:tr>
                  <w:tr w:rsidR="00BB7EDA">
                    <w:tblPrEx>
                      <w:tblCellMar>
                        <w:top w:w="0" w:type="dxa"/>
                        <w:bottom w:w="0" w:type="dxa"/>
                      </w:tblCellMar>
                    </w:tblPrEx>
                    <w:trPr>
                      <w:trHeight w:hRule="exact" w:val="221"/>
                      <w:jc w:val="center"/>
                    </w:trPr>
                    <w:tc>
                      <w:tcPr>
                        <w:tcW w:w="634" w:type="dxa"/>
                        <w:tcBorders>
                          <w:left w:val="single" w:sz="4" w:space="0" w:color="auto"/>
                        </w:tcBorders>
                        <w:shd w:val="clear" w:color="auto" w:fill="FFFFFF"/>
                      </w:tcPr>
                      <w:p w:rsidR="00BB7EDA" w:rsidRDefault="007D72B3">
                        <w:pPr>
                          <w:pStyle w:val="Bodytext20"/>
                          <w:shd w:val="clear" w:color="auto" w:fill="auto"/>
                          <w:spacing w:before="0" w:line="150" w:lineRule="exact"/>
                          <w:ind w:left="260"/>
                          <w:jc w:val="left"/>
                        </w:pPr>
                        <w:r>
                          <w:rPr>
                            <w:rStyle w:val="Bodytext275pt0"/>
                          </w:rPr>
                          <w:t>■a</w:t>
                        </w:r>
                      </w:p>
                    </w:tc>
                    <w:tc>
                      <w:tcPr>
                        <w:tcW w:w="1142" w:type="dxa"/>
                        <w:tcBorders>
                          <w:left w:val="single" w:sz="4" w:space="0" w:color="auto"/>
                        </w:tcBorders>
                        <w:shd w:val="clear" w:color="auto" w:fill="FFFFFF"/>
                      </w:tcPr>
                      <w:p w:rsidR="00BB7EDA" w:rsidRDefault="007D72B3">
                        <w:pPr>
                          <w:pStyle w:val="Bodytext20"/>
                          <w:shd w:val="clear" w:color="auto" w:fill="auto"/>
                          <w:spacing w:before="0" w:line="150" w:lineRule="exact"/>
                          <w:jc w:val="left"/>
                        </w:pPr>
                        <w:r>
                          <w:rPr>
                            <w:rStyle w:val="Bodytext2Arial75pt"/>
                          </w:rPr>
                          <w:t>verwendeter</w:t>
                        </w:r>
                      </w:p>
                    </w:tc>
                    <w:tc>
                      <w:tcPr>
                        <w:tcW w:w="1301" w:type="dxa"/>
                        <w:vMerge w:val="restart"/>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ind w:left="320"/>
                          <w:jc w:val="left"/>
                        </w:pPr>
                        <w:r>
                          <w:rPr>
                            <w:rStyle w:val="Bodytext275pt0"/>
                          </w:rPr>
                          <w:t>Syntax</w:t>
                        </w:r>
                      </w:p>
                    </w:tc>
                    <w:tc>
                      <w:tcPr>
                        <w:tcW w:w="1075" w:type="dxa"/>
                        <w:tcBorders>
                          <w:left w:val="single" w:sz="4" w:space="0" w:color="auto"/>
                        </w:tcBorders>
                        <w:shd w:val="clear" w:color="auto" w:fill="FFFFFF"/>
                      </w:tcPr>
                      <w:p w:rsidR="00BB7EDA" w:rsidRDefault="007D72B3">
                        <w:pPr>
                          <w:pStyle w:val="Bodytext20"/>
                          <w:shd w:val="clear" w:color="auto" w:fill="auto"/>
                          <w:spacing w:before="0" w:line="150" w:lineRule="exact"/>
                          <w:jc w:val="left"/>
                        </w:pPr>
                        <w:r>
                          <w:rPr>
                            <w:rStyle w:val="Bodytext2Arial75pt"/>
                          </w:rPr>
                          <w:t>_ verstandener</w:t>
                        </w:r>
                      </w:p>
                    </w:tc>
                    <w:tc>
                      <w:tcPr>
                        <w:tcW w:w="629" w:type="dxa"/>
                        <w:tcBorders>
                          <w:left w:val="single" w:sz="4" w:space="0" w:color="auto"/>
                          <w:right w:val="single" w:sz="4" w:space="0" w:color="auto"/>
                        </w:tcBorders>
                        <w:shd w:val="clear" w:color="auto" w:fill="FFFFFF"/>
                      </w:tcPr>
                      <w:p w:rsidR="00BB7EDA" w:rsidRDefault="007D72B3">
                        <w:pPr>
                          <w:pStyle w:val="Bodytext20"/>
                          <w:shd w:val="clear" w:color="auto" w:fill="auto"/>
                          <w:spacing w:before="0" w:line="150" w:lineRule="exact"/>
                          <w:ind w:right="240"/>
                          <w:jc w:val="right"/>
                        </w:pPr>
                        <w:r>
                          <w:rPr>
                            <w:rStyle w:val="Bodytext275ptSpacing0pt"/>
                          </w:rPr>
                          <w:t>05</w:t>
                        </w:r>
                      </w:p>
                    </w:tc>
                  </w:tr>
                  <w:tr w:rsidR="00BB7EDA">
                    <w:tblPrEx>
                      <w:tblCellMar>
                        <w:top w:w="0" w:type="dxa"/>
                        <w:bottom w:w="0" w:type="dxa"/>
                      </w:tblCellMar>
                    </w:tblPrEx>
                    <w:trPr>
                      <w:trHeight w:hRule="exact" w:val="226"/>
                      <w:jc w:val="center"/>
                    </w:trPr>
                    <w:tc>
                      <w:tcPr>
                        <w:tcW w:w="634" w:type="dxa"/>
                        <w:vMerge w:val="restart"/>
                        <w:tcBorders>
                          <w:left w:val="single" w:sz="4" w:space="0" w:color="auto"/>
                        </w:tcBorders>
                        <w:shd w:val="clear" w:color="auto" w:fill="FFFFFF"/>
                        <w:vAlign w:val="bottom"/>
                      </w:tcPr>
                      <w:p w:rsidR="00BB7EDA" w:rsidRDefault="007D72B3">
                        <w:pPr>
                          <w:pStyle w:val="Bodytext20"/>
                          <w:shd w:val="clear" w:color="auto" w:fill="auto"/>
                          <w:spacing w:before="0" w:line="115" w:lineRule="exact"/>
                          <w:ind w:left="260"/>
                          <w:jc w:val="left"/>
                        </w:pPr>
                        <w:r>
                          <w:rPr>
                            <w:rStyle w:val="Bodytext275pt0"/>
                          </w:rPr>
                          <w:t>a&gt;</w:t>
                        </w:r>
                      </w:p>
                      <w:p w:rsidR="00BB7EDA" w:rsidRDefault="007D72B3">
                        <w:pPr>
                          <w:pStyle w:val="Bodytext20"/>
                          <w:shd w:val="clear" w:color="auto" w:fill="auto"/>
                          <w:spacing w:before="0" w:line="115" w:lineRule="exact"/>
                          <w:ind w:left="260"/>
                          <w:jc w:val="left"/>
                        </w:pPr>
                        <w:r>
                          <w:rPr>
                            <w:rStyle w:val="Bodytext275pt0"/>
                          </w:rPr>
                          <w:t>&lt;/&gt;</w:t>
                        </w:r>
                      </w:p>
                      <w:p w:rsidR="00BB7EDA" w:rsidRDefault="007D72B3">
                        <w:pPr>
                          <w:pStyle w:val="Bodytext20"/>
                          <w:shd w:val="clear" w:color="auto" w:fill="auto"/>
                          <w:spacing w:before="0" w:line="115" w:lineRule="exact"/>
                          <w:ind w:left="260"/>
                          <w:jc w:val="left"/>
                        </w:pPr>
                        <w:r>
                          <w:rPr>
                            <w:rStyle w:val="Bodytext275pt0"/>
                          </w:rPr>
                          <w:t>Ü&gt;</w:t>
                        </w:r>
                      </w:p>
                    </w:tc>
                    <w:tc>
                      <w:tcPr>
                        <w:tcW w:w="1142"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rPr>
                          <w:t>Code</w:t>
                        </w:r>
                      </w:p>
                    </w:tc>
                    <w:tc>
                      <w:tcPr>
                        <w:tcW w:w="1301" w:type="dxa"/>
                        <w:vMerge/>
                        <w:tcBorders>
                          <w:left w:val="single" w:sz="4" w:space="0" w:color="auto"/>
                        </w:tcBorders>
                        <w:shd w:val="clear" w:color="auto" w:fill="FFFFFF"/>
                        <w:vAlign w:val="bottom"/>
                      </w:tcPr>
                      <w:p w:rsidR="00BB7EDA" w:rsidRDefault="00BB7EDA"/>
                    </w:tc>
                    <w:tc>
                      <w:tcPr>
                        <w:tcW w:w="1075"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ind w:left="200"/>
                          <w:jc w:val="left"/>
                        </w:pPr>
                        <w:r>
                          <w:rPr>
                            <w:rStyle w:val="Bodytext275pt0"/>
                          </w:rPr>
                          <w:t>Gode</w:t>
                        </w:r>
                      </w:p>
                    </w:tc>
                    <w:tc>
                      <w:tcPr>
                        <w:tcW w:w="629" w:type="dxa"/>
                        <w:tcBorders>
                          <w:left w:val="single" w:sz="4" w:space="0" w:color="auto"/>
                          <w:right w:val="single" w:sz="4" w:space="0" w:color="auto"/>
                        </w:tcBorders>
                        <w:shd w:val="clear" w:color="auto" w:fill="FFFFFF"/>
                      </w:tcPr>
                      <w:p w:rsidR="00BB7EDA" w:rsidRDefault="007D72B3">
                        <w:pPr>
                          <w:pStyle w:val="Bodytext20"/>
                          <w:shd w:val="clear" w:color="auto" w:fill="auto"/>
                          <w:spacing w:before="0" w:line="150" w:lineRule="exact"/>
                          <w:ind w:right="240"/>
                          <w:jc w:val="right"/>
                        </w:pPr>
                        <w:r>
                          <w:rPr>
                            <w:rStyle w:val="Bodytext275pt0"/>
                          </w:rPr>
                          <w:t>©</w:t>
                        </w:r>
                      </w:p>
                    </w:tc>
                  </w:tr>
                  <w:tr w:rsidR="00BB7EDA">
                    <w:tblPrEx>
                      <w:tblCellMar>
                        <w:top w:w="0" w:type="dxa"/>
                        <w:bottom w:w="0" w:type="dxa"/>
                      </w:tblCellMar>
                    </w:tblPrEx>
                    <w:trPr>
                      <w:trHeight w:hRule="exact" w:val="192"/>
                      <w:jc w:val="center"/>
                    </w:trPr>
                    <w:tc>
                      <w:tcPr>
                        <w:tcW w:w="634" w:type="dxa"/>
                        <w:vMerge/>
                        <w:tcBorders>
                          <w:left w:val="single" w:sz="4" w:space="0" w:color="auto"/>
                        </w:tcBorders>
                        <w:shd w:val="clear" w:color="auto" w:fill="FFFFFF"/>
                        <w:vAlign w:val="bottom"/>
                      </w:tcPr>
                      <w:p w:rsidR="00BB7EDA" w:rsidRDefault="00BB7EDA"/>
                    </w:tc>
                    <w:tc>
                      <w:tcPr>
                        <w:tcW w:w="1142" w:type="dxa"/>
                        <w:tcBorders>
                          <w:left w:val="single" w:sz="4" w:space="0" w:color="auto"/>
                        </w:tcBorders>
                        <w:shd w:val="clear" w:color="auto" w:fill="FFFFFF"/>
                      </w:tcPr>
                      <w:p w:rsidR="00BB7EDA" w:rsidRDefault="00BB7EDA">
                        <w:pPr>
                          <w:rPr>
                            <w:sz w:val="10"/>
                            <w:szCs w:val="10"/>
                          </w:rPr>
                        </w:pPr>
                      </w:p>
                    </w:tc>
                    <w:tc>
                      <w:tcPr>
                        <w:tcW w:w="1301" w:type="dxa"/>
                        <w:tcBorders>
                          <w:top w:val="single" w:sz="4" w:space="0" w:color="auto"/>
                        </w:tcBorders>
                        <w:shd w:val="clear" w:color="auto" w:fill="FFFFFF"/>
                      </w:tcPr>
                      <w:p w:rsidR="00BB7EDA" w:rsidRDefault="00BB7EDA">
                        <w:pPr>
                          <w:rPr>
                            <w:sz w:val="10"/>
                            <w:szCs w:val="10"/>
                          </w:rPr>
                        </w:pPr>
                      </w:p>
                    </w:tc>
                    <w:tc>
                      <w:tcPr>
                        <w:tcW w:w="1075" w:type="dxa"/>
                        <w:shd w:val="clear" w:color="auto" w:fill="FFFFFF"/>
                      </w:tcPr>
                      <w:p w:rsidR="00BB7EDA" w:rsidRDefault="00BB7EDA">
                        <w:pPr>
                          <w:rPr>
                            <w:sz w:val="10"/>
                            <w:szCs w:val="10"/>
                          </w:rPr>
                        </w:pPr>
                      </w:p>
                    </w:tc>
                    <w:tc>
                      <w:tcPr>
                        <w:tcW w:w="629" w:type="dxa"/>
                        <w:tcBorders>
                          <w:left w:val="single" w:sz="4" w:space="0" w:color="auto"/>
                          <w:right w:val="single" w:sz="4" w:space="0" w:color="auto"/>
                        </w:tcBorders>
                        <w:shd w:val="clear" w:color="auto" w:fill="FFFFFF"/>
                        <w:vAlign w:val="bottom"/>
                      </w:tcPr>
                      <w:p w:rsidR="00BB7EDA" w:rsidRDefault="007D72B3">
                        <w:pPr>
                          <w:pStyle w:val="Bodytext20"/>
                          <w:shd w:val="clear" w:color="auto" w:fill="auto"/>
                          <w:spacing w:before="0" w:line="150" w:lineRule="exact"/>
                          <w:ind w:right="240"/>
                          <w:jc w:val="right"/>
                        </w:pPr>
                        <w:r>
                          <w:rPr>
                            <w:rStyle w:val="Bodytext275ptSmallCaps"/>
                          </w:rPr>
                          <w:t>■ ■ Cl</w:t>
                        </w:r>
                      </w:p>
                      <w:p w:rsidR="00BB7EDA" w:rsidRDefault="007D72B3">
                        <w:pPr>
                          <w:pStyle w:val="Bodytext20"/>
                          <w:shd w:val="clear" w:color="auto" w:fill="auto"/>
                          <w:spacing w:before="0" w:line="150" w:lineRule="exact"/>
                          <w:ind w:right="240"/>
                          <w:jc w:val="right"/>
                        </w:pPr>
                        <w:r>
                          <w:rPr>
                            <w:rStyle w:val="Bodytext275pt0"/>
                          </w:rPr>
                          <w:t>E</w:t>
                        </w:r>
                      </w:p>
                    </w:tc>
                  </w:tr>
                  <w:tr w:rsidR="00BB7EDA">
                    <w:tblPrEx>
                      <w:tblCellMar>
                        <w:top w:w="0" w:type="dxa"/>
                        <w:bottom w:w="0" w:type="dxa"/>
                      </w:tblCellMar>
                    </w:tblPrEx>
                    <w:trPr>
                      <w:trHeight w:hRule="exact" w:val="221"/>
                      <w:jc w:val="center"/>
                    </w:trPr>
                    <w:tc>
                      <w:tcPr>
                        <w:tcW w:w="634" w:type="dxa"/>
                        <w:tcBorders>
                          <w:left w:val="single" w:sz="4" w:space="0" w:color="auto"/>
                        </w:tcBorders>
                        <w:shd w:val="clear" w:color="auto" w:fill="FFFFFF"/>
                        <w:vAlign w:val="bottom"/>
                      </w:tcPr>
                      <w:p w:rsidR="00BB7EDA" w:rsidRDefault="007D72B3">
                        <w:pPr>
                          <w:pStyle w:val="Bodytext20"/>
                          <w:shd w:val="clear" w:color="auto" w:fill="auto"/>
                          <w:spacing w:before="0" w:line="180" w:lineRule="exact"/>
                          <w:ind w:left="260"/>
                          <w:jc w:val="left"/>
                        </w:pPr>
                        <w:r>
                          <w:rPr>
                            <w:rStyle w:val="Bodytext2ArialSpacing0pt"/>
                            <w:b w:val="0"/>
                            <w:bCs w:val="0"/>
                          </w:rPr>
                          <w:t>CD</w:t>
                        </w:r>
                      </w:p>
                    </w:tc>
                    <w:tc>
                      <w:tcPr>
                        <w:tcW w:w="1142" w:type="dxa"/>
                        <w:tcBorders>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rPr>
                          <w:t>übertragene^</w:t>
                        </w:r>
                      </w:p>
                    </w:tc>
                    <w:tc>
                      <w:tcPr>
                        <w:tcW w:w="1301" w:type="dxa"/>
                        <w:vMerge w:val="restart"/>
                        <w:tcBorders>
                          <w:top w:val="single" w:sz="4" w:space="0" w:color="auto"/>
                        </w:tcBorders>
                        <w:shd w:val="clear" w:color="auto" w:fill="FFFFFF"/>
                      </w:tcPr>
                      <w:p w:rsidR="00BB7EDA" w:rsidRDefault="007D72B3">
                        <w:pPr>
                          <w:pStyle w:val="Bodytext20"/>
                          <w:shd w:val="clear" w:color="auto" w:fill="auto"/>
                          <w:spacing w:before="0" w:line="150" w:lineRule="exact"/>
                          <w:ind w:left="200"/>
                          <w:jc w:val="left"/>
                        </w:pPr>
                        <w:r>
                          <w:rPr>
                            <w:rStyle w:val="Bodytext275pt0"/>
                          </w:rPr>
                          <w:t>Statistik</w:t>
                        </w:r>
                      </w:p>
                    </w:tc>
                    <w:tc>
                      <w:tcPr>
                        <w:tcW w:w="1075" w:type="dxa"/>
                        <w:tcBorders>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vertAlign w:val="subscript"/>
                          </w:rPr>
                          <w:t>w</w:t>
                        </w:r>
                        <w:r>
                          <w:rPr>
                            <w:rStyle w:val="Bodytext2Arial75pt"/>
                          </w:rPr>
                          <w:t xml:space="preserve"> empfangene«</w:t>
                        </w:r>
                      </w:p>
                    </w:tc>
                    <w:tc>
                      <w:tcPr>
                        <w:tcW w:w="629" w:type="dxa"/>
                        <w:tcBorders>
                          <w:left w:val="single" w:sz="4" w:space="0" w:color="auto"/>
                          <w:right w:val="single" w:sz="4" w:space="0" w:color="auto"/>
                        </w:tcBorders>
                        <w:shd w:val="clear" w:color="auto" w:fill="FFFFFF"/>
                        <w:vAlign w:val="bottom"/>
                      </w:tcPr>
                      <w:p w:rsidR="00BB7EDA" w:rsidRDefault="007D72B3">
                        <w:pPr>
                          <w:pStyle w:val="Bodytext20"/>
                          <w:shd w:val="clear" w:color="auto" w:fill="auto"/>
                          <w:spacing w:before="0" w:line="150" w:lineRule="exact"/>
                          <w:ind w:right="240"/>
                          <w:jc w:val="right"/>
                        </w:pPr>
                        <w:r>
                          <w:rPr>
                            <w:rStyle w:val="Bodytext275pt0"/>
                          </w:rPr>
                          <w:t>ÜJ</w:t>
                        </w:r>
                      </w:p>
                    </w:tc>
                  </w:tr>
                  <w:tr w:rsidR="00BB7EDA">
                    <w:tblPrEx>
                      <w:tblCellMar>
                        <w:top w:w="0" w:type="dxa"/>
                        <w:bottom w:w="0" w:type="dxa"/>
                      </w:tblCellMar>
                    </w:tblPrEx>
                    <w:trPr>
                      <w:trHeight w:hRule="exact" w:val="245"/>
                      <w:jc w:val="center"/>
                    </w:trPr>
                    <w:tc>
                      <w:tcPr>
                        <w:tcW w:w="634" w:type="dxa"/>
                        <w:tcBorders>
                          <w:left w:val="single" w:sz="4" w:space="0" w:color="auto"/>
                          <w:bottom w:val="single" w:sz="4" w:space="0" w:color="auto"/>
                        </w:tcBorders>
                        <w:shd w:val="clear" w:color="auto" w:fill="FFFFFF"/>
                      </w:tcPr>
                      <w:p w:rsidR="00BB7EDA" w:rsidRDefault="00BB7EDA">
                        <w:pPr>
                          <w:rPr>
                            <w:sz w:val="10"/>
                            <w:szCs w:val="10"/>
                          </w:rPr>
                        </w:pPr>
                      </w:p>
                    </w:tc>
                    <w:tc>
                      <w:tcPr>
                        <w:tcW w:w="1142"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jc w:val="left"/>
                        </w:pPr>
                        <w:r>
                          <w:rPr>
                            <w:rStyle w:val="Bodytext2Arial75pt"/>
                          </w:rPr>
                          <w:t>Signal</w:t>
                        </w:r>
                      </w:p>
                    </w:tc>
                    <w:tc>
                      <w:tcPr>
                        <w:tcW w:w="1301" w:type="dxa"/>
                        <w:vMerge/>
                        <w:tcBorders>
                          <w:bottom w:val="single" w:sz="4" w:space="0" w:color="auto"/>
                        </w:tcBorders>
                        <w:shd w:val="clear" w:color="auto" w:fill="FFFFFF"/>
                      </w:tcPr>
                      <w:p w:rsidR="00BB7EDA" w:rsidRDefault="00BB7EDA"/>
                    </w:tc>
                    <w:tc>
                      <w:tcPr>
                        <w:tcW w:w="1075" w:type="dxa"/>
                        <w:tcBorders>
                          <w:top w:val="single" w:sz="4" w:space="0" w:color="auto"/>
                          <w:left w:val="single" w:sz="4" w:space="0" w:color="auto"/>
                        </w:tcBorders>
                        <w:shd w:val="clear" w:color="auto" w:fill="FFFFFF"/>
                        <w:vAlign w:val="bottom"/>
                      </w:tcPr>
                      <w:p w:rsidR="00BB7EDA" w:rsidRDefault="007D72B3">
                        <w:pPr>
                          <w:pStyle w:val="Bodytext20"/>
                          <w:shd w:val="clear" w:color="auto" w:fill="auto"/>
                          <w:spacing w:before="0" w:line="150" w:lineRule="exact"/>
                          <w:ind w:left="200"/>
                          <w:jc w:val="left"/>
                        </w:pPr>
                        <w:r>
                          <w:rPr>
                            <w:rStyle w:val="Bodytext2Arial75pt"/>
                          </w:rPr>
                          <w:t>Signal</w:t>
                        </w:r>
                      </w:p>
                    </w:tc>
                    <w:tc>
                      <w:tcPr>
                        <w:tcW w:w="629" w:type="dxa"/>
                        <w:tcBorders>
                          <w:left w:val="single" w:sz="4" w:space="0" w:color="auto"/>
                          <w:bottom w:val="single" w:sz="4" w:space="0" w:color="auto"/>
                          <w:right w:val="single" w:sz="4" w:space="0" w:color="auto"/>
                        </w:tcBorders>
                        <w:shd w:val="clear" w:color="auto" w:fill="FFFFFF"/>
                      </w:tcPr>
                      <w:p w:rsidR="00BB7EDA" w:rsidRDefault="00BB7EDA">
                        <w:pPr>
                          <w:rPr>
                            <w:sz w:val="10"/>
                            <w:szCs w:val="10"/>
                          </w:rPr>
                        </w:pPr>
                      </w:p>
                    </w:tc>
                  </w:tr>
                </w:tbl>
                <w:p w:rsidR="00BB7EDA" w:rsidRDefault="00BB7EDA">
                  <w:pPr>
                    <w:rPr>
                      <w:sz w:val="2"/>
                      <w:szCs w:val="2"/>
                    </w:rPr>
                  </w:pPr>
                </w:p>
              </w:txbxContent>
            </v:textbox>
            <w10:wrap type="topAndBottom" anchorx="margin"/>
          </v:shape>
        </w:pict>
      </w:r>
      <w:r>
        <w:pict>
          <v:shape id="_x0000_s1061" type="#_x0000_t75" style="position:absolute;left:0;text-align:left;margin-left:8.8pt;margin-top:-79.2pt;width:65.3pt;height:64.8pt;z-index:-125829366;mso-wrap-distance-left:11.75pt;mso-wrap-distance-right:8.15pt;mso-position-horizontal-relative:margin" wrapcoords="0 0 21600 0 21600 21600 0 21600 0 0">
            <v:imagedata r:id="rId43" o:title="image7"/>
            <w10:wrap type="topAndBottom" anchorx="margin"/>
          </v:shape>
        </w:pict>
      </w:r>
      <w:r>
        <w:pict>
          <v:shape id="_x0000_s1062" type="#_x0000_t202" style="position:absolute;left:0;text-align:left;margin-left:82.25pt;margin-top:-53.75pt;width:94.55pt;height:10.6pt;z-index:-125829365;mso-wrap-distance-left:5pt;mso-wrap-distance-top:25.45pt;mso-wrap-distance-right:5pt;mso-position-horizontal-relative:margin" filled="f" stroked="f">
            <v:textbox style="mso-fit-shape-to-text:t" inset="0,0,0,0">
              <w:txbxContent>
                <w:p w:rsidR="00BB7EDA" w:rsidRDefault="007D72B3">
                  <w:pPr>
                    <w:pStyle w:val="Bodytext14"/>
                    <w:shd w:val="clear" w:color="auto" w:fill="auto"/>
                    <w:spacing w:line="150" w:lineRule="exact"/>
                  </w:pPr>
                  <w:r>
                    <w:t>Infofmationsübertra g ung</w:t>
                  </w:r>
                </w:p>
              </w:txbxContent>
            </v:textbox>
            <w10:wrap type="topAndBottom" anchorx="margin"/>
          </v:shape>
        </w:pict>
      </w:r>
      <w:r>
        <w:pict>
          <v:shape id="_x0000_s1063" type="#_x0000_t75" style="position:absolute;left:0;text-align:left;margin-left:179.7pt;margin-top:-80.65pt;width:86.9pt;height:66.7pt;z-index:-125829364;mso-wrap-distance-left:5pt;mso-wrap-distance-right:13.45pt;mso-position-horizontal-relative:margin" wrapcoords="0 0 21600 0 21600 21600 0 21600 0 0">
            <v:imagedata r:id="rId44" o:title="image8"/>
            <w10:wrap type="topAndBottom" anchorx="margin"/>
          </v:shape>
        </w:pict>
      </w:r>
      <w:r>
        <w:t xml:space="preserve">Abb. 6 Die fünf Ebenen der Information nach W. </w:t>
      </w:r>
      <w:r>
        <w:rPr>
          <w:rStyle w:val="Bodytext12SmallCaps"/>
        </w:rPr>
        <w:t xml:space="preserve">Gut. </w:t>
      </w:r>
      <w:r>
        <w:t xml:space="preserve">Information ist ihrem Wesen nach </w:t>
      </w:r>
      <w:r>
        <w:t>an „Sender“ und „Empfänger“ gebunden. Die fünf Informations</w:t>
      </w:r>
      <w:r>
        <w:softHyphen/>
        <w:t>ebenen sind auf der Sender- und auf der Empfängerseite von Bedeutung. Der genetische Code spielt diesbezüglich eine Sonderrolle, weil unmittelbarer Sen</w:t>
      </w:r>
      <w:r>
        <w:softHyphen/>
        <w:t>der und Empfänger keine Individuen sind.</w:t>
      </w:r>
    </w:p>
    <w:p w:rsidR="00BB7EDA" w:rsidRDefault="007D72B3">
      <w:pPr>
        <w:pStyle w:val="Bodytext20"/>
        <w:shd w:val="clear" w:color="auto" w:fill="auto"/>
        <w:spacing w:before="0" w:after="340"/>
      </w:pPr>
      <w:r>
        <w:t>Nun</w:t>
      </w:r>
      <w:r>
        <w:t xml:space="preserve"> kann er darauf reagieren und wird in der eben beschriebenen Form selber zum Sender, während der vorherige Sender die Mög</w:t>
      </w:r>
      <w:r>
        <w:softHyphen/>
        <w:t>lichkeit hat, zum Empfänger zu werden.</w:t>
      </w:r>
    </w:p>
    <w:p w:rsidR="00BB7EDA" w:rsidRDefault="007D72B3">
      <w:pPr>
        <w:pStyle w:val="Heading50"/>
        <w:keepNext/>
        <w:keepLines/>
        <w:numPr>
          <w:ilvl w:val="0"/>
          <w:numId w:val="60"/>
        </w:numPr>
        <w:shd w:val="clear" w:color="auto" w:fill="auto"/>
        <w:tabs>
          <w:tab w:val="left" w:pos="500"/>
        </w:tabs>
        <w:spacing w:after="218" w:line="180" w:lineRule="exact"/>
      </w:pPr>
      <w:bookmarkStart w:id="28" w:name="bookmark27"/>
      <w:r>
        <w:t>Graphemik</w:t>
      </w:r>
      <w:bookmarkEnd w:id="28"/>
    </w:p>
    <w:p w:rsidR="00BB7EDA" w:rsidRDefault="007D72B3">
      <w:pPr>
        <w:pStyle w:val="Bodytext80"/>
        <w:numPr>
          <w:ilvl w:val="0"/>
          <w:numId w:val="64"/>
        </w:numPr>
        <w:shd w:val="clear" w:color="auto" w:fill="auto"/>
        <w:tabs>
          <w:tab w:val="left" w:pos="639"/>
        </w:tabs>
      </w:pPr>
      <w:r>
        <w:t>Sprache und Schrift</w:t>
      </w:r>
    </w:p>
    <w:p w:rsidR="00BB7EDA" w:rsidRDefault="007D72B3">
      <w:pPr>
        <w:pStyle w:val="Bodytext20"/>
        <w:shd w:val="clear" w:color="auto" w:fill="auto"/>
        <w:spacing w:before="0" w:line="226" w:lineRule="exact"/>
      </w:pPr>
      <w:r>
        <w:t>In der Graphemik</w:t>
      </w:r>
      <w:r>
        <w:rPr>
          <w:vertAlign w:val="superscript"/>
        </w:rPr>
        <w:footnoteReference w:id="93"/>
      </w:r>
      <w:r>
        <w:t xml:space="preserve"> beschäftigt man sich mit der Ebene der Schrift.</w:t>
      </w:r>
      <w:r>
        <w:t xml:space="preserve"> Jede Sprache kann durch graphische Zeichen dargestellt werden. So repräsentieren z.B. im Deutschen die fünf Zeichen </w:t>
      </w:r>
      <w:r>
        <w:rPr>
          <w:rStyle w:val="Bodytext2Italic0"/>
        </w:rPr>
        <w:t xml:space="preserve">G + n + a + d + e </w:t>
      </w:r>
      <w:r>
        <w:t xml:space="preserve">zusammen die Lautgestalt </w:t>
      </w:r>
      <w:r>
        <w:rPr>
          <w:rStyle w:val="Bodytext2Italic0"/>
        </w:rPr>
        <w:t>/Gnade/,</w:t>
      </w:r>
      <w:r>
        <w:t xml:space="preserve"> allerdings könnten wir genau</w:t>
      </w:r>
      <w:r>
        <w:br w:type="page"/>
        <w:t xml:space="preserve">das gleiche Wort z.B. auch durch die griechische oder die </w:t>
      </w:r>
      <w:r>
        <w:t>hebräische Schrift darstellen.</w:t>
      </w:r>
    </w:p>
    <w:p w:rsidR="00BB7EDA" w:rsidRDefault="007D72B3">
      <w:pPr>
        <w:pStyle w:val="Bodytext20"/>
        <w:shd w:val="clear" w:color="auto" w:fill="auto"/>
        <w:spacing w:before="0" w:after="180" w:line="226" w:lineRule="exact"/>
        <w:ind w:firstLine="320"/>
      </w:pPr>
      <w:r>
        <w:t>Das Gedächtnis des Menschen ist vom Fassungsvermögen her begrenzt und zudem oft kurzlebig. Die Informationsvermittlung durch die Schrift kann u.U. Jahrhunderte und Jahrtausende über</w:t>
      </w:r>
      <w:r>
        <w:softHyphen/>
        <w:t>dauern. Ohne die Schrift ist die Kulturentw</w:t>
      </w:r>
      <w:r>
        <w:t>icklung eines bestimm</w:t>
      </w:r>
      <w:r>
        <w:softHyphen/>
        <w:t>ten Volkes ziemlich begrenzt. Die Weltgeschichte beginnt mit dem Auftreten der Schrift. Ein einzelnes Volk hat mit dem Vorhanden</w:t>
      </w:r>
      <w:r>
        <w:softHyphen/>
        <w:t>sein der Schrift ein höchst wirkungsvolles Mittel, um aus seiner Geschichtslosigkeit heraustreten zu könn</w:t>
      </w:r>
      <w:r>
        <w:t>en.</w:t>
      </w:r>
    </w:p>
    <w:p w:rsidR="00BB7EDA" w:rsidRDefault="007D72B3">
      <w:pPr>
        <w:pStyle w:val="Bodytext100"/>
        <w:numPr>
          <w:ilvl w:val="0"/>
          <w:numId w:val="64"/>
        </w:numPr>
        <w:shd w:val="clear" w:color="auto" w:fill="auto"/>
        <w:tabs>
          <w:tab w:val="left" w:pos="654"/>
        </w:tabs>
        <w:spacing w:before="0"/>
        <w:ind w:firstLine="0"/>
      </w:pPr>
      <w:r>
        <w:t>Zur Geschichte der Schrift</w:t>
      </w:r>
    </w:p>
    <w:p w:rsidR="00BB7EDA" w:rsidRDefault="007D72B3">
      <w:pPr>
        <w:pStyle w:val="Bodytext20"/>
        <w:shd w:val="clear" w:color="auto" w:fill="auto"/>
        <w:spacing w:before="0" w:line="226" w:lineRule="exact"/>
      </w:pPr>
      <w:r>
        <w:t>Bei den alten Sumerern in Mesopotamien stoßen wir auf die ältesten bekannten Schriftsysteme.</w:t>
      </w:r>
      <w:r>
        <w:rPr>
          <w:vertAlign w:val="superscript"/>
        </w:rPr>
        <w:footnoteReference w:id="94"/>
      </w:r>
      <w:r>
        <w:t xml:space="preserve"> Sie kannten </w:t>
      </w:r>
      <w:r>
        <w:rPr>
          <w:rStyle w:val="Bodytext2Italic0"/>
        </w:rPr>
        <w:t>Zählsteine</w:t>
      </w:r>
      <w:r>
        <w:t xml:space="preserve"> sowie eine zu</w:t>
      </w:r>
      <w:r>
        <w:softHyphen/>
        <w:t xml:space="preserve">meist auf Ton, aber zuweilen auch auf Stein, Metall und Wachs eingeritzte </w:t>
      </w:r>
      <w:r>
        <w:rPr>
          <w:rStyle w:val="Bodytext2Italic0"/>
        </w:rPr>
        <w:t xml:space="preserve">Bilder-Schrift, bei </w:t>
      </w:r>
      <w:r>
        <w:rPr>
          <w:rStyle w:val="Bodytext2Italic0"/>
        </w:rPr>
        <w:t>der ein Zeichen einem Wort</w:t>
      </w:r>
      <w:r>
        <w:t xml:space="preserve"> entsprach. Daraus entwickelte sich durch Abstraktion die spätere </w:t>
      </w:r>
      <w:r>
        <w:rPr>
          <w:rStyle w:val="Bodytext2Italic0"/>
        </w:rPr>
        <w:t>Silben bezeich</w:t>
      </w:r>
      <w:r>
        <w:rPr>
          <w:rStyle w:val="Bodytext2Italic0"/>
        </w:rPr>
        <w:softHyphen/>
        <w:t>nende Keilschrift.</w:t>
      </w:r>
      <w:r>
        <w:t xml:space="preserve"> Diese Schrift wurde früh von den Babyloniern übernommen, um ihre Sprache damit zu schreiben.</w:t>
      </w:r>
    </w:p>
    <w:p w:rsidR="00BB7EDA" w:rsidRDefault="007D72B3">
      <w:pPr>
        <w:pStyle w:val="Bodytext20"/>
        <w:shd w:val="clear" w:color="auto" w:fill="auto"/>
        <w:spacing w:before="0" w:line="226" w:lineRule="exact"/>
        <w:ind w:firstLine="320"/>
      </w:pPr>
      <w:r>
        <w:t>In Ägypten stößt man bereits im Alten</w:t>
      </w:r>
      <w:r>
        <w:t xml:space="preserve"> Reich auf die voll ausge</w:t>
      </w:r>
      <w:r>
        <w:softHyphen/>
        <w:t xml:space="preserve">bildete </w:t>
      </w:r>
      <w:r>
        <w:rPr>
          <w:rStyle w:val="Bodytext2Italic0"/>
        </w:rPr>
        <w:t>Hieroglyphenschrift.</w:t>
      </w:r>
      <w:r>
        <w:t xml:space="preserve"> Eine allmähliche Entwicklung aus primi</w:t>
      </w:r>
      <w:r>
        <w:softHyphen/>
        <w:t xml:space="preserve">tiven Anfängen heraus zu ihr hin ist nicht nachweisbar. Dieses Schriftsystem ist eine Mischung aus Zeichen, die entweder </w:t>
      </w:r>
      <w:r>
        <w:rPr>
          <w:rStyle w:val="Bodytext2Italic0"/>
        </w:rPr>
        <w:t>ganze Wörter, Wortteile oder sogar einzel</w:t>
      </w:r>
      <w:r>
        <w:rPr>
          <w:rStyle w:val="Bodytext2Italic0"/>
        </w:rPr>
        <w:t>ne Laute darstellt.</w:t>
      </w:r>
    </w:p>
    <w:p w:rsidR="00BB7EDA" w:rsidRDefault="007D72B3">
      <w:pPr>
        <w:pStyle w:val="Bodytext20"/>
        <w:shd w:val="clear" w:color="auto" w:fill="auto"/>
        <w:spacing w:before="0" w:line="226" w:lineRule="exact"/>
        <w:ind w:firstLine="320"/>
      </w:pPr>
      <w:r>
        <w:t xml:space="preserve">Der Durchbruch zur </w:t>
      </w:r>
      <w:r>
        <w:rPr>
          <w:rStyle w:val="Bodytext2Italic0"/>
        </w:rPr>
        <w:t>Alphabet-Schrift</w:t>
      </w:r>
      <w:r>
        <w:t xml:space="preserve"> hat in der ersten Hälfte des 2. Jahrtausends v. Chr. im Nahen Osten stattgefunden, d.h. in der Periode von Mose oder sogar einige Zeit davor.</w:t>
      </w:r>
      <w:r>
        <w:rPr>
          <w:vertAlign w:val="superscript"/>
        </w:rPr>
        <w:footnoteReference w:id="95"/>
      </w:r>
      <w:r>
        <w:t xml:space="preserve"> Diese bahnbre</w:t>
      </w:r>
      <w:r>
        <w:softHyphen/>
        <w:t>chende Erfindung stellt eine gewaltige zivi</w:t>
      </w:r>
      <w:r>
        <w:t>lisatorische Revolution dar. Früher hatten eigentlich nur Spezialisten Zugang zur Schrift.</w:t>
      </w:r>
    </w:p>
    <w:p w:rsidR="00BB7EDA" w:rsidRDefault="007D72B3">
      <w:pPr>
        <w:pStyle w:val="Bodytext20"/>
        <w:shd w:val="clear" w:color="auto" w:fill="auto"/>
        <w:spacing w:before="0" w:line="226" w:lineRule="exact"/>
      </w:pPr>
      <w:r>
        <w:t>Um dieKeilschriftbzw. die Hieroglyphenschrift lesen und schreiben zu können, musste man in der Lage sein, jeweils einige Hundert Zeichen zu beherrschen. Die Schaffun</w:t>
      </w:r>
      <w:r>
        <w:t xml:space="preserve">g der so genannten </w:t>
      </w:r>
      <w:r>
        <w:rPr>
          <w:rStyle w:val="Bodytext2Italic0"/>
        </w:rPr>
        <w:t>proto- kanaanäischen Alphabet-Schrift</w:t>
      </w:r>
      <w:r>
        <w:t xml:space="preserve"> machte es möglich, alles, was man wollte, mit etwas mehr als 20 Konsonanten-Symbolen abzufassen. Schreiben und Lesen wurde dadurch im Prinzip für jedermann möglich. Von dieser Schrift leiten sich pra</w:t>
      </w:r>
      <w:r>
        <w:t>ktisch alle Alphabet- Schriften der Welt her.</w:t>
      </w:r>
      <w:r>
        <w:rPr>
          <w:vertAlign w:val="superscript"/>
        </w:rPr>
        <w:footnoteReference w:id="96"/>
      </w:r>
    </w:p>
    <w:p w:rsidR="00BB7EDA" w:rsidRDefault="007D72B3">
      <w:pPr>
        <w:pStyle w:val="Bodytext20"/>
        <w:shd w:val="clear" w:color="auto" w:fill="auto"/>
        <w:spacing w:before="0" w:line="226" w:lineRule="exact"/>
        <w:ind w:firstLine="320"/>
      </w:pPr>
      <w:r>
        <w:t>Die zwischen der proto-kanaanäischen Schrift und der Hieroglyphenschrift bestehenden Übereinstimmungen einer gan</w:t>
      </w:r>
      <w:r>
        <w:softHyphen/>
        <w:t>zen Reihe von Zeichen, scheinen darauf hinzudeuten, dass der Erfinder der Alphabet-Schrift die H</w:t>
      </w:r>
      <w:r>
        <w:t>ieroglyphenschrift kannte. Mose, der wohl beides, die Hieroglyphenschrift und die Keilschrift be</w:t>
      </w:r>
      <w:r>
        <w:softHyphen/>
        <w:t>herrschte, da er in aller Weisheit der Ägypter unterwiesen war (Apg 7,22), schrieb den Pentateuch, die ersten fünf Bücher der Bibel, in dieser ältesten Buchsta</w:t>
      </w:r>
      <w:r>
        <w:t>benschrift auf (Ex 17,14; 24,4; 34,27; Num 33,2; Deut 31,9.24).</w:t>
      </w:r>
      <w:r>
        <w:rPr>
          <w:vertAlign w:val="superscript"/>
        </w:rPr>
        <w:footnoteReference w:id="97"/>
      </w:r>
      <w:r>
        <w:t xml:space="preserve"> Die Zehn Gebote erhielt er im Sinai, am Fuß des Horeb, ebenfalls in dieser Schrift, und zwar eingraviert auf zwei Tafeln (Ex 31,18; 34,1.28; Deut 10,1 ff.).</w:t>
      </w:r>
    </w:p>
    <w:p w:rsidR="00BB7EDA" w:rsidRDefault="007D72B3">
      <w:pPr>
        <w:pStyle w:val="Bodytext20"/>
        <w:shd w:val="clear" w:color="auto" w:fill="auto"/>
        <w:spacing w:before="0" w:line="226" w:lineRule="exact"/>
        <w:ind w:firstLine="320"/>
      </w:pPr>
      <w:r>
        <w:t xml:space="preserve">Die Wahl einer Alphabet-Schrift </w:t>
      </w:r>
      <w:r>
        <w:t>zur Abfassung der Heiligen Schrift stellt eigentlich ein Programm dar: Die Bibel sollte von mög</w:t>
      </w:r>
      <w:r>
        <w:softHyphen/>
        <w:t>lichst allen Menschen gelesen und verstanden werden, nicht nur von Gelehrten!</w:t>
      </w:r>
    </w:p>
    <w:p w:rsidR="00BB7EDA" w:rsidRDefault="007D72B3">
      <w:pPr>
        <w:pStyle w:val="Bodytext20"/>
        <w:shd w:val="clear" w:color="auto" w:fill="auto"/>
        <w:spacing w:before="0" w:line="226" w:lineRule="exact"/>
        <w:ind w:firstLine="320"/>
      </w:pPr>
      <w:r>
        <w:t>In der liberal-theologischen Pentateuch-Kritik spielte die Mei</w:t>
      </w:r>
      <w:r>
        <w:softHyphen/>
        <w:t>nung, dass man in d</w:t>
      </w:r>
      <w:r>
        <w:t>er mosaischen Zeit - gemäß der biblischen</w:t>
      </w:r>
    </w:p>
    <w:p w:rsidR="00BB7EDA" w:rsidRDefault="007D72B3">
      <w:pPr>
        <w:pStyle w:val="Bodytext20"/>
        <w:shd w:val="clear" w:color="auto" w:fill="auto"/>
        <w:spacing w:before="0" w:after="433" w:line="226" w:lineRule="exact"/>
      </w:pPr>
      <w:r>
        <w:t xml:space="preserve">Chronologie um die Mitte des 2. Jahrtausends v. Chr. - in Israel noch nicht hätte schreiben können, eine wichtige Rolle in der Ablehnung der biblisch bezeugten Verfasserschaft der ersten fünf Bücher durch Mose. Im </w:t>
      </w:r>
      <w:r>
        <w:t>Licht der modernen archäologischen Kenntnisse ist dieses Argument jedoch endgültig zu begraben.</w:t>
      </w:r>
    </w:p>
    <w:p w:rsidR="00BB7EDA" w:rsidRDefault="007D72B3">
      <w:pPr>
        <w:pStyle w:val="Heading40"/>
        <w:keepNext/>
        <w:keepLines/>
        <w:numPr>
          <w:ilvl w:val="1"/>
          <w:numId w:val="64"/>
        </w:numPr>
        <w:shd w:val="clear" w:color="auto" w:fill="auto"/>
        <w:tabs>
          <w:tab w:val="left" w:pos="394"/>
        </w:tabs>
        <w:spacing w:after="488" w:line="210" w:lineRule="exact"/>
      </w:pPr>
      <w:bookmarkStart w:id="29" w:name="bookmark28"/>
      <w:r>
        <w:t>Zur Einteilung der Sprachen</w:t>
      </w:r>
      <w:bookmarkEnd w:id="29"/>
    </w:p>
    <w:p w:rsidR="00BB7EDA" w:rsidRDefault="007D72B3">
      <w:pPr>
        <w:pStyle w:val="Heading50"/>
        <w:keepNext/>
        <w:keepLines/>
        <w:numPr>
          <w:ilvl w:val="2"/>
          <w:numId w:val="64"/>
        </w:numPr>
        <w:shd w:val="clear" w:color="auto" w:fill="auto"/>
        <w:tabs>
          <w:tab w:val="left" w:pos="495"/>
        </w:tabs>
        <w:spacing w:after="219" w:line="180" w:lineRule="exact"/>
      </w:pPr>
      <w:bookmarkStart w:id="30" w:name="bookmark29"/>
      <w:r>
        <w:t>Sprachstämme</w:t>
      </w:r>
      <w:bookmarkEnd w:id="30"/>
    </w:p>
    <w:p w:rsidR="00BB7EDA" w:rsidRDefault="007D72B3">
      <w:pPr>
        <w:pStyle w:val="Bodytext20"/>
        <w:shd w:val="clear" w:color="auto" w:fill="auto"/>
        <w:spacing w:before="0"/>
      </w:pPr>
      <w:r>
        <w:t>Vergleicht man die Sprachen weltweit miteinander, so fällt auf, dass manche untereinander z.T. große Ähnlichkeiten aufw</w:t>
      </w:r>
      <w:r>
        <w:t>eisen. Spra</w:t>
      </w:r>
      <w:r>
        <w:softHyphen/>
        <w:t>chen mit deutlichen Verwandtschaftsmerkmalen fasst man syste</w:t>
      </w:r>
      <w:r>
        <w:softHyphen/>
        <w:t xml:space="preserve">matisch in </w:t>
      </w:r>
      <w:r>
        <w:rPr>
          <w:rStyle w:val="Bodytext2Italic0"/>
        </w:rPr>
        <w:t>Sprachstämmen</w:t>
      </w:r>
      <w:r>
        <w:t xml:space="preserve"> zusammen.</w:t>
      </w:r>
    </w:p>
    <w:p w:rsidR="00BB7EDA" w:rsidRDefault="007D72B3">
      <w:pPr>
        <w:pStyle w:val="Bodytext20"/>
        <w:shd w:val="clear" w:color="auto" w:fill="auto"/>
        <w:spacing w:before="0" w:after="180" w:line="226" w:lineRule="exact"/>
        <w:ind w:firstLine="340"/>
      </w:pPr>
      <w:r>
        <w:t>Die meisten Linguisten glauben, dass die Sprachen eines be</w:t>
      </w:r>
      <w:r>
        <w:softHyphen/>
        <w:t xml:space="preserve">stimmten Sprachstammes </w:t>
      </w:r>
      <w:r>
        <w:rPr>
          <w:rStyle w:val="Bodytext2Italic0"/>
        </w:rPr>
        <w:t>genetisch,</w:t>
      </w:r>
      <w:r>
        <w:t xml:space="preserve"> also durch Abstammung, auf </w:t>
      </w:r>
      <w:r>
        <w:rPr>
          <w:rStyle w:val="Bodytext2Italic0"/>
        </w:rPr>
        <w:t>eitle</w:t>
      </w:r>
      <w:r>
        <w:t xml:space="preserve"> gemeinsame Ursprache z</w:t>
      </w:r>
      <w:r>
        <w:t>urückgehen. Diese Ansicht ist gedank</w:t>
      </w:r>
      <w:r>
        <w:softHyphen/>
        <w:t>lich gut nachvollziehbar: Man geht davon aus, dass Ähnlichkeit auf eine gemeinsame Abstammung hinweist.</w:t>
      </w:r>
    </w:p>
    <w:p w:rsidR="00BB7EDA" w:rsidRDefault="007D72B3">
      <w:pPr>
        <w:pStyle w:val="Bodytext100"/>
        <w:numPr>
          <w:ilvl w:val="0"/>
          <w:numId w:val="65"/>
        </w:numPr>
        <w:shd w:val="clear" w:color="auto" w:fill="auto"/>
        <w:tabs>
          <w:tab w:val="left" w:pos="654"/>
        </w:tabs>
        <w:spacing w:before="0"/>
        <w:ind w:firstLine="0"/>
        <w:jc w:val="left"/>
      </w:pPr>
      <w:r>
        <w:t>Ähnlichkeit</w:t>
      </w:r>
      <w:r>
        <w:rPr>
          <w:rStyle w:val="Bodytext109ptNotItalic"/>
          <w:b/>
          <w:bCs/>
        </w:rPr>
        <w:t xml:space="preserve"> - </w:t>
      </w:r>
      <w:r>
        <w:t>durch Abstammung oder durch ein gemeinsames Grundkonzept?</w:t>
      </w:r>
    </w:p>
    <w:p w:rsidR="00BB7EDA" w:rsidRDefault="007D72B3">
      <w:pPr>
        <w:pStyle w:val="Bodytext20"/>
        <w:shd w:val="clear" w:color="auto" w:fill="auto"/>
        <w:spacing w:before="0" w:line="226" w:lineRule="exact"/>
      </w:pPr>
      <w:r>
        <w:t xml:space="preserve">Doch man sollte sich an dieser Stelle </w:t>
      </w:r>
      <w:r>
        <w:t>prinzipiell im Klaren dar</w:t>
      </w:r>
      <w:r>
        <w:softHyphen/>
        <w:t xml:space="preserve">über sein, dass Ähnlichkeit, und sogar starke Ähnlichkeit, an sich niemals ein </w:t>
      </w:r>
      <w:r>
        <w:rPr>
          <w:rStyle w:val="Bodytext2Italic0"/>
        </w:rPr>
        <w:t>Beweis</w:t>
      </w:r>
      <w:r>
        <w:t xml:space="preserve"> für Abstammung ist. Ähnlichkeit </w:t>
      </w:r>
      <w:r>
        <w:rPr>
          <w:rStyle w:val="Bodytext2Italic0"/>
        </w:rPr>
        <w:t>kann</w:t>
      </w:r>
      <w:r>
        <w:t xml:space="preserve"> sehr wohl auf Abstammung beruhen, wie beispielsweise im Fall unse</w:t>
      </w:r>
      <w:r>
        <w:softHyphen/>
        <w:t>rer sechs Kinder, die in vielen Einzelhei</w:t>
      </w:r>
      <w:r>
        <w:t>ten deutliche Übereinstim</w:t>
      </w:r>
      <w:r>
        <w:softHyphen/>
        <w:t>mungen mit meiner Frau Myriam und mit mir aufweisen. Doch, wenn es sich z.B. um Autos verschiedener Marken handelt, so kann man die Ähnlichkeit untereinander offensichtlich nicht mit Ab</w:t>
      </w:r>
      <w:r>
        <w:softHyphen/>
        <w:t>stammung erklären, sondern nur mit einem gem</w:t>
      </w:r>
      <w:r>
        <w:t>einsamen dahin</w:t>
      </w:r>
      <w:r>
        <w:softHyphen/>
        <w:t>ter stehenden Grundbauplan. So ist z.B. die Ähnlichkeit zwischen Affen und Menschen keineswegs ein Beweis für eine gemeinsame Abstammung. Man kann sie nämlich auch durch einen gemeinsa</w:t>
      </w:r>
      <w:r>
        <w:softHyphen/>
        <w:t>men Grundbauplan des Schöpfers erklären. Was hier für di</w:t>
      </w:r>
      <w:r>
        <w:t>e Biologie gilt, kann entsprechend auch von den Sprachen gesagt werden.</w:t>
      </w:r>
    </w:p>
    <w:p w:rsidR="00BB7EDA" w:rsidRDefault="007D72B3">
      <w:pPr>
        <w:pStyle w:val="Bodytext100"/>
        <w:numPr>
          <w:ilvl w:val="0"/>
          <w:numId w:val="65"/>
        </w:numPr>
        <w:shd w:val="clear" w:color="auto" w:fill="auto"/>
        <w:tabs>
          <w:tab w:val="left" w:pos="658"/>
        </w:tabs>
        <w:spacing w:before="0" w:line="230" w:lineRule="exact"/>
        <w:ind w:firstLine="0"/>
        <w:jc w:val="left"/>
      </w:pPr>
      <w:r>
        <w:t>Sind die Sprachstämme mono- oder polyphyletisch entstanden?</w:t>
      </w:r>
    </w:p>
    <w:p w:rsidR="00BB7EDA" w:rsidRDefault="007D72B3">
      <w:pPr>
        <w:pStyle w:val="Bodytext20"/>
        <w:shd w:val="clear" w:color="auto" w:fill="auto"/>
        <w:spacing w:before="0" w:after="391"/>
      </w:pPr>
      <w:r>
        <w:t xml:space="preserve">Die Rückführung aller Sprachen eines Sprachstammes auf </w:t>
      </w:r>
      <w:r>
        <w:rPr>
          <w:rStyle w:val="Bodytext2Italic0"/>
        </w:rPr>
        <w:t>eine</w:t>
      </w:r>
      <w:r>
        <w:t xml:space="preserve"> einzi</w:t>
      </w:r>
      <w:r>
        <w:softHyphen/>
        <w:t>ge Proto-Sprache weist diverse Probleme auf.</w:t>
      </w:r>
      <w:r>
        <w:rPr>
          <w:vertAlign w:val="superscript"/>
        </w:rPr>
        <w:t>109</w:t>
      </w:r>
      <w:r>
        <w:t xml:space="preserve"> Es gibt nämlich auch gute Gründe, anzunehmen, dass die Sprachen eines bestimmten Stammes auf </w:t>
      </w:r>
      <w:r>
        <w:rPr>
          <w:rStyle w:val="Bodytext2Italic0"/>
        </w:rPr>
        <w:t>mehr als eine Ursprache</w:t>
      </w:r>
      <w:r>
        <w:t xml:space="preserve"> zurückgehen könnten. Manche sprachgeschichtlichen Schwierigkeiten könnten sowohl in der Indogermanistik als auch in der Semitistik</w:t>
      </w:r>
      <w:r>
        <w:rPr>
          <w:vertAlign w:val="superscript"/>
        </w:rPr>
        <w:t>110</w:t>
      </w:r>
      <w:r>
        <w:t xml:space="preserve"> bess</w:t>
      </w:r>
      <w:r>
        <w:t>er angegangen werden, wenn man die Möglichkeit offen lässt, die heutigen Spra</w:t>
      </w:r>
      <w:r>
        <w:softHyphen/>
        <w:t>chen eines bestimmten Sprachstammes evtl, auch auf mehrere Ur</w:t>
      </w:r>
      <w:r>
        <w:softHyphen/>
        <w:t>sprachen ähnlicher Struktur zurückzuführen.</w:t>
      </w:r>
      <w:r>
        <w:rPr>
          <w:vertAlign w:val="superscript"/>
        </w:rPr>
        <w:t>111</w:t>
      </w:r>
      <w:r>
        <w:t xml:space="preserve"> Man sollte die Mög</w:t>
      </w:r>
      <w:r>
        <w:softHyphen/>
        <w:t xml:space="preserve">lichkeit eines </w:t>
      </w:r>
      <w:r>
        <w:rPr>
          <w:rStyle w:val="Bodytext2Italic0"/>
        </w:rPr>
        <w:t>polyphyletischen Ursprungs</w:t>
      </w:r>
      <w:r>
        <w:t xml:space="preserve"> eines be</w:t>
      </w:r>
      <w:r>
        <w:t>stimmten Sprach</w:t>
      </w:r>
      <w:r>
        <w:softHyphen/>
        <w:t>stammes zumindest in Erwägung ziehen.</w:t>
      </w:r>
    </w:p>
    <w:p w:rsidR="00BB7EDA" w:rsidRDefault="007D72B3">
      <w:pPr>
        <w:pStyle w:val="Bodytext60"/>
        <w:numPr>
          <w:ilvl w:val="0"/>
          <w:numId w:val="66"/>
        </w:numPr>
        <w:shd w:val="clear" w:color="auto" w:fill="auto"/>
        <w:tabs>
          <w:tab w:val="left" w:pos="298"/>
        </w:tabs>
        <w:spacing w:line="192" w:lineRule="exact"/>
        <w:ind w:left="320" w:hanging="320"/>
        <w:jc w:val="both"/>
      </w:pPr>
      <w:r>
        <w:t>Dieser Punkt ist mir besonders wichtig geworden im Zusammenhang mit meinem Forschungsanliegen auf dem Gebiet des althebräischen Verbalsy</w:t>
      </w:r>
      <w:r>
        <w:softHyphen/>
        <w:t>stems. Es ist allzu deutlich geworden, dass die diachronen Forsch</w:t>
      </w:r>
      <w:r>
        <w:t>ungsansät</w:t>
      </w:r>
      <w:r>
        <w:softHyphen/>
        <w:t xml:space="preserve">ze, die unbedingt von </w:t>
      </w:r>
      <w:r>
        <w:rPr>
          <w:rStyle w:val="Bodytext675ptItalic"/>
        </w:rPr>
        <w:t>einer</w:t>
      </w:r>
      <w:r>
        <w:t xml:space="preserve"> ursemitischen Sprache ausgehen wollten (z.B. G.R. </w:t>
      </w:r>
      <w:r>
        <w:rPr>
          <w:rStyle w:val="Bodytext67ptSmallCaps"/>
        </w:rPr>
        <w:t xml:space="preserve">Driver, </w:t>
      </w:r>
      <w:r>
        <w:t xml:space="preserve">H. </w:t>
      </w:r>
      <w:r>
        <w:rPr>
          <w:rStyle w:val="Bodytext67ptSmallCaps"/>
        </w:rPr>
        <w:t xml:space="preserve">Bauer </w:t>
      </w:r>
      <w:r>
        <w:t>etc.), die Hebraistik im Blick auf ein adäquates Ver</w:t>
      </w:r>
      <w:r>
        <w:softHyphen/>
        <w:t>ständnis des althebräischen Verbalsystems über lange Zeit eigentlich unnö</w:t>
      </w:r>
      <w:r>
        <w:softHyphen/>
        <w:t>tig gebremst haben (vgl.</w:t>
      </w:r>
      <w:r>
        <w:t xml:space="preserve"> </w:t>
      </w:r>
      <w:r>
        <w:rPr>
          <w:rStyle w:val="Bodytext67ptSmallCaps"/>
        </w:rPr>
        <w:t xml:space="preserve">McFall: </w:t>
      </w:r>
      <w:r>
        <w:t xml:space="preserve">The Enigma of the Flebrew Verbal System; </w:t>
      </w:r>
      <w:r>
        <w:rPr>
          <w:rStyle w:val="Bodytext67ptSmallCaps"/>
        </w:rPr>
        <w:t xml:space="preserve">Niccacci: </w:t>
      </w:r>
      <w:r>
        <w:t xml:space="preserve">The Syntax of the Hebrew Verb in Classical Hebrew Prose). Man käme im Rahmen einer komparativen Grammatik der semitischen Sprachen in verschiedenen Punkten wohl zu besseren Lösungen, wenn man von </w:t>
      </w:r>
      <w:r>
        <w:t>mehreren Ursprachen des semitischen Typs ausgehen würde.</w:t>
      </w:r>
    </w:p>
    <w:p w:rsidR="00BB7EDA" w:rsidRDefault="007D72B3">
      <w:pPr>
        <w:pStyle w:val="Bodytext60"/>
        <w:numPr>
          <w:ilvl w:val="0"/>
          <w:numId w:val="66"/>
        </w:numPr>
        <w:shd w:val="clear" w:color="auto" w:fill="auto"/>
        <w:tabs>
          <w:tab w:val="left" w:pos="303"/>
        </w:tabs>
        <w:spacing w:line="192" w:lineRule="exact"/>
        <w:ind w:left="320" w:hanging="320"/>
        <w:jc w:val="both"/>
      </w:pPr>
      <w:r>
        <w:t>Von den modernen Sprachen sind indogermanische, semitische und sino- tibetanische Sprachen die einzigen, deren Geschichte aufgrund von Doku</w:t>
      </w:r>
      <w:r>
        <w:softHyphen/>
        <w:t>menten über Jahrtausende zurückverfolgt werden können.</w:t>
      </w:r>
    </w:p>
    <w:p w:rsidR="00BB7EDA" w:rsidRDefault="007D72B3">
      <w:pPr>
        <w:pStyle w:val="Bodytext60"/>
        <w:numPr>
          <w:ilvl w:val="0"/>
          <w:numId w:val="66"/>
        </w:numPr>
        <w:shd w:val="clear" w:color="auto" w:fill="auto"/>
        <w:tabs>
          <w:tab w:val="left" w:pos="303"/>
        </w:tabs>
        <w:spacing w:line="192" w:lineRule="exact"/>
        <w:ind w:left="320" w:hanging="320"/>
        <w:jc w:val="both"/>
      </w:pPr>
      <w:r>
        <w:t>Unte</w:t>
      </w:r>
      <w:r>
        <w:t>r den indogermanischen Sprachen gibt es bezüglich des morphologi</w:t>
      </w:r>
      <w:r>
        <w:softHyphen/>
        <w:t xml:space="preserve">schen Reichtums zwei Gruppen </w:t>
      </w:r>
      <w:r>
        <w:rPr>
          <w:rStyle w:val="Bodytext67ptSmallCaps"/>
        </w:rPr>
        <w:t xml:space="preserve">(Bälde </w:t>
      </w:r>
      <w:r>
        <w:t xml:space="preserve">Indo-European Languages, S. </w:t>
      </w:r>
      <w:r>
        <w:rPr>
          <w:rStyle w:val="Bodytext67pt"/>
        </w:rPr>
        <w:t xml:space="preserve">51-52); </w:t>
      </w:r>
      <w:r>
        <w:t>Da gibt es auf der einen Seite die Sprachen mit einer überaus komplexen Morphologie (z.B. Sanskrit, Griechisch, Latein,</w:t>
      </w:r>
      <w:r>
        <w:t xml:space="preserve"> sowie Keltisch, Armenisch, Slawisch und Baltisch) und auf der anderen Seite diejenigen, die in dieser Flinsicht vergleichsweise deutlich ärmer sind (z.B. Flethitisch, Germanisch und Albanisch). Man beachte, dass auf beiden Seiten alte und moderne Sprachen</w:t>
      </w:r>
      <w:r>
        <w:t xml:space="preserve"> stehen. Muss man wirklich zwingend alle auf </w:t>
      </w:r>
      <w:r>
        <w:rPr>
          <w:rStyle w:val="Bodytext675ptItalic"/>
        </w:rPr>
        <w:t>eine</w:t>
      </w:r>
      <w:r>
        <w:t xml:space="preserve"> sog. proto- indoeuropäische Sprache zurückführen? Wäre es nicht denkbar, mindestens zwei verschiedene, allerdings strukturell verwandte, Ursprachen anzuneh</w:t>
      </w:r>
      <w:r>
        <w:softHyphen/>
        <w:t>men? Natürlich könnte man auch davon ausgehen, das</w:t>
      </w:r>
      <w:r>
        <w:t>s die morphologisch ärmere Gruppe vor der schriftlich dokumentierten Zeit einen ähnlich großen morphologischen Reichtum besaß wie die erste, diesen jedoch durch einen relativ schnellen Flexionszerfall verloren hat.</w:t>
      </w:r>
    </w:p>
    <w:p w:rsidR="00BB7EDA" w:rsidRDefault="007D72B3">
      <w:pPr>
        <w:pStyle w:val="Bodytext60"/>
        <w:shd w:val="clear" w:color="auto" w:fill="auto"/>
        <w:spacing w:line="192" w:lineRule="exact"/>
        <w:ind w:left="320"/>
        <w:jc w:val="both"/>
      </w:pPr>
      <w:r>
        <w:t>Im Blick auf das Hethitische hat Edgar H.</w:t>
      </w:r>
      <w:r>
        <w:t xml:space="preserve"> </w:t>
      </w:r>
      <w:r>
        <w:rPr>
          <w:rStyle w:val="Bodytext67ptSmallCaps"/>
        </w:rPr>
        <w:t xml:space="preserve">Sturtevant, </w:t>
      </w:r>
      <w:r>
        <w:t>der große Spezialist auf diesem Gebiet, die Behauptung aufgestellt, dass diese Sprache nicht auf das Indogermanische, sondern auf das Proto-Anatolische zurückgehe. Das</w:t>
      </w:r>
    </w:p>
    <w:p w:rsidR="00BB7EDA" w:rsidRDefault="007D72B3">
      <w:pPr>
        <w:pStyle w:val="Bodytext100"/>
        <w:numPr>
          <w:ilvl w:val="0"/>
          <w:numId w:val="67"/>
        </w:numPr>
        <w:shd w:val="clear" w:color="auto" w:fill="auto"/>
        <w:tabs>
          <w:tab w:val="left" w:pos="654"/>
        </w:tabs>
        <w:spacing w:before="0"/>
        <w:ind w:firstLine="0"/>
        <w:jc w:val="left"/>
      </w:pPr>
      <w:r>
        <w:t>Zur monophyletischen Entstehung der romanischen Sprachen</w:t>
      </w:r>
    </w:p>
    <w:p w:rsidR="00BB7EDA" w:rsidRDefault="007D72B3">
      <w:pPr>
        <w:pStyle w:val="Bodytext20"/>
        <w:shd w:val="clear" w:color="auto" w:fill="auto"/>
        <w:spacing w:before="0" w:line="226" w:lineRule="exact"/>
      </w:pPr>
      <w:r>
        <w:t>Im Fall der romani</w:t>
      </w:r>
      <w:r>
        <w:t>schen Sprachen (Französisch, Italienisch, Spanisch, Portugiesisch, Rumänisch, Bündner-Romanisch etc.) kann man z.T. sehr gut empirisch, gestützt auf Dokumente aus den vergangenen 2.000 Jahren, nachweisen, dass sie abstammungsmäßig wirklich auf das Vulgärla</w:t>
      </w:r>
      <w:r>
        <w:t>tein zurückgehen.</w:t>
      </w:r>
      <w:r>
        <w:rPr>
          <w:vertAlign w:val="superscript"/>
        </w:rPr>
        <w:t>112</w:t>
      </w:r>
      <w:r>
        <w:t xml:space="preserve"> Die Abstammung der romani</w:t>
      </w:r>
      <w:r>
        <w:softHyphen/>
        <w:t>schen Sprachen ist geradezu ein Paradebeispiel und hat viel dazu beigetragen, dass diese Tatsache, die hier real beobachtet werden kann, zunächst auf die indogermanischen Sprachen allgemein und weiter überhaup</w:t>
      </w:r>
      <w:r>
        <w:t>t auf alle Sprachstämme der Welt übertragen wurde.</w:t>
      </w:r>
    </w:p>
    <w:p w:rsidR="00BB7EDA" w:rsidRDefault="007D72B3">
      <w:pPr>
        <w:pStyle w:val="Bodytext20"/>
        <w:shd w:val="clear" w:color="auto" w:fill="auto"/>
        <w:spacing w:before="0" w:line="226" w:lineRule="exact"/>
        <w:ind w:firstLine="300"/>
      </w:pPr>
      <w:r>
        <w:t>Im Rahmen der historisch vergleichenden Sprachwissenschaft, deren Anfänge auf das Ende des 18. Jahrhunderts zurückgehen, entdeckte man am Beispiel vieler indogermanischen Sprachen fol</w:t>
      </w:r>
      <w:r>
        <w:softHyphen/>
        <w:t xml:space="preserve">gende Tatsache: Je </w:t>
      </w:r>
      <w:r>
        <w:t>weiter man in der Geschichte dieser Sprachen zurückgeht, desto mehr Ähnlichkeit haben sie untereinander. Alt</w:t>
      </w:r>
      <w:r>
        <w:softHyphen/>
        <w:t>hochdeutsch und Altenglisch sind sich z.B. viel ähnlicher als ihre modernen Nachfahren. Aus solchen Beobachtungen wurde der spe</w:t>
      </w:r>
      <w:r>
        <w:softHyphen/>
        <w:t>kulative Schluss ge</w:t>
      </w:r>
      <w:r>
        <w:t>folgert, dass alle indogermanischen Sprachen auf eine Ursprache zurückgehen. Im Rahmen der Semitistik hat man den analogen Schluss gezogen.</w:t>
      </w:r>
    </w:p>
    <w:p w:rsidR="00BB7EDA" w:rsidRDefault="007D72B3">
      <w:pPr>
        <w:pStyle w:val="Bodytext20"/>
        <w:shd w:val="clear" w:color="auto" w:fill="auto"/>
        <w:spacing w:before="0" w:after="180" w:line="226" w:lineRule="exact"/>
        <w:ind w:firstLine="300"/>
      </w:pPr>
      <w:r>
        <w:t xml:space="preserve">Im Blick auf eine solche Ursprache sollte man sich aber stets der Aussage des bedeutenden Indogermanisten A. </w:t>
      </w:r>
      <w:r>
        <w:rPr>
          <w:rStyle w:val="Bodytext28ptSmallCaps"/>
        </w:rPr>
        <w:t>Meillet</w:t>
      </w:r>
      <w:r>
        <w:rPr>
          <w:rStyle w:val="Bodytext28ptSmallCaps"/>
        </w:rPr>
        <w:t xml:space="preserve"> </w:t>
      </w:r>
      <w:r>
        <w:t>bewusst sein, dessen komparative Grammatik trotz ihres relativ hohen Alters immer noch ein Referenzwerk ist. Er schrieb im Blick auf die Rekon</w:t>
      </w:r>
      <w:r>
        <w:softHyphen/>
        <w:t>struktion des Indogermanischen:</w:t>
      </w:r>
    </w:p>
    <w:p w:rsidR="00BB7EDA" w:rsidRDefault="007D72B3">
      <w:pPr>
        <w:pStyle w:val="Bodytext20"/>
        <w:shd w:val="clear" w:color="auto" w:fill="auto"/>
        <w:spacing w:before="0" w:after="331" w:line="226" w:lineRule="exact"/>
        <w:ind w:left="300" w:right="320"/>
      </w:pPr>
      <w:r>
        <w:t xml:space="preserve">„Die vergleichende Grammatik der idg. Sprachen ist in der Lage, in der sich die </w:t>
      </w:r>
      <w:r>
        <w:t xml:space="preserve">der romanischen Sprachen befände, wäre das Latein unbekannt: </w:t>
      </w:r>
      <w:r>
        <w:rPr>
          <w:rStyle w:val="Bodytext2Italic0"/>
        </w:rPr>
        <w:t>die einzigen Tatsachen, mit denen sic zu tun hat, sind die Entsprechungen zwischen den überlieferten Spra</w:t>
      </w:r>
      <w:r>
        <w:rPr>
          <w:rStyle w:val="Bodytext2Italic0"/>
        </w:rPr>
        <w:softHyphen/>
        <w:t>chen.</w:t>
      </w:r>
      <w:r>
        <w:t xml:space="preserve"> Die Entsprechungen lassen die Annahme von etwas</w:t>
      </w:r>
    </w:p>
    <w:p w:rsidR="00BB7EDA" w:rsidRDefault="007D72B3">
      <w:pPr>
        <w:pStyle w:val="Bodytext60"/>
        <w:shd w:val="clear" w:color="auto" w:fill="auto"/>
        <w:spacing w:line="187" w:lineRule="exact"/>
        <w:ind w:left="300"/>
        <w:jc w:val="both"/>
      </w:pPr>
      <w:r>
        <w:t>Proto-Anatolische sah er ais Schwes</w:t>
      </w:r>
      <w:r>
        <w:t xml:space="preserve">terzweig des Indogermanischen </w:t>
      </w:r>
      <w:r>
        <w:rPr>
          <w:rStyle w:val="Bodytext67ptSmallCaps"/>
        </w:rPr>
        <w:t xml:space="preserve">(Stur- tevant/Hahn: </w:t>
      </w:r>
      <w:r>
        <w:t>A Comparative Grammar of the Hittite Language, S.9). Da</w:t>
      </w:r>
      <w:r>
        <w:softHyphen/>
        <w:t>mit steht er allerdings im Gegensatz zur Ansicht der meisten Indogermani</w:t>
      </w:r>
      <w:r>
        <w:softHyphen/>
        <w:t xml:space="preserve">sten </w:t>
      </w:r>
      <w:r>
        <w:rPr>
          <w:rStyle w:val="Bodytext67ptSmallCaps"/>
        </w:rPr>
        <w:t xml:space="preserve">(Goetze: </w:t>
      </w:r>
      <w:r>
        <w:t>Kleinasien, S. 58-59).</w:t>
      </w:r>
    </w:p>
    <w:p w:rsidR="00BB7EDA" w:rsidRDefault="007D72B3">
      <w:pPr>
        <w:pStyle w:val="Bodytext60"/>
        <w:shd w:val="clear" w:color="auto" w:fill="auto"/>
        <w:spacing w:line="187" w:lineRule="exact"/>
        <w:ind w:left="300"/>
        <w:jc w:val="both"/>
      </w:pPr>
      <w:r>
        <w:t>Entsprechendes zu dem, was ich oben im B</w:t>
      </w:r>
      <w:r>
        <w:t>lick auf die indogermanische Sprache bemerkt habe, ließe sich auch beim Vergleich der semitischen Spra</w:t>
      </w:r>
      <w:r>
        <w:softHyphen/>
        <w:t>chen zeigen.</w:t>
      </w:r>
    </w:p>
    <w:p w:rsidR="00BB7EDA" w:rsidRDefault="007D72B3">
      <w:pPr>
        <w:pStyle w:val="Bodytext60"/>
        <w:numPr>
          <w:ilvl w:val="0"/>
          <w:numId w:val="66"/>
        </w:numPr>
        <w:shd w:val="clear" w:color="auto" w:fill="auto"/>
        <w:tabs>
          <w:tab w:val="left" w:pos="298"/>
        </w:tabs>
        <w:spacing w:line="187" w:lineRule="exact"/>
        <w:ind w:left="300" w:hanging="300"/>
      </w:pPr>
      <w:r>
        <w:t xml:space="preserve">Vgl. z.B. </w:t>
      </w:r>
      <w:r>
        <w:rPr>
          <w:rStyle w:val="Bodytext67ptSmallCaps"/>
        </w:rPr>
        <w:t xml:space="preserve">Kontzi: </w:t>
      </w:r>
      <w:r>
        <w:t xml:space="preserve">Zur Entstehung der romanischen Sprachen; </w:t>
      </w:r>
      <w:r>
        <w:rPr>
          <w:rStyle w:val="Bodytext67ptSmallCaps"/>
        </w:rPr>
        <w:t xml:space="preserve">Pope: </w:t>
      </w:r>
      <w:r>
        <w:t>From Latin to Modem French with Especial Consideration of Anglo-Norman.</w:t>
      </w:r>
    </w:p>
    <w:p w:rsidR="00BB7EDA" w:rsidRDefault="007D72B3">
      <w:pPr>
        <w:pStyle w:val="Bodytext20"/>
        <w:shd w:val="clear" w:color="auto" w:fill="auto"/>
        <w:spacing w:before="0" w:after="180" w:line="226" w:lineRule="exact"/>
        <w:ind w:left="320" w:right="320"/>
      </w:pPr>
      <w:r>
        <w:t>Gemeinsamem zu, aber dieses Gemeinsame bleibt unbekannt, und man kann sich davon nur auf Grund von Hypothesen ein Bild machen, von unbeweisbaren Hypothesen: die Entspre</w:t>
      </w:r>
      <w:r>
        <w:softHyphen/>
        <w:t xml:space="preserve">chung allein ist also Gegenstand der Wissenschaft. Man kann eine verschwundene Sprache </w:t>
      </w:r>
      <w:r>
        <w:t>durch Vergleichung nicht re</w:t>
      </w:r>
      <w:r>
        <w:softHyphen/>
        <w:t xml:space="preserve">konstruieren: die Vergleichung der romanischen Sprachen gäbe weder eine genaue, noch eine vollständige Vorstellung vom Vulgärlatein. Es besteht kein Grund zur Annahme, die Vergleichung der idg. Sprache sei lehrreicher; man kann </w:t>
      </w:r>
      <w:r>
        <w:t>das Indogermanische nicht rekonstruieren."</w:t>
      </w:r>
      <w:r>
        <w:rPr>
          <w:vertAlign w:val="superscript"/>
        </w:rPr>
        <w:footnoteReference w:id="98"/>
      </w:r>
      <w:r>
        <w:rPr>
          <w:vertAlign w:val="superscript"/>
        </w:rPr>
        <w:t xml:space="preserve"> </w:t>
      </w:r>
      <w:r>
        <w:rPr>
          <w:vertAlign w:val="superscript"/>
        </w:rPr>
        <w:footnoteReference w:id="99"/>
      </w:r>
    </w:p>
    <w:p w:rsidR="00BB7EDA" w:rsidRDefault="007D72B3">
      <w:pPr>
        <w:pStyle w:val="Bodytext20"/>
        <w:shd w:val="clear" w:color="auto" w:fill="auto"/>
        <w:spacing w:before="0" w:after="180" w:line="226" w:lineRule="exact"/>
        <w:ind w:firstLine="320"/>
      </w:pPr>
      <w:r>
        <w:t>Wenn man in der Indogermanistik und in der Semitistik dennoch versucht, je eine Proto-Sprache zu rekonstruieren, so muss man sich dabei klar und deutlich vor Augen halten, dass eine solche Rekon</w:t>
      </w:r>
      <w:r>
        <w:softHyphen/>
        <w:t>struktion im Pr</w:t>
      </w:r>
      <w:r>
        <w:t xml:space="preserve">inzip </w:t>
      </w:r>
      <w:r>
        <w:rPr>
          <w:rStyle w:val="Bodytext2Italic0"/>
        </w:rPr>
        <w:t>nicht mehr als die methodische Untersuchung aller Übereinstimmungen zwischen den überlieferten Sprachen darstellt</w:t>
      </w:r>
      <w:r>
        <w:t>.</w:t>
      </w:r>
      <w:r>
        <w:rPr>
          <w:vertAlign w:val="superscript"/>
        </w:rPr>
        <w:t>u4</w:t>
      </w:r>
    </w:p>
    <w:p w:rsidR="00BB7EDA" w:rsidRDefault="007D72B3">
      <w:pPr>
        <w:pStyle w:val="Bodytext100"/>
        <w:numPr>
          <w:ilvl w:val="0"/>
          <w:numId w:val="68"/>
        </w:numPr>
        <w:shd w:val="clear" w:color="auto" w:fill="auto"/>
        <w:tabs>
          <w:tab w:val="left" w:pos="505"/>
        </w:tabs>
        <w:spacing w:before="0"/>
        <w:ind w:firstLine="0"/>
      </w:pPr>
      <w:r>
        <w:t>A Kulturelle Sprachverwandtschaft</w:t>
      </w:r>
    </w:p>
    <w:p w:rsidR="00BB7EDA" w:rsidRDefault="007D72B3">
      <w:pPr>
        <w:pStyle w:val="Bodytext20"/>
        <w:shd w:val="clear" w:color="auto" w:fill="auto"/>
        <w:spacing w:before="0" w:line="226" w:lineRule="exact"/>
      </w:pPr>
      <w:r>
        <w:t xml:space="preserve">Wenn man in der Linguistik von Verwandtschaft spricht, so muss man, mit den Begriffen von E. </w:t>
      </w:r>
      <w:r>
        <w:rPr>
          <w:rStyle w:val="Bodytext28ptSmallCaps"/>
        </w:rPr>
        <w:t xml:space="preserve">Schwyzer </w:t>
      </w:r>
      <w:r>
        <w:t>gesprochen, gut zwi</w:t>
      </w:r>
      <w:r>
        <w:softHyphen/>
        <w:t xml:space="preserve">schen </w:t>
      </w:r>
      <w:r>
        <w:rPr>
          <w:rStyle w:val="Bodytext2Italic0"/>
        </w:rPr>
        <w:t>genealogischer</w:t>
      </w:r>
      <w:r>
        <w:t xml:space="preserve"> und </w:t>
      </w:r>
      <w:r>
        <w:rPr>
          <w:rStyle w:val="Bodytext2Italic0"/>
        </w:rPr>
        <w:t>kultureller Sprachverwandtschaft</w:t>
      </w:r>
      <w:r>
        <w:t xml:space="preserve"> unter</w:t>
      </w:r>
      <w:r>
        <w:softHyphen/>
        <w:t>scheiden. Unter dem zweiten Terminus versteht man die Bezie</w:t>
      </w:r>
      <w:r>
        <w:softHyphen/>
        <w:t xml:space="preserve">hung von Sprachen, die Gemeinsamkeiten und Ähnlichkeiten an den Tag legen, die auf </w:t>
      </w:r>
      <w:r>
        <w:rPr>
          <w:rStyle w:val="Bodytext2Italic0"/>
        </w:rPr>
        <w:t>Beeinflussung</w:t>
      </w:r>
      <w:r>
        <w:t xml:space="preserve"> zurück</w:t>
      </w:r>
      <w:r>
        <w:t>gehen. Diese Art von Beziehung kann u.a. bei manchen Sprachen nachgewiesen wer</w:t>
      </w:r>
      <w:r>
        <w:softHyphen/>
        <w:t>den, die nur weit entfernt oder sogar überhaupt nicht miteinan</w:t>
      </w:r>
      <w:r>
        <w:softHyphen/>
        <w:t>der genealogisch verwandt sind. Solche Gemeinsamkeiten brau</w:t>
      </w:r>
      <w:r>
        <w:softHyphen/>
        <w:t>chen sich keineswegs auf den Wortschatz zu beschränken</w:t>
      </w:r>
      <w:r>
        <w:t>. Beein</w:t>
      </w:r>
      <w:r>
        <w:softHyphen/>
        <w:t>flussung kann auch Gebiete wie z.B. den Lautstand und den Satzbauplan betreffen. Es ist auch möglich, dass sogar gebundene Morpheme von einer Sprache in die andere übergehen können.</w:t>
      </w:r>
      <w:r>
        <w:rPr>
          <w:vertAlign w:val="superscript"/>
        </w:rPr>
        <w:footnoteReference w:id="100"/>
      </w:r>
    </w:p>
    <w:p w:rsidR="00BB7EDA" w:rsidRDefault="007D72B3">
      <w:pPr>
        <w:pStyle w:val="Bodytext20"/>
        <w:shd w:val="clear" w:color="auto" w:fill="auto"/>
        <w:spacing w:before="0" w:line="226" w:lineRule="exact"/>
      </w:pPr>
      <w:r>
        <w:t>Diese Art der Beeinflussung kann so weit gehen, dass gewisse Ling</w:t>
      </w:r>
      <w:r>
        <w:t xml:space="preserve">uisten in der Vergangenheit überzogen meinten, schließlich sogar von einer </w:t>
      </w:r>
      <w:r>
        <w:rPr>
          <w:rStyle w:val="Bodytext2Italic0"/>
        </w:rPr>
        <w:t>Mischsprache</w:t>
      </w:r>
      <w:r>
        <w:t xml:space="preserve"> reden zu müssen. Kulturelle Sprach</w:t>
      </w:r>
      <w:r>
        <w:softHyphen/>
        <w:t>verwandtschaft ist verschiedentlich feststellbar bei Sprachen, die in räumlicher Nachbarschaft stehen und wo die Sprachgruppen untere</w:t>
      </w:r>
      <w:r>
        <w:t>inander kulturelle, religiöse, ökonomische, politische und gesellschaftliche Beziehungen gepflegt haben. Dies ist z.B. bei den Balkansprachen der Fall,</w:t>
      </w:r>
      <w:r>
        <w:rPr>
          <w:vertAlign w:val="superscript"/>
        </w:rPr>
        <w:footnoteReference w:id="101"/>
      </w:r>
      <w:r>
        <w:t xml:space="preserve"> sowie auch bei den großen west</w:t>
      </w:r>
      <w:r>
        <w:softHyphen/>
        <w:t>europäischen Sprachen wie Deutsch, Französisch, Englisch und Italienisch</w:t>
      </w:r>
      <w:r>
        <w:t>.</w:t>
      </w:r>
      <w:r>
        <w:rPr>
          <w:vertAlign w:val="superscript"/>
        </w:rPr>
        <w:footnoteReference w:id="102"/>
      </w:r>
    </w:p>
    <w:p w:rsidR="00BB7EDA" w:rsidRDefault="007D72B3">
      <w:pPr>
        <w:pStyle w:val="Bodytext20"/>
        <w:shd w:val="clear" w:color="auto" w:fill="auto"/>
        <w:spacing w:before="0" w:line="226" w:lineRule="exact"/>
        <w:ind w:firstLine="320"/>
      </w:pPr>
      <w:r>
        <w:t>Hier noch eine weitere Illustration zu diesem Sachverhalt aus Afrika: Das als semitische Volkssprache in weiten Gebieten Äthio</w:t>
      </w:r>
      <w:r>
        <w:softHyphen/>
        <w:t>piens gesprochene Amharisch hat sich der afrikanischen Umwelt massiv angepasst. Die wirklich semitischen Worte sind oft kaum m</w:t>
      </w:r>
      <w:r>
        <w:t>ehr erkennbar, weil diese Sprache sich lautlich dermaßen verän</w:t>
      </w:r>
      <w:r>
        <w:softHyphen/>
        <w:t>dert hat. Der Wortschatz stammt zu einem bedeutenden Teil aus nichtsemitischen afrikanischen Quellen.</w:t>
      </w:r>
      <w:r>
        <w:rPr>
          <w:vertAlign w:val="superscript"/>
        </w:rPr>
        <w:footnoteReference w:id="103"/>
      </w:r>
    </w:p>
    <w:p w:rsidR="00BB7EDA" w:rsidRDefault="007D72B3">
      <w:pPr>
        <w:pStyle w:val="Bodytext20"/>
        <w:shd w:val="clear" w:color="auto" w:fill="auto"/>
        <w:spacing w:before="0" w:line="226" w:lineRule="exact"/>
        <w:ind w:firstLine="320"/>
      </w:pPr>
      <w:r>
        <w:t>Auch das Jiddische ist ein weiteres bemerkenswertes Beispiel. Ist Jiddisch eine indogerman</w:t>
      </w:r>
      <w:r>
        <w:t>ische oder eine semitische Sprache? Es handelt sich klar um eine indogermanische Sprache. Diese wichtig</w:t>
      </w:r>
      <w:r>
        <w:softHyphen/>
        <w:t>ste Volkssprache der askenasischen Juden von Ost- und Westeuro</w:t>
      </w:r>
      <w:r>
        <w:softHyphen/>
        <w:t xml:space="preserve">pa ist eine Anpassung mittelhochdeutscher Dialekte aus der Zeit des 9.-12. Jahrhunderts. </w:t>
      </w:r>
      <w:r>
        <w:t>Sie wird mit hebräischen Buchstaben ge</w:t>
      </w:r>
      <w:r>
        <w:softHyphen/>
        <w:t>schrieben. Das Vokabular umfasst neben hauptsächlich deutschen sehr viele hebräische und slawische Wörter. Es bestehen auch vom Slawischen beeinflusste grammatische Züge.</w:t>
      </w:r>
      <w:r>
        <w:rPr>
          <w:vertAlign w:val="superscript"/>
        </w:rPr>
        <w:footnoteReference w:id="104"/>
      </w:r>
    </w:p>
    <w:p w:rsidR="00BB7EDA" w:rsidRDefault="007D72B3">
      <w:pPr>
        <w:pStyle w:val="Bodytext100"/>
        <w:numPr>
          <w:ilvl w:val="0"/>
          <w:numId w:val="69"/>
        </w:numPr>
        <w:shd w:val="clear" w:color="auto" w:fill="auto"/>
        <w:tabs>
          <w:tab w:val="left" w:pos="668"/>
        </w:tabs>
        <w:spacing w:before="0"/>
        <w:ind w:firstLine="0"/>
        <w:jc w:val="left"/>
      </w:pPr>
      <w:r>
        <w:t>Vokabular-Ähnlichkeiten - kein Beweis für gem</w:t>
      </w:r>
      <w:r>
        <w:t>einsame Abstammung</w:t>
      </w:r>
    </w:p>
    <w:p w:rsidR="00BB7EDA" w:rsidRDefault="007D72B3">
      <w:pPr>
        <w:pStyle w:val="Bodytext20"/>
        <w:shd w:val="clear" w:color="auto" w:fill="auto"/>
        <w:spacing w:before="0" w:line="226" w:lineRule="exact"/>
      </w:pPr>
      <w:r>
        <w:t>An dieser Stelle möchte ich noch betonen, dass gerade Verwandt</w:t>
      </w:r>
      <w:r>
        <w:softHyphen/>
        <w:t>schaften im Vokabular bestimmter Sprachen gar nicht geeignet sind, um eine gemeinsame Abstammung nachzuweisen. Wörter werden sehr leicht von einer Sprache in die andere trans</w:t>
      </w:r>
      <w:r>
        <w:t>feriert. Dabei kommt es überhaupt nicht darauf an, ob die betreffenden Sprachen sich von der Struktur her nahe stehen oder nicht.</w:t>
      </w:r>
      <w:r>
        <w:rPr>
          <w:vertAlign w:val="superscript"/>
        </w:rPr>
        <w:footnoteReference w:id="105"/>
      </w:r>
      <w:r>
        <w:rPr>
          <w:vertAlign w:val="superscript"/>
        </w:rPr>
        <w:t xml:space="preserve"> </w:t>
      </w:r>
      <w:r>
        <w:t>Genealogische Verwandtschaft muss im Zusammenhang mit der ganzen Breite der Sprachsysteme nachgewiesen werden, d.h. unter vol</w:t>
      </w:r>
      <w:r>
        <w:t>lumfänglicher Berücksichtigung der vier Ebenen der Langue, nämlich der Phonologie, der Morphologie, der Syntax und der Semantik.</w:t>
      </w:r>
    </w:p>
    <w:p w:rsidR="00BB7EDA" w:rsidRDefault="007D72B3">
      <w:pPr>
        <w:pStyle w:val="Bodytext20"/>
        <w:shd w:val="clear" w:color="auto" w:fill="auto"/>
        <w:spacing w:before="0" w:line="226" w:lineRule="exact"/>
        <w:ind w:firstLine="320"/>
      </w:pPr>
      <w:r>
        <w:t>Sprachen verschiedener Sprachstämme zeigen entweder kei</w:t>
      </w:r>
      <w:r>
        <w:softHyphen/>
        <w:t>nerlei Anzeichen von Verwandtschaft auf, oder die diskutablen Bezüge si</w:t>
      </w:r>
      <w:r>
        <w:t>nd dermaßen gering und unklar, dass die Annahme eines gemeinsamen Ursprungs im allerhöchsten Grad fragwür</w:t>
      </w:r>
      <w:r>
        <w:softHyphen/>
        <w:t>dig ist. Findet man ähnliche Wörter in verschiedenen Sprach- stämmen, so ist dies noch überhaupt kein Beweis für genealogi</w:t>
      </w:r>
      <w:r>
        <w:softHyphen/>
        <w:t>sche Verwandtschaft. Wir ha</w:t>
      </w:r>
      <w:r>
        <w:t>ben gesehen, wie leicht insbesonde</w:t>
      </w:r>
      <w:r>
        <w:softHyphen/>
        <w:t>re Wörter von einer Sprache in die andere hinüberfließen können, selbst wenn die Sprachen überhaupt keine abstammungsmäßige Beziehung haben.</w:t>
      </w:r>
    </w:p>
    <w:p w:rsidR="00BB7EDA" w:rsidRDefault="007D72B3">
      <w:pPr>
        <w:pStyle w:val="Bodytext20"/>
        <w:shd w:val="clear" w:color="auto" w:fill="auto"/>
        <w:spacing w:before="0" w:line="226" w:lineRule="exact"/>
        <w:ind w:firstLine="320"/>
      </w:pPr>
      <w:r>
        <w:t>Es ist übrigens auch möglich, dass Wörter verschiedener Spra</w:t>
      </w:r>
      <w:r>
        <w:softHyphen/>
        <w:t>chen zum heutigen Z</w:t>
      </w:r>
      <w:r>
        <w:t>eitpunkt einen ähnlichen Klang und eine ähnliche Bedeutung aufweisen und dabei dennoch offensichtlich nicht miteinander verwandt sind. Dies wird dann deutlich, wenn die lautgeschichtlichen Veränderungen mit einbezogen werden. Dann kann offenbar werden, das</w:t>
      </w:r>
      <w:r>
        <w:t>s die scheinbar ähnlichen Wörter zur Zeit zufällig ähnlich klingen, jedoch in sprachgeschichtlicher</w:t>
      </w:r>
    </w:p>
    <w:p w:rsidR="00BB7EDA" w:rsidRDefault="007D72B3">
      <w:pPr>
        <w:pStyle w:val="Bodytext20"/>
        <w:shd w:val="clear" w:color="auto" w:fill="auto"/>
        <w:spacing w:before="0" w:after="124"/>
      </w:pPr>
      <w:r>
        <w:t>Vergangenheit deutlich verschiedene Klangkörper aufwiesen. Wir kommen auf diesen Punkt weiter unten nochmals ausführlicher zurück.</w:t>
      </w:r>
    </w:p>
    <w:p w:rsidR="00BB7EDA" w:rsidRDefault="007D72B3">
      <w:pPr>
        <w:pStyle w:val="Bodytext100"/>
        <w:numPr>
          <w:ilvl w:val="0"/>
          <w:numId w:val="70"/>
        </w:numPr>
        <w:shd w:val="clear" w:color="auto" w:fill="auto"/>
        <w:tabs>
          <w:tab w:val="left" w:pos="658"/>
        </w:tabs>
        <w:spacing w:before="0"/>
        <w:ind w:firstLine="0"/>
      </w:pPr>
      <w:r>
        <w:t>Zur Größe der Sprachstämm</w:t>
      </w:r>
      <w:r>
        <w:t>e</w:t>
      </w:r>
    </w:p>
    <w:p w:rsidR="00BB7EDA" w:rsidRDefault="007D72B3">
      <w:pPr>
        <w:pStyle w:val="Bodytext20"/>
        <w:shd w:val="clear" w:color="auto" w:fill="auto"/>
        <w:spacing w:before="0" w:line="226" w:lineRule="exact"/>
      </w:pPr>
      <w:r>
        <w:t>Es ist möglich, eine ganze Reihe verschiedener Sprachstämme zu unterscheiden. Sie sind ganz unterschiedlich groß. Es gibt riesige Sprachstämme, die Hunderte von Sprachen umfassen wie z.B. das Indogermanische. Heute sprechen etwa 50% der Menschen eine ind</w:t>
      </w:r>
      <w:r>
        <w:t>ogermanische Sprache als Muttersprache.</w:t>
      </w:r>
    </w:p>
    <w:p w:rsidR="00BB7EDA" w:rsidRDefault="007D72B3">
      <w:pPr>
        <w:pStyle w:val="Bodytext20"/>
        <w:shd w:val="clear" w:color="auto" w:fill="auto"/>
        <w:spacing w:before="0" w:line="226" w:lineRule="exact"/>
        <w:ind w:firstLine="360"/>
      </w:pPr>
      <w:r>
        <w:t xml:space="preserve">Es gibt aber auch Fälle, wo ein Sprachstamm nur gerade </w:t>
      </w:r>
      <w:r>
        <w:rPr>
          <w:rStyle w:val="Bodytext2Italic0"/>
        </w:rPr>
        <w:t>eine</w:t>
      </w:r>
      <w:r>
        <w:t xml:space="preserve"> heute bekannte Sprache umfasst. Das auf beiden Seiten der Pyrenäen in Spanien und in Frankreich gesprochene Baskisch z.B. besitzt wenig klare Verwandtschaft</w:t>
      </w:r>
      <w:r>
        <w:t>sbezüge zu anderen Sprachen der Welt und steht daher gewissermaßen ziemlich isoliert da. Es gibt allerdings Linguisten, die eine Verwandtschaft mit den kaukasischen Sprachen vermuten, doch diese Ansicht ist zur Zeit nicht allgemein akzeptiert.</w:t>
      </w:r>
    </w:p>
    <w:p w:rsidR="00BB7EDA" w:rsidRDefault="007D72B3">
      <w:pPr>
        <w:pStyle w:val="Bodytext20"/>
        <w:shd w:val="clear" w:color="auto" w:fill="auto"/>
        <w:spacing w:before="0" w:line="226" w:lineRule="exact"/>
        <w:ind w:firstLine="360"/>
      </w:pPr>
      <w:r>
        <w:t>Ein weiteres</w:t>
      </w:r>
      <w:r>
        <w:t xml:space="preserve"> Beispiel ist das Sumerische, das allerdings eine ausgestorbene Sprache ist. Es scheint mit keiner uns bekannten Sprache verwandt zu sein.</w:t>
      </w:r>
    </w:p>
    <w:p w:rsidR="00BB7EDA" w:rsidRDefault="007D72B3">
      <w:pPr>
        <w:pStyle w:val="Bodytext20"/>
        <w:shd w:val="clear" w:color="auto" w:fill="auto"/>
        <w:spacing w:before="0" w:after="120" w:line="226" w:lineRule="exact"/>
        <w:ind w:firstLine="360"/>
      </w:pPr>
      <w:r>
        <w:t xml:space="preserve">Bezüglich der Einteilung der Sprachen ist allerdings noch lange nicht überall das letzte Wort gesprochen worden. Bei </w:t>
      </w:r>
      <w:r>
        <w:t>der Fülle an Sprachen gibt es noch unermesslich viel Forschungsarbeit zu leisten. Doch die Einsicht, dass die zahlreichen Sprachen der Welt prinzipi</w:t>
      </w:r>
      <w:r>
        <w:softHyphen/>
        <w:t xml:space="preserve">ell in Stämme eingeteilt werden müssen und daher letztlich, von der linguistischen Evidenz her, </w:t>
      </w:r>
      <w:r>
        <w:rPr>
          <w:rStyle w:val="Bodytext2Italic0"/>
        </w:rPr>
        <w:t>nicht auf e</w:t>
      </w:r>
      <w:r>
        <w:rPr>
          <w:rStyle w:val="Bodytext2Italic0"/>
        </w:rPr>
        <w:t>ine einzige Ursprache zurückge</w:t>
      </w:r>
      <w:r>
        <w:rPr>
          <w:rStyle w:val="Bodytext2Italic0"/>
        </w:rPr>
        <w:softHyphen/>
        <w:t>führt werden können,</w:t>
      </w:r>
      <w:r>
        <w:t xml:space="preserve"> ist sehr beachtenswert. Das einzig linguistisch Verantwortbare ist eine Rückführung all der über 6.000 heute ge</w:t>
      </w:r>
      <w:r>
        <w:softHyphen/>
        <w:t xml:space="preserve">sprochenen Sprachen der Welt </w:t>
      </w:r>
      <w:r>
        <w:rPr>
          <w:rStyle w:val="Bodytext2Italic0"/>
        </w:rPr>
        <w:t>auf einige Dutzend Proto-Sprachen.</w:t>
      </w:r>
    </w:p>
    <w:p w:rsidR="00BB7EDA" w:rsidRDefault="007D72B3">
      <w:pPr>
        <w:pStyle w:val="Bodytext100"/>
        <w:numPr>
          <w:ilvl w:val="0"/>
          <w:numId w:val="70"/>
        </w:numPr>
        <w:shd w:val="clear" w:color="auto" w:fill="auto"/>
        <w:tabs>
          <w:tab w:val="left" w:pos="673"/>
        </w:tabs>
        <w:spacing w:before="0"/>
        <w:ind w:firstLine="0"/>
      </w:pPr>
      <w:r>
        <w:t>Die Theorie der Monogenese</w:t>
      </w:r>
    </w:p>
    <w:p w:rsidR="00BB7EDA" w:rsidRDefault="007D72B3">
      <w:pPr>
        <w:pStyle w:val="Bodytext20"/>
        <w:shd w:val="clear" w:color="auto" w:fill="auto"/>
        <w:spacing w:before="0" w:line="226" w:lineRule="exact"/>
      </w:pPr>
      <w:r>
        <w:t>M</w:t>
      </w:r>
      <w:r>
        <w:t xml:space="preserve">it der so genannten </w:t>
      </w:r>
      <w:r>
        <w:rPr>
          <w:rStyle w:val="Bodytext2Italic0"/>
        </w:rPr>
        <w:t>Theorie der Monogenese</w:t>
      </w:r>
      <w:r>
        <w:rPr>
          <w:vertAlign w:val="superscript"/>
        </w:rPr>
        <w:t>121</w:t>
      </w:r>
      <w:r>
        <w:t xml:space="preserve"> stößt man mit folgen</w:t>
      </w:r>
      <w:r>
        <w:softHyphen/>
        <w:t xml:space="preserve">der Tatsache auf ein Problem: Es ist ein Faktum, dass man die Sprachen der Welt prinzipiell in </w:t>
      </w:r>
      <w:r>
        <w:rPr>
          <w:rStyle w:val="Bodytext2Italic0"/>
        </w:rPr>
        <w:t>verschiedene</w:t>
      </w:r>
      <w:r>
        <w:t xml:space="preserve"> Sprachstämme eintei</w:t>
      </w:r>
      <w:r>
        <w:softHyphen/>
        <w:t xml:space="preserve">len muss. Unter Berücksichtigung der gesamten Sprachsysteme </w:t>
      </w:r>
      <w:r>
        <w:t>und unter Anwendung von unzähligen Lautgesetzen, die in jahrzehnte</w:t>
      </w:r>
      <w:r>
        <w:softHyphen/>
        <w:t>langer empirischer Arbeit aufgestellt werden konnten, ist es mög</w:t>
      </w:r>
      <w:r>
        <w:softHyphen/>
        <w:t>lich, auf klar einleuchtende Art unter den Sprachen eines Sprach- stammes genealogische Verwandtschaftsbezüge aufzuzeigen. Z</w:t>
      </w:r>
      <w:r>
        <w:t xml:space="preserve">wi- </w:t>
      </w:r>
      <w:r>
        <w:rPr>
          <w:vertAlign w:val="superscript"/>
        </w:rPr>
        <w:footnoteReference w:id="106"/>
      </w:r>
      <w:r>
        <w:t xml:space="preserve"> sehen den Sprachen verschiedener Sprachstämme kann jedoch keine solche Verwandtschaftsbeziehung demonstriert werden.</w:t>
      </w:r>
    </w:p>
    <w:p w:rsidR="00BB7EDA" w:rsidRDefault="007D72B3">
      <w:pPr>
        <w:pStyle w:val="Bodytext20"/>
        <w:shd w:val="clear" w:color="auto" w:fill="auto"/>
        <w:spacing w:before="0" w:line="226" w:lineRule="exact"/>
        <w:ind w:firstLine="320"/>
      </w:pPr>
      <w:r>
        <w:t xml:space="preserve">Der Ansatz der Monogenese besagt jedoch, dass letztlich </w:t>
      </w:r>
      <w:r>
        <w:rPr>
          <w:rStyle w:val="Bodytext2Italic0"/>
        </w:rPr>
        <w:t xml:space="preserve">alle </w:t>
      </w:r>
      <w:r>
        <w:t>Sprachen der Welt, und nicht nur diejenigen eines bestimmten Sprachstamm</w:t>
      </w:r>
      <w:r>
        <w:t xml:space="preserve">es, auf </w:t>
      </w:r>
      <w:r>
        <w:rPr>
          <w:rStyle w:val="Bodytext2Italic0"/>
        </w:rPr>
        <w:t>eine</w:t>
      </w:r>
      <w:r>
        <w:t xml:space="preserve"> Ursprache zurückzuführen seien. Diese Ursprache sei - nach streng evolutionistischem Denken - im Zuge der Entwicklung des Menschen als Primatentier über die Homini</w:t>
      </w:r>
      <w:r>
        <w:softHyphen/>
        <w:t xml:space="preserve">den zum </w:t>
      </w:r>
      <w:r>
        <w:rPr>
          <w:rStyle w:val="Bodytext2Italic0"/>
        </w:rPr>
        <w:t>Homo sapiens</w:t>
      </w:r>
      <w:r>
        <w:t xml:space="preserve"> entstanden.</w:t>
      </w:r>
    </w:p>
    <w:p w:rsidR="00BB7EDA" w:rsidRDefault="007D72B3">
      <w:pPr>
        <w:pStyle w:val="Bodytext20"/>
        <w:shd w:val="clear" w:color="auto" w:fill="auto"/>
        <w:spacing w:before="0" w:line="226" w:lineRule="exact"/>
        <w:ind w:firstLine="320"/>
      </w:pPr>
      <w:r>
        <w:t>Leute, die meinen, sie könnten durch Vergleich</w:t>
      </w:r>
      <w:r>
        <w:t xml:space="preserve"> der heute be</w:t>
      </w:r>
      <w:r>
        <w:softHyphen/>
        <w:t>kannten Sprachen Spuren einer Ursprache zurückverfolgen, gelten unter den Linguisten im Allgemeinen als Extremisten. Ein promi</w:t>
      </w:r>
      <w:r>
        <w:softHyphen/>
        <w:t xml:space="preserve">nenter Vertreter dieses Standpunktes ist Merrit </w:t>
      </w:r>
      <w:r>
        <w:rPr>
          <w:rStyle w:val="Bodytext28ptSmallCaps"/>
        </w:rPr>
        <w:t xml:space="preserve">Ruhlen. </w:t>
      </w:r>
      <w:r>
        <w:t xml:space="preserve">Er glaubt z.B., dass das einsilbige Wort </w:t>
      </w:r>
      <w:r>
        <w:rPr>
          <w:rStyle w:val="Bodytext2Italic0"/>
        </w:rPr>
        <w:t>tik</w:t>
      </w:r>
      <w:r>
        <w:t xml:space="preserve"> unter den präh</w:t>
      </w:r>
      <w:r>
        <w:t>istorischen Homini</w:t>
      </w:r>
      <w:r>
        <w:softHyphen/>
        <w:t>den die Bezeichnung für „Finger" gewesen sei.</w:t>
      </w:r>
      <w:r>
        <w:rPr>
          <w:vertAlign w:val="superscript"/>
        </w:rPr>
        <w:footnoteReference w:id="107"/>
      </w:r>
      <w:r>
        <w:t xml:space="preserve"> Er arbeitet mit sehr wenigen Wörtern. Meistens handelt es sich um Vokabeln, die Kör</w:t>
      </w:r>
      <w:r>
        <w:softHyphen/>
        <w:t xml:space="preserve">perteile bezeichnen, ferner um Personalpronomina, eine Anzahl Adverbien sowie insbesondere um die Zahlen </w:t>
      </w:r>
      <w:r>
        <w:rPr>
          <w:rStyle w:val="Bodytext2Italic0"/>
        </w:rPr>
        <w:t>e</w:t>
      </w:r>
      <w:r>
        <w:rPr>
          <w:rStyle w:val="Bodytext2Italic0"/>
        </w:rPr>
        <w:t>ins, zwei, drei.</w:t>
      </w:r>
    </w:p>
    <w:p w:rsidR="00BB7EDA" w:rsidRDefault="007D72B3">
      <w:pPr>
        <w:pStyle w:val="Bodytext20"/>
        <w:shd w:val="clear" w:color="auto" w:fill="auto"/>
        <w:spacing w:before="0" w:line="226" w:lineRule="exact"/>
        <w:ind w:firstLine="320"/>
      </w:pPr>
      <w:r>
        <w:t>Es fällt auf, dass es sich bei einem auffällig hohen Prozentsatz dieser Ausdrücke insbesondere um Wörter handelt, die Eltern den Kleinkindern in der Frühphase ihrer sprachlichen Entwicklung bei- bringen.</w:t>
      </w:r>
      <w:r>
        <w:rPr>
          <w:vertAlign w:val="superscript"/>
        </w:rPr>
        <w:footnoteReference w:id="108"/>
      </w:r>
      <w:r>
        <w:t xml:space="preserve"> Bei solchen Ausdrücken überrascht </w:t>
      </w:r>
      <w:r>
        <w:t>es allerdings nicht, wenn sie in völlig verschiedenen, genealogisch nicht verwandten Sprachen, ähnlich klingen: Gerade solche Wörter werden von Klein</w:t>
      </w:r>
      <w:r>
        <w:softHyphen/>
        <w:t>kindern zuerst gelernt. Deshalb sind sie oftmals speziell der Kinder</w:t>
      </w:r>
      <w:r>
        <w:softHyphen/>
        <w:t>sprache angepasst. Die Mutter lehrt i</w:t>
      </w:r>
      <w:r>
        <w:t>hrem Kind z.B. auf dem Wickel</w:t>
      </w:r>
      <w:r>
        <w:softHyphen/>
        <w:t xml:space="preserve">tisch: </w:t>
      </w:r>
      <w:r>
        <w:rPr>
          <w:rStyle w:val="Bodytext2Italic0"/>
        </w:rPr>
        <w:t>Augen, Mund, Nase</w:t>
      </w:r>
      <w:r>
        <w:t xml:space="preserve"> etc. In diese Kategorie gehören z.B. auch Wörter wie </w:t>
      </w:r>
      <w:r>
        <w:rPr>
          <w:rStyle w:val="Bodytext2Italic0"/>
        </w:rPr>
        <w:t>Papa</w:t>
      </w:r>
      <w:r>
        <w:t xml:space="preserve"> und </w:t>
      </w:r>
      <w:r>
        <w:rPr>
          <w:rStyle w:val="Bodytext2Italic0"/>
        </w:rPr>
        <w:t>Mama.</w:t>
      </w:r>
      <w:r>
        <w:t xml:space="preserve"> Bei solchen Wörtern kann man leicht weltweit frappante Parallelen finden.</w:t>
      </w:r>
      <w:r>
        <w:rPr>
          <w:vertAlign w:val="superscript"/>
        </w:rPr>
        <w:footnoteReference w:id="109"/>
      </w:r>
      <w:r>
        <w:t xml:space="preserve"> Die Konsonanten </w:t>
      </w:r>
      <w:r>
        <w:rPr>
          <w:rStyle w:val="Bodytext2Italic0"/>
        </w:rPr>
        <w:t>p</w:t>
      </w:r>
      <w:r>
        <w:t xml:space="preserve"> und </w:t>
      </w:r>
      <w:r>
        <w:rPr>
          <w:rStyle w:val="Bodytext2Italic0"/>
        </w:rPr>
        <w:t xml:space="preserve">m </w:t>
      </w:r>
      <w:r>
        <w:t>sind mit den Lippen gebildete Laut</w:t>
      </w:r>
      <w:r>
        <w:t>e (Labiallaute), die Kleinkinder in allerfrühster Phase verbunden mit einem Vokal repetierend beson</w:t>
      </w:r>
      <w:r>
        <w:softHyphen/>
        <w:t xml:space="preserve">ders gut stammeln können (z.B. </w:t>
      </w:r>
      <w:r>
        <w:rPr>
          <w:rStyle w:val="Bodytext2Italic0"/>
        </w:rPr>
        <w:t>mamamamama...).</w:t>
      </w:r>
      <w:r>
        <w:t xml:space="preserve"> Solche und ähnli</w:t>
      </w:r>
      <w:r>
        <w:softHyphen/>
        <w:t>che Wörter braucht man gar nicht zwingend auf Urwurzeln zurück</w:t>
      </w:r>
      <w:r>
        <w:softHyphen/>
        <w:t>zuführen. Man kann viele davo</w:t>
      </w:r>
      <w:r>
        <w:t>n auch einfach durch die Beschaffen</w:t>
      </w:r>
      <w:r>
        <w:softHyphen/>
        <w:t>heit des menschlichen Sprechapparates in Verbindung mit dessen Entfaltung bei der kleinkindlichen Entwicklung erklären. Es handelt sich hier um sprachliche Universalien, die nichts mit Abstammung, sondern vielmehr mit de</w:t>
      </w:r>
      <w:r>
        <w:t>r Beschaffenheit des Menschen schlechthin zu tun haben. Ab etwa 8 Monaten fangen Babys an, deutlich Silben auszusprechen, und zwar solche, die mit den fol-genden Konsonan</w:t>
      </w:r>
      <w:r>
        <w:softHyphen/>
        <w:t xml:space="preserve">ten beginnen: </w:t>
      </w:r>
      <w:r>
        <w:rPr>
          <w:rStyle w:val="Bodytext2Italic0"/>
        </w:rPr>
        <w:t>m,p/b,n</w:t>
      </w:r>
      <w:r>
        <w:t xml:space="preserve"> und </w:t>
      </w:r>
      <w:r>
        <w:rPr>
          <w:rStyle w:val="Bodytext2Italic0"/>
        </w:rPr>
        <w:t>t/d.</w:t>
      </w:r>
      <w:r>
        <w:rPr>
          <w:rStyle w:val="Bodytext2Italic0"/>
          <w:vertAlign w:val="superscript"/>
        </w:rPr>
        <w:footnoteReference w:id="110"/>
      </w:r>
      <w:r>
        <w:rPr>
          <w:rStyle w:val="Bodytext2Italic0"/>
          <w:vertAlign w:val="superscript"/>
        </w:rPr>
        <w:t xml:space="preserve"> </w:t>
      </w:r>
      <w:r>
        <w:rPr>
          <w:rStyle w:val="Bodytext2Italic0"/>
          <w:vertAlign w:val="superscript"/>
        </w:rPr>
        <w:footnoteReference w:id="111"/>
      </w:r>
      <w:r>
        <w:t xml:space="preserve"> Daher äußern Ba-bys, bedingt durch d ie Entwicklung</w:t>
      </w:r>
      <w:r>
        <w:t xml:space="preserve"> ihrer Sprechfähigkeit, zunächst Lautkörper wie </w:t>
      </w:r>
      <w:r>
        <w:rPr>
          <w:rStyle w:val="Bodytext2Italic0"/>
        </w:rPr>
        <w:t>mama, baba, papa, nana, tata, dada, me, ni, tu, ta.</w:t>
      </w:r>
      <w:r>
        <w:rPr>
          <w:rStyle w:val="Bodytext2Italic0"/>
          <w:vertAlign w:val="superscript"/>
        </w:rPr>
        <w:t>U6</w:t>
      </w:r>
    </w:p>
    <w:p w:rsidR="00BB7EDA" w:rsidRDefault="007D72B3">
      <w:pPr>
        <w:pStyle w:val="Bodytext20"/>
        <w:shd w:val="clear" w:color="auto" w:fill="auto"/>
        <w:spacing w:before="0" w:line="226" w:lineRule="exact"/>
        <w:ind w:firstLine="320"/>
      </w:pPr>
      <w:r>
        <w:t>In diesem Zusammenhang muss auch auf die Möglichkeit zufäl</w:t>
      </w:r>
      <w:r>
        <w:softHyphen/>
        <w:t>liger Ähnlichkeit, die nichts mit Beeinflussung oder Abstammung zu tun haben, hingewiesen werde</w:t>
      </w:r>
      <w:r>
        <w:t xml:space="preserve">n: Das Wort für „Hund" lautet heute auf Mbabaram, einer Aborigines-Sprache in Australien </w:t>
      </w:r>
      <w:r>
        <w:rPr>
          <w:rStyle w:val="Bodytext2Italic0"/>
        </w:rPr>
        <w:t xml:space="preserve">dog. </w:t>
      </w:r>
      <w:r>
        <w:t>Das klingt ja wie Englisch! Doch gemäß völlig regulären Sprach- veränderungen im Mbabaram, kann man dieses Wort auf die rekon</w:t>
      </w:r>
      <w:r>
        <w:softHyphen/>
        <w:t xml:space="preserve">struierte Vollform </w:t>
      </w:r>
      <w:r>
        <w:rPr>
          <w:rStyle w:val="Bodytext2Italic0"/>
        </w:rPr>
        <w:t>gudaga</w:t>
      </w:r>
      <w:r>
        <w:t xml:space="preserve"> zurückführ</w:t>
      </w:r>
      <w:r>
        <w:t xml:space="preserve">en, sodass man nicht einmal annehmen müsste, dass diese Eingeborenen sich das Wort </w:t>
      </w:r>
      <w:r>
        <w:rPr>
          <w:rStyle w:val="Bodytext2Italic0"/>
        </w:rPr>
        <w:t>dog</w:t>
      </w:r>
      <w:r>
        <w:t xml:space="preserve"> aus dem Englischen geborgt haben.</w:t>
      </w:r>
      <w:r>
        <w:rPr>
          <w:vertAlign w:val="superscript"/>
        </w:rPr>
        <w:footnoteReference w:id="112"/>
      </w:r>
    </w:p>
    <w:p w:rsidR="00BB7EDA" w:rsidRDefault="007D72B3">
      <w:pPr>
        <w:pStyle w:val="Bodytext20"/>
        <w:shd w:val="clear" w:color="auto" w:fill="auto"/>
        <w:spacing w:before="0" w:after="176" w:line="226" w:lineRule="exact"/>
        <w:ind w:firstLine="320"/>
      </w:pPr>
      <w:r>
        <w:t>Die Meinung, man könne die Theorie der Monogenese sprachwis</w:t>
      </w:r>
      <w:r>
        <w:softHyphen/>
        <w:t>senschaftlich nachvollziehen, wird unter Linguisten im Allgemeinen nicht a</w:t>
      </w:r>
      <w:r>
        <w:t>kzeptiert. Dies ist auch verständlich: Die Argumente dafür sind derart dürftig und ungemein spekulativ. Sie basi iren hauptsächlich auf Vokabularvergleiche, zumeist unter völliger Vernachlässigung der anderen Aspekte der sprachlichen Code-Systeme.</w:t>
      </w:r>
    </w:p>
    <w:p w:rsidR="00BB7EDA" w:rsidRDefault="007D72B3">
      <w:pPr>
        <w:pStyle w:val="Bodytext100"/>
        <w:numPr>
          <w:ilvl w:val="0"/>
          <w:numId w:val="70"/>
        </w:numPr>
        <w:shd w:val="clear" w:color="auto" w:fill="auto"/>
        <w:tabs>
          <w:tab w:val="left" w:pos="658"/>
        </w:tabs>
        <w:spacing w:before="0" w:line="230" w:lineRule="exact"/>
        <w:ind w:firstLine="0"/>
      </w:pPr>
      <w:r>
        <w:t xml:space="preserve">Gibt es </w:t>
      </w:r>
      <w:r>
        <w:t>„Supersprachstämme"?</w:t>
      </w:r>
    </w:p>
    <w:p w:rsidR="00BB7EDA" w:rsidRDefault="007D72B3">
      <w:pPr>
        <w:pStyle w:val="Bodytext20"/>
        <w:shd w:val="clear" w:color="auto" w:fill="auto"/>
        <w:spacing w:before="0"/>
      </w:pPr>
      <w:r>
        <w:t xml:space="preserve">Weniger extrem als die Versuche von </w:t>
      </w:r>
      <w:r>
        <w:rPr>
          <w:rStyle w:val="Bodytext28ptSmallCaps"/>
        </w:rPr>
        <w:t xml:space="preserve">Ruhlen, </w:t>
      </w:r>
      <w:r>
        <w:t>aber dennoch sehr umstritten, sind die Versuche, zwar nicht alle, jedoch mehrere Sprach-</w:t>
      </w:r>
    </w:p>
    <w:p w:rsidR="00BB7EDA" w:rsidRDefault="007D72B3">
      <w:pPr>
        <w:pStyle w:val="Bodytext20"/>
        <w:shd w:val="clear" w:color="auto" w:fill="auto"/>
        <w:spacing w:before="0"/>
      </w:pPr>
      <w:r>
        <w:t>Stämme zu einem „Supersprachstamm" zusammenzufassen, wo</w:t>
      </w:r>
      <w:r>
        <w:softHyphen/>
      </w:r>
      <w:r>
        <w:t xml:space="preserve">durch die Zahl der Ursprachen reduziert werden könnte. In diesem Zusammenhang sind insbesondere die Namen Aaron B. </w:t>
      </w:r>
      <w:r>
        <w:rPr>
          <w:rStyle w:val="Bodytext28ptBoldSmallCaps"/>
        </w:rPr>
        <w:t xml:space="preserve">Dolgopolsky </w:t>
      </w:r>
      <w:r>
        <w:t xml:space="preserve">(Universität Haifa) und Joseph H. </w:t>
      </w:r>
      <w:r>
        <w:rPr>
          <w:rStyle w:val="Bodytext28ptBoldSmallCaps"/>
        </w:rPr>
        <w:t xml:space="preserve">Greenberg </w:t>
      </w:r>
      <w:r>
        <w:t>(Stanford University) zu nennen.</w:t>
      </w:r>
      <w:r>
        <w:rPr>
          <w:vertAlign w:val="superscript"/>
        </w:rPr>
        <w:footnoteReference w:id="113"/>
      </w:r>
    </w:p>
    <w:p w:rsidR="00BB7EDA" w:rsidRDefault="007D72B3">
      <w:pPr>
        <w:pStyle w:val="Bodytext20"/>
        <w:shd w:val="clear" w:color="auto" w:fill="auto"/>
        <w:spacing w:before="0" w:after="184"/>
        <w:ind w:firstLine="340"/>
      </w:pPr>
      <w:r>
        <w:t xml:space="preserve">Im Blick auf den Versuch, z.B. die hamito-semitischen Sprachen zusammen mit den indoeuropäischen in einem Supersprachstamm zu vereinen, wird in der von Sabatino </w:t>
      </w:r>
      <w:r>
        <w:rPr>
          <w:rStyle w:val="Bodytext28ptBoldSmallCaps"/>
        </w:rPr>
        <w:t xml:space="preserve">Moscati </w:t>
      </w:r>
      <w:r>
        <w:t>herausgegebenen sehr bedeutenden komparativen Grammatik wie folgt Stellung ge</w:t>
      </w:r>
      <w:r>
        <w:softHyphen/>
        <w:t>nommen:</w:t>
      </w:r>
    </w:p>
    <w:p w:rsidR="00BB7EDA" w:rsidRDefault="007D72B3">
      <w:pPr>
        <w:pStyle w:val="Bodytext20"/>
        <w:shd w:val="clear" w:color="auto" w:fill="auto"/>
        <w:spacing w:before="0" w:line="226" w:lineRule="exact"/>
        <w:ind w:left="340" w:right="320"/>
      </w:pPr>
      <w:r>
        <w:t>„</w:t>
      </w:r>
      <w:r>
        <w:t>Einige wenige Kontaktpunkte zwischen den hamito-semi</w:t>
      </w:r>
      <w:r>
        <w:softHyphen/>
        <w:t>tischen und den indoeuropäischen Sprachen sind seit lan</w:t>
      </w:r>
      <w:r>
        <w:softHyphen/>
        <w:t>gem beobachtet worden. Im Allgemeinen sind diese von phonologischer und insbesondere lexikalischer Art. Sie ha</w:t>
      </w:r>
      <w:r>
        <w:softHyphen/>
        <w:t>ben zur Entstehung der Hypothese ein</w:t>
      </w:r>
      <w:r>
        <w:t xml:space="preserve">es ,Ario-Semitisch' </w:t>
      </w:r>
      <w:r>
        <w:rPr>
          <w:rStyle w:val="Bodytext28ptBoldSmallCaps"/>
        </w:rPr>
        <w:t xml:space="preserve">(Ascoli) </w:t>
      </w:r>
      <w:r>
        <w:t xml:space="preserve">oder ,Nostratisch' </w:t>
      </w:r>
      <w:r>
        <w:rPr>
          <w:rStyle w:val="Bodytext28ptBoldSmallCaps"/>
        </w:rPr>
        <w:t xml:space="preserve">(Pedersen, Cuny) </w:t>
      </w:r>
      <w:r>
        <w:t>genannten Sprachstammes geführt. Dieser Sprachstamm sei der Vor</w:t>
      </w:r>
      <w:r>
        <w:softHyphen/>
        <w:t>fahre des Hamito-Semitischen und des Indoeuropäischen. Solche Rückschlüsse sind allerdings extrem spekulativ, ins</w:t>
      </w:r>
      <w:r>
        <w:softHyphen/>
        <w:t>besondere wen</w:t>
      </w:r>
      <w:r>
        <w:t>n man die gewaltigen morphologischen Dis</w:t>
      </w:r>
      <w:r>
        <w:softHyphen/>
        <w:t>krepanzen zwischen diesen beiden Gruppen berücksichtigt, obwohl ihre Flexionsstrukturen Gemeinsamkeiten aufwei</w:t>
      </w:r>
      <w:r>
        <w:softHyphen/>
        <w:t>sen. Eine fundiertere Erklärung dafür sollte in der Tatsache ihrer gemeinsamen mediterranen Region gesuc</w:t>
      </w:r>
      <w:r>
        <w:t>ht werden (besonders, was die lexikalen Elemente anbetrifft) sowie in der Tatsc che ihrer andauernden geschichtlichen Kontakte und Einflüsse (die in Anatolien und im östlichen Mittel</w:t>
      </w:r>
      <w:r>
        <w:softHyphen/>
        <w:t>meergebiet besonders markant waren). Solche begrenzten Verbindungsglieder</w:t>
      </w:r>
      <w:r>
        <w:t xml:space="preserve"> wie sie zwischen dem Indoeuropäischen und dem Hamito-Semitischen bestehen, sollten daher nicht als ein Erbe einer gemeinsamen Abstammung betrachtet werden, sondern vielmehr als eine gelegentliche Übernah</w:t>
      </w:r>
      <w:r>
        <w:softHyphen/>
        <w:t>me von gleichen sprachlichen Merkmalen, die mit der</w:t>
      </w:r>
      <w:r>
        <w:t xml:space="preserve"> geo</w:t>
      </w:r>
      <w:r>
        <w:softHyphen/>
        <w:t>graphischen Nähe der beiden Gruppen und gewisser ge</w:t>
      </w:r>
      <w:r>
        <w:softHyphen/>
        <w:t>schichtlicher Kontakte zwischen den beiden Zusammenhän</w:t>
      </w:r>
      <w:r>
        <w:softHyphen/>
        <w:t>gen."</w:t>
      </w:r>
      <w:r>
        <w:rPr>
          <w:vertAlign w:val="superscript"/>
        </w:rPr>
        <w:footnoteReference w:id="114"/>
      </w:r>
    </w:p>
    <w:p w:rsidR="00BB7EDA" w:rsidRDefault="007D72B3">
      <w:pPr>
        <w:pStyle w:val="Bodytext100"/>
        <w:numPr>
          <w:ilvl w:val="0"/>
          <w:numId w:val="70"/>
        </w:numPr>
        <w:shd w:val="clear" w:color="auto" w:fill="auto"/>
        <w:tabs>
          <w:tab w:val="left" w:pos="658"/>
        </w:tabs>
        <w:spacing w:before="0" w:line="230" w:lineRule="exact"/>
        <w:ind w:firstLine="0"/>
      </w:pPr>
      <w:r>
        <w:t>Sprachfamilien</w:t>
      </w:r>
    </w:p>
    <w:p w:rsidR="00BB7EDA" w:rsidRDefault="007D72B3">
      <w:pPr>
        <w:pStyle w:val="Bodytext20"/>
        <w:shd w:val="clear" w:color="auto" w:fill="auto"/>
        <w:spacing w:before="0"/>
      </w:pPr>
      <w:r>
        <w:t xml:space="preserve">Innerhalb eines Sprachstammes macht man weitere Einteilungen, indem besonders eng verwandte Sprachen zu </w:t>
      </w:r>
      <w:r>
        <w:rPr>
          <w:rStyle w:val="Bodytext2Italic0"/>
        </w:rPr>
        <w:t xml:space="preserve">Sprachfamilien </w:t>
      </w:r>
      <w:r>
        <w:t>zus</w:t>
      </w:r>
      <w:r>
        <w:t>ammengefasst werden. So bilden z.B. innerhalb des Indogerma</w:t>
      </w:r>
      <w:r>
        <w:softHyphen/>
        <w:t>nischen die romanischen, die germanischen und die slawischen Sprachen etc. je eine Sprachfamilie.</w:t>
      </w:r>
    </w:p>
    <w:p w:rsidR="00BB7EDA" w:rsidRDefault="007D72B3">
      <w:pPr>
        <w:pStyle w:val="Bodytext20"/>
        <w:shd w:val="clear" w:color="auto" w:fill="auto"/>
        <w:spacing w:before="0"/>
        <w:ind w:firstLine="320"/>
      </w:pPr>
      <w:r>
        <w:t xml:space="preserve">Besonders nah verwandte Sprachfamilien werden ihrerseits zu </w:t>
      </w:r>
      <w:r>
        <w:rPr>
          <w:rStyle w:val="Bodytext2Italic0"/>
        </w:rPr>
        <w:t>Familiengruppen</w:t>
      </w:r>
      <w:r>
        <w:t xml:space="preserve"> zusammengefasst. Analo</w:t>
      </w:r>
      <w:r>
        <w:t>g werden auch sich beson</w:t>
      </w:r>
      <w:r>
        <w:softHyphen/>
        <w:t xml:space="preserve">ders nahe stehende Sprachen innerhalb einer Sprachfamilie wieder zu </w:t>
      </w:r>
      <w:r>
        <w:rPr>
          <w:rStyle w:val="Bodytext2Italic0"/>
        </w:rPr>
        <w:t>Untergruppen</w:t>
      </w:r>
      <w:r>
        <w:t xml:space="preserve"> vereinigt usw. Kurz gesagt, die Systematik kann im Prinzip beliebig verfeinert werden.</w:t>
      </w:r>
    </w:p>
    <w:p w:rsidR="00BB7EDA" w:rsidRDefault="007D72B3">
      <w:pPr>
        <w:pStyle w:val="Bodytext20"/>
        <w:shd w:val="clear" w:color="auto" w:fill="auto"/>
        <w:spacing w:before="0" w:after="460"/>
        <w:ind w:firstLine="320"/>
      </w:pPr>
      <w:r>
        <w:t>In der folgenden Zusammenstellung findet der Leser eine Aufli</w:t>
      </w:r>
      <w:r>
        <w:softHyphen/>
        <w:t>s</w:t>
      </w:r>
      <w:r>
        <w:t>tung von Sprachstämmen, Sprachfamilien und Sprachen.</w:t>
      </w:r>
      <w:r>
        <w:rPr>
          <w:vertAlign w:val="superscript"/>
        </w:rPr>
        <w:footnoteReference w:id="115"/>
      </w:r>
      <w:r>
        <w:t xml:space="preserve"> Tote Sprachen, also Sprachen, die heute nicht mehr gesprochen werden, sind durch ein Sternchen (*) gekennzeichnet.</w:t>
      </w:r>
    </w:p>
    <w:p w:rsidR="00BB7EDA" w:rsidRDefault="007D72B3">
      <w:pPr>
        <w:pStyle w:val="Heading50"/>
        <w:keepNext/>
        <w:keepLines/>
        <w:numPr>
          <w:ilvl w:val="0"/>
          <w:numId w:val="68"/>
        </w:numPr>
        <w:shd w:val="clear" w:color="auto" w:fill="auto"/>
        <w:tabs>
          <w:tab w:val="left" w:pos="505"/>
        </w:tabs>
        <w:spacing w:after="218" w:line="180" w:lineRule="exact"/>
      </w:pPr>
      <w:bookmarkStart w:id="31" w:name="bookmark30"/>
      <w:r>
        <w:t>Liste der wichtigsten Sprachstämme</w:t>
      </w:r>
      <w:bookmarkEnd w:id="31"/>
    </w:p>
    <w:p w:rsidR="00BB7EDA" w:rsidRDefault="007D72B3">
      <w:pPr>
        <w:pStyle w:val="Bodytext20"/>
        <w:shd w:val="clear" w:color="auto" w:fill="auto"/>
        <w:spacing w:before="0" w:after="176" w:line="226" w:lineRule="exact"/>
      </w:pPr>
      <w:r>
        <w:t xml:space="preserve">In der nachfolgenden Auflistung werden die Sprachen </w:t>
      </w:r>
      <w:r>
        <w:t>nach ihren Stämmen und Familien geordnet. Die Indianer-Sprachen sind je</w:t>
      </w:r>
      <w:r>
        <w:softHyphen/>
        <w:t>doch wegen der bis heute noch nicht endgültig gelösten Klassifizie</w:t>
      </w:r>
      <w:r>
        <w:softHyphen/>
        <w:t>rungsprobleme nur nach geographischen Kriterien zusammenge</w:t>
      </w:r>
      <w:r>
        <w:softHyphen/>
        <w:t>stellt worden. Für die Bedürfnisse im Rahmen dieser Publik</w:t>
      </w:r>
      <w:r>
        <w:t>ation ist dies völlig ausreichend. Eine umfassende Auflistung von 6809 Spra</w:t>
      </w:r>
      <w:r>
        <w:softHyphen/>
        <w:t>chen nach geographischen und verwandtschaftlichen Kriterien fin</w:t>
      </w:r>
      <w:r>
        <w:softHyphen/>
        <w:t xml:space="preserve">det sich in: </w:t>
      </w:r>
      <w:r>
        <w:rPr>
          <w:rStyle w:val="Bodytext28ptBoldSmallCaps"/>
        </w:rPr>
        <w:t xml:space="preserve">Grimes: </w:t>
      </w:r>
      <w:r>
        <w:t>Ethnologue (CD-ROM).</w:t>
      </w:r>
    </w:p>
    <w:p w:rsidR="00BB7EDA" w:rsidRDefault="007D72B3">
      <w:pPr>
        <w:pStyle w:val="Bodytext20"/>
        <w:shd w:val="clear" w:color="auto" w:fill="auto"/>
        <w:spacing w:before="0"/>
      </w:pPr>
      <w:r>
        <w:t>INDOGERMANISCH</w:t>
      </w:r>
    </w:p>
    <w:p w:rsidR="00BB7EDA" w:rsidRDefault="007D72B3">
      <w:pPr>
        <w:pStyle w:val="Bodytext20"/>
        <w:numPr>
          <w:ilvl w:val="0"/>
          <w:numId w:val="71"/>
        </w:numPr>
        <w:shd w:val="clear" w:color="auto" w:fill="auto"/>
        <w:tabs>
          <w:tab w:val="left" w:pos="279"/>
        </w:tabs>
        <w:spacing w:before="0"/>
      </w:pPr>
      <w:r>
        <w:t>Griechisch:</w:t>
      </w:r>
    </w:p>
    <w:p w:rsidR="00BB7EDA" w:rsidRDefault="007D72B3">
      <w:pPr>
        <w:pStyle w:val="Bodytext20"/>
        <w:shd w:val="clear" w:color="auto" w:fill="auto"/>
        <w:spacing w:before="0"/>
      </w:pPr>
      <w:r>
        <w:t>Altgriechisch*, Neugriechisch</w:t>
      </w:r>
    </w:p>
    <w:p w:rsidR="00BB7EDA" w:rsidRDefault="007D72B3">
      <w:pPr>
        <w:pStyle w:val="Bodytext20"/>
        <w:numPr>
          <w:ilvl w:val="0"/>
          <w:numId w:val="71"/>
        </w:numPr>
        <w:shd w:val="clear" w:color="auto" w:fill="auto"/>
        <w:tabs>
          <w:tab w:val="left" w:pos="289"/>
        </w:tabs>
        <w:spacing w:before="0"/>
      </w:pPr>
      <w:r>
        <w:t>Italisch:</w:t>
      </w:r>
    </w:p>
    <w:p w:rsidR="00BB7EDA" w:rsidRDefault="007D72B3">
      <w:pPr>
        <w:pStyle w:val="Bodytext20"/>
        <w:shd w:val="clear" w:color="auto" w:fill="auto"/>
        <w:spacing w:before="0"/>
      </w:pPr>
      <w:r>
        <w:t>Lateinisch* (führte zu den romanischen Sprachen), Oskisch*, Umbrisch*</w:t>
      </w:r>
    </w:p>
    <w:p w:rsidR="00BB7EDA" w:rsidRDefault="007D72B3">
      <w:pPr>
        <w:pStyle w:val="Bodytext20"/>
        <w:numPr>
          <w:ilvl w:val="0"/>
          <w:numId w:val="71"/>
        </w:numPr>
        <w:shd w:val="clear" w:color="auto" w:fill="auto"/>
        <w:tabs>
          <w:tab w:val="left" w:pos="311"/>
        </w:tabs>
        <w:spacing w:before="0" w:after="56" w:line="226" w:lineRule="exact"/>
        <w:jc w:val="left"/>
      </w:pPr>
      <w:r>
        <w:t>Romanisch: Portugiesisch, Spanisch, Katalanisch, Provenzalisch, Italienisch, Bündner-Romanisch, Rumänisch, Sardisch</w:t>
      </w:r>
    </w:p>
    <w:p w:rsidR="00BB7EDA" w:rsidRDefault="007D72B3">
      <w:pPr>
        <w:pStyle w:val="Bodytext20"/>
        <w:numPr>
          <w:ilvl w:val="0"/>
          <w:numId w:val="71"/>
        </w:numPr>
        <w:shd w:val="clear" w:color="auto" w:fill="auto"/>
        <w:tabs>
          <w:tab w:val="left" w:pos="335"/>
        </w:tabs>
        <w:spacing w:before="0"/>
      </w:pPr>
      <w:r>
        <w:t>Germanisch:</w:t>
      </w:r>
    </w:p>
    <w:p w:rsidR="00BB7EDA" w:rsidRDefault="007D72B3">
      <w:pPr>
        <w:pStyle w:val="Bodytext20"/>
        <w:shd w:val="clear" w:color="auto" w:fill="auto"/>
        <w:spacing w:before="0"/>
      </w:pPr>
      <w:r>
        <w:t>Nordgermanisch: Altnordisch’*', Isländisch, Schwedisch, No</w:t>
      </w:r>
      <w:r>
        <w:t>rwegisch, Dänisch</w:t>
      </w:r>
    </w:p>
    <w:p w:rsidR="00BB7EDA" w:rsidRDefault="007D72B3">
      <w:pPr>
        <w:pStyle w:val="Bodytext20"/>
        <w:shd w:val="clear" w:color="auto" w:fill="auto"/>
        <w:spacing w:before="0"/>
      </w:pPr>
      <w:r>
        <w:t>Ostgermanisch: Gotisch*, Wandalisch*</w:t>
      </w:r>
    </w:p>
    <w:p w:rsidR="00BB7EDA" w:rsidRDefault="007D72B3">
      <w:pPr>
        <w:pStyle w:val="Bodytext20"/>
        <w:shd w:val="clear" w:color="auto" w:fill="auto"/>
        <w:spacing w:before="0" w:after="64"/>
      </w:pPr>
      <w:r>
        <w:t>Westgermanisch: Englisch, Friesisch, Niederländisch, Afrikaans, Deutsch</w:t>
      </w:r>
    </w:p>
    <w:p w:rsidR="00BB7EDA" w:rsidRDefault="007D72B3">
      <w:pPr>
        <w:pStyle w:val="Bodytext20"/>
        <w:numPr>
          <w:ilvl w:val="0"/>
          <w:numId w:val="71"/>
        </w:numPr>
        <w:shd w:val="clear" w:color="auto" w:fill="auto"/>
        <w:tabs>
          <w:tab w:val="left" w:pos="335"/>
        </w:tabs>
        <w:spacing w:before="0" w:after="56" w:line="226" w:lineRule="exact"/>
      </w:pPr>
      <w:r>
        <w:t>Keltisch: Gälisch, Schottisch, Irisch, Bretonisch, Kymrisch (Wali</w:t>
      </w:r>
      <w:r>
        <w:softHyphen/>
        <w:t>sisch)</w:t>
      </w:r>
    </w:p>
    <w:p w:rsidR="00BB7EDA" w:rsidRDefault="007D72B3">
      <w:pPr>
        <w:pStyle w:val="Bodytext20"/>
        <w:numPr>
          <w:ilvl w:val="0"/>
          <w:numId w:val="71"/>
        </w:numPr>
        <w:shd w:val="clear" w:color="auto" w:fill="auto"/>
        <w:tabs>
          <w:tab w:val="left" w:pos="335"/>
        </w:tabs>
        <w:spacing w:before="0"/>
      </w:pPr>
      <w:r>
        <w:t>Slawisch:</w:t>
      </w:r>
    </w:p>
    <w:p w:rsidR="00BB7EDA" w:rsidRDefault="007D72B3">
      <w:pPr>
        <w:pStyle w:val="Bodytext20"/>
        <w:shd w:val="clear" w:color="auto" w:fill="auto"/>
        <w:spacing w:before="0"/>
        <w:ind w:right="1220"/>
        <w:jc w:val="left"/>
      </w:pPr>
      <w:r>
        <w:t xml:space="preserve">Ostslawisch: Weißrussisch, Großrussisch, </w:t>
      </w:r>
      <w:r>
        <w:t>Ukrainisch Westslawisch: Polnisch, Tschechisch, Slowakisch Südslawisch: Bulgarisch, Serbokroatisch, Slowenisch</w:t>
      </w:r>
    </w:p>
    <w:p w:rsidR="00BB7EDA" w:rsidRDefault="007D72B3">
      <w:pPr>
        <w:pStyle w:val="Bodytext20"/>
        <w:numPr>
          <w:ilvl w:val="0"/>
          <w:numId w:val="71"/>
        </w:numPr>
        <w:shd w:val="clear" w:color="auto" w:fill="auto"/>
        <w:tabs>
          <w:tab w:val="left" w:pos="335"/>
        </w:tabs>
        <w:spacing w:before="0" w:line="312" w:lineRule="exact"/>
      </w:pPr>
      <w:r>
        <w:t>Baltisch: Lettisch, Litauisch</w:t>
      </w:r>
    </w:p>
    <w:p w:rsidR="00BB7EDA" w:rsidRDefault="007D72B3">
      <w:pPr>
        <w:pStyle w:val="Bodytext20"/>
        <w:numPr>
          <w:ilvl w:val="0"/>
          <w:numId w:val="71"/>
        </w:numPr>
        <w:shd w:val="clear" w:color="auto" w:fill="auto"/>
        <w:tabs>
          <w:tab w:val="left" w:pos="335"/>
        </w:tabs>
        <w:spacing w:before="0" w:line="312" w:lineRule="exact"/>
      </w:pPr>
      <w:r>
        <w:t>Albanisch</w:t>
      </w:r>
    </w:p>
    <w:p w:rsidR="00BB7EDA" w:rsidRDefault="007D72B3">
      <w:pPr>
        <w:pStyle w:val="Bodytext20"/>
        <w:numPr>
          <w:ilvl w:val="0"/>
          <w:numId w:val="71"/>
        </w:numPr>
        <w:shd w:val="clear" w:color="auto" w:fill="auto"/>
        <w:tabs>
          <w:tab w:val="left" w:pos="335"/>
        </w:tabs>
        <w:spacing w:before="0" w:line="312" w:lineRule="exact"/>
      </w:pPr>
      <w:r>
        <w:t>Armenisch</w:t>
      </w:r>
    </w:p>
    <w:p w:rsidR="00BB7EDA" w:rsidRDefault="007D72B3">
      <w:pPr>
        <w:pStyle w:val="Bodytext20"/>
        <w:shd w:val="clear" w:color="auto" w:fill="auto"/>
        <w:spacing w:before="0" w:line="226" w:lineRule="exact"/>
      </w:pPr>
      <w:r>
        <w:t>k) Indoiranisch:</w:t>
      </w:r>
    </w:p>
    <w:p w:rsidR="00BB7EDA" w:rsidRDefault="007D72B3">
      <w:pPr>
        <w:pStyle w:val="Bodytext20"/>
        <w:shd w:val="clear" w:color="auto" w:fill="auto"/>
        <w:spacing w:before="0" w:line="226" w:lineRule="exact"/>
      </w:pPr>
      <w:r>
        <w:t>Iranisch: Altpersisch*, Neupersisch, Medisch*, Dari, Tadschikisch, Ossetisch</w:t>
      </w:r>
    </w:p>
    <w:p w:rsidR="00BB7EDA" w:rsidRDefault="007D72B3">
      <w:pPr>
        <w:pStyle w:val="Bodytext20"/>
        <w:shd w:val="clear" w:color="auto" w:fill="auto"/>
        <w:spacing w:before="0" w:line="226" w:lineRule="exact"/>
      </w:pPr>
      <w:r>
        <w:t>I</w:t>
      </w:r>
      <w:r>
        <w:t>ndisch: Altindisch* (Vedisch*, Sanskrit*)</w:t>
      </w:r>
    </w:p>
    <w:p w:rsidR="00BB7EDA" w:rsidRDefault="007D72B3">
      <w:pPr>
        <w:pStyle w:val="Bodytext20"/>
        <w:shd w:val="clear" w:color="auto" w:fill="auto"/>
        <w:spacing w:before="0" w:after="176" w:line="226" w:lineRule="exact"/>
      </w:pPr>
      <w:r>
        <w:t>Neuindisch: Hindustani, Bengali, Sindhi, Assami, Gujarati, Marathi, Nepali, Oriya, Panjabi, Rajasthani, Romani, Urdu</w:t>
      </w:r>
    </w:p>
    <w:p w:rsidR="00BB7EDA" w:rsidRDefault="007D72B3">
      <w:pPr>
        <w:pStyle w:val="Bodytext20"/>
        <w:shd w:val="clear" w:color="auto" w:fill="auto"/>
        <w:spacing w:before="0"/>
      </w:pPr>
      <w:r>
        <w:t>HAMITO-SEMITISCH</w:t>
      </w:r>
    </w:p>
    <w:p w:rsidR="00BB7EDA" w:rsidRDefault="007D72B3">
      <w:pPr>
        <w:pStyle w:val="Bodytext20"/>
        <w:numPr>
          <w:ilvl w:val="0"/>
          <w:numId w:val="72"/>
        </w:numPr>
        <w:shd w:val="clear" w:color="auto" w:fill="auto"/>
        <w:tabs>
          <w:tab w:val="left" w:pos="321"/>
        </w:tabs>
        <w:spacing w:before="0"/>
      </w:pPr>
      <w:r>
        <w:t>Semitisch:</w:t>
      </w:r>
    </w:p>
    <w:p w:rsidR="00BB7EDA" w:rsidRDefault="007D72B3">
      <w:pPr>
        <w:pStyle w:val="Bodytext20"/>
        <w:shd w:val="clear" w:color="auto" w:fill="auto"/>
        <w:spacing w:before="0"/>
        <w:jc w:val="left"/>
      </w:pPr>
      <w:r>
        <w:t xml:space="preserve">Ostsemitisch: Akkadisch* (Assyrisch*, Babylonisch*) </w:t>
      </w:r>
      <w:r>
        <w:t>Nordwestsemitisch: Amoritisch *, Ugaritisch *, Kanaanäisch* (Phö- nizisch*, Punisch*, Althebräisch*, Iwrith (Neuhebräisch), Moabitisch*, Ammonitisch*, Edomitisch*, Philistäisch*), Aramäisch (nahezu aus</w:t>
      </w:r>
      <w:r>
        <w:softHyphen/>
        <w:t>gestorben)</w:t>
      </w:r>
    </w:p>
    <w:p w:rsidR="00BB7EDA" w:rsidRDefault="007D72B3">
      <w:pPr>
        <w:pStyle w:val="Bodytext20"/>
        <w:shd w:val="clear" w:color="auto" w:fill="auto"/>
        <w:spacing w:before="0"/>
      </w:pPr>
      <w:r>
        <w:t>Südsemitisch: Arabisch, Äthiopisch: Amharis</w:t>
      </w:r>
      <w:r>
        <w:t>ch, Geez, Tigre, Tigrinja</w:t>
      </w:r>
    </w:p>
    <w:p w:rsidR="00BB7EDA" w:rsidRDefault="007D72B3">
      <w:pPr>
        <w:pStyle w:val="Bodytext20"/>
        <w:numPr>
          <w:ilvl w:val="0"/>
          <w:numId w:val="72"/>
        </w:numPr>
        <w:shd w:val="clear" w:color="auto" w:fill="auto"/>
        <w:tabs>
          <w:tab w:val="left" w:pos="330"/>
        </w:tabs>
        <w:spacing w:before="0" w:line="307" w:lineRule="exact"/>
      </w:pPr>
      <w:r>
        <w:t>Aegyptisch: Aegyptisch*, Koptisch*</w:t>
      </w:r>
    </w:p>
    <w:p w:rsidR="00BB7EDA" w:rsidRDefault="007D72B3">
      <w:pPr>
        <w:pStyle w:val="Bodytext20"/>
        <w:numPr>
          <w:ilvl w:val="0"/>
          <w:numId w:val="72"/>
        </w:numPr>
        <w:shd w:val="clear" w:color="auto" w:fill="auto"/>
        <w:tabs>
          <w:tab w:val="left" w:pos="330"/>
        </w:tabs>
        <w:spacing w:before="0" w:line="307" w:lineRule="exact"/>
      </w:pPr>
      <w:r>
        <w:t>Kuschitisch</w:t>
      </w:r>
    </w:p>
    <w:p w:rsidR="00BB7EDA" w:rsidRDefault="007D72B3">
      <w:pPr>
        <w:pStyle w:val="Bodytext20"/>
        <w:numPr>
          <w:ilvl w:val="0"/>
          <w:numId w:val="72"/>
        </w:numPr>
        <w:shd w:val="clear" w:color="auto" w:fill="auto"/>
        <w:tabs>
          <w:tab w:val="left" w:pos="340"/>
        </w:tabs>
        <w:spacing w:before="0" w:line="307" w:lineRule="exact"/>
      </w:pPr>
      <w:r>
        <w:t>Omotisch</w:t>
      </w:r>
    </w:p>
    <w:p w:rsidR="00BB7EDA" w:rsidRDefault="007D72B3">
      <w:pPr>
        <w:pStyle w:val="Bodytext20"/>
        <w:numPr>
          <w:ilvl w:val="0"/>
          <w:numId w:val="72"/>
        </w:numPr>
        <w:shd w:val="clear" w:color="auto" w:fill="auto"/>
        <w:tabs>
          <w:tab w:val="left" w:pos="340"/>
        </w:tabs>
        <w:spacing w:before="0" w:line="307" w:lineRule="exact"/>
      </w:pPr>
      <w:r>
        <w:t>Berber-Sprachen</w:t>
      </w:r>
    </w:p>
    <w:p w:rsidR="00BB7EDA" w:rsidRDefault="007D72B3">
      <w:pPr>
        <w:pStyle w:val="Bodytext20"/>
        <w:numPr>
          <w:ilvl w:val="0"/>
          <w:numId w:val="72"/>
        </w:numPr>
        <w:shd w:val="clear" w:color="auto" w:fill="auto"/>
        <w:tabs>
          <w:tab w:val="left" w:pos="340"/>
        </w:tabs>
        <w:spacing w:before="0" w:line="307" w:lineRule="exact"/>
      </w:pPr>
      <w:r>
        <w:t>Tschadisch</w:t>
      </w:r>
    </w:p>
    <w:p w:rsidR="00BB7EDA" w:rsidRDefault="007D72B3">
      <w:pPr>
        <w:pStyle w:val="Bodytext20"/>
        <w:shd w:val="clear" w:color="auto" w:fill="auto"/>
        <w:spacing w:before="0" w:after="14" w:line="180" w:lineRule="exact"/>
      </w:pPr>
      <w:r>
        <w:t>SUMERISCH</w:t>
      </w:r>
    </w:p>
    <w:p w:rsidR="00BB7EDA" w:rsidRDefault="007D72B3">
      <w:pPr>
        <w:pStyle w:val="Bodytext20"/>
        <w:shd w:val="clear" w:color="auto" w:fill="auto"/>
        <w:spacing w:before="0" w:after="199" w:line="180" w:lineRule="exact"/>
      </w:pPr>
      <w:r>
        <w:t>Baskisch bzw. Kaukasisch</w:t>
      </w:r>
    </w:p>
    <w:p w:rsidR="00BB7EDA" w:rsidRDefault="007D72B3">
      <w:pPr>
        <w:pStyle w:val="Bodytext20"/>
        <w:shd w:val="clear" w:color="auto" w:fill="auto"/>
        <w:spacing w:before="0" w:after="14" w:line="180" w:lineRule="exact"/>
      </w:pPr>
      <w:r>
        <w:t>URALISCH-ALT AISCH</w:t>
      </w:r>
    </w:p>
    <w:p w:rsidR="00BB7EDA" w:rsidRDefault="007D72B3">
      <w:pPr>
        <w:pStyle w:val="Bodytext20"/>
        <w:numPr>
          <w:ilvl w:val="0"/>
          <w:numId w:val="73"/>
        </w:numPr>
        <w:shd w:val="clear" w:color="auto" w:fill="auto"/>
        <w:tabs>
          <w:tab w:val="left" w:pos="334"/>
        </w:tabs>
        <w:spacing w:before="0" w:after="94" w:line="180" w:lineRule="exact"/>
      </w:pPr>
      <w:r>
        <w:t>Samojedisch</w:t>
      </w:r>
    </w:p>
    <w:p w:rsidR="00BB7EDA" w:rsidRDefault="007D72B3">
      <w:pPr>
        <w:pStyle w:val="Bodytext20"/>
        <w:numPr>
          <w:ilvl w:val="0"/>
          <w:numId w:val="73"/>
        </w:numPr>
        <w:shd w:val="clear" w:color="auto" w:fill="auto"/>
        <w:tabs>
          <w:tab w:val="left" w:pos="343"/>
        </w:tabs>
        <w:spacing w:before="0" w:after="60"/>
      </w:pPr>
      <w:r>
        <w:t>Finnisch-Ugrisch: Estnisch, Finnisch, Karelisch, Ingrisch, Lap</w:t>
      </w:r>
      <w:r>
        <w:softHyphen/>
        <w:t xml:space="preserve">pisch, Wepsisch, </w:t>
      </w:r>
      <w:r>
        <w:t>Wotisch, Mordwinisch, Ungarisch</w:t>
      </w:r>
    </w:p>
    <w:p w:rsidR="00BB7EDA" w:rsidRDefault="007D72B3">
      <w:pPr>
        <w:pStyle w:val="Bodytext20"/>
        <w:numPr>
          <w:ilvl w:val="0"/>
          <w:numId w:val="73"/>
        </w:numPr>
        <w:shd w:val="clear" w:color="auto" w:fill="auto"/>
        <w:tabs>
          <w:tab w:val="left" w:pos="348"/>
        </w:tabs>
        <w:spacing w:before="0" w:after="60"/>
      </w:pPr>
      <w:r>
        <w:t>Altaisch: Türkisch, Kirgisisch, Turkmenisch, Baschkirisch, Kara</w:t>
      </w:r>
      <w:r>
        <w:softHyphen/>
        <w:t>kalpakisch, Kumückisch, Nogaisch, Tatarisch, Chakassisch, Jakutisch, Tuwinisch, Aserbaidschanisch, Gagausisch, Uigurisch, Usbekisch, Tschuwaschisch, Kasachisch</w:t>
      </w:r>
    </w:p>
    <w:p w:rsidR="00BB7EDA" w:rsidRDefault="007D72B3">
      <w:pPr>
        <w:pStyle w:val="Bodytext20"/>
        <w:numPr>
          <w:ilvl w:val="0"/>
          <w:numId w:val="73"/>
        </w:numPr>
        <w:shd w:val="clear" w:color="auto" w:fill="auto"/>
        <w:tabs>
          <w:tab w:val="left" w:pos="353"/>
        </w:tabs>
        <w:spacing w:before="0" w:after="220"/>
      </w:pPr>
      <w:r>
        <w:t>Mongolische Sprachen: Burjatisch, Chalcha-Mongolisch, Kal</w:t>
      </w:r>
      <w:r>
        <w:softHyphen/>
        <w:t>mückisch, Oiratisch</w:t>
      </w:r>
    </w:p>
    <w:p w:rsidR="00BB7EDA" w:rsidRDefault="007D72B3">
      <w:pPr>
        <w:pStyle w:val="Bodytext20"/>
        <w:shd w:val="clear" w:color="auto" w:fill="auto"/>
        <w:spacing w:before="0" w:after="14" w:line="180" w:lineRule="exact"/>
      </w:pPr>
      <w:r>
        <w:t>SINO-TIBETISCH</w:t>
      </w:r>
    </w:p>
    <w:p w:rsidR="00BB7EDA" w:rsidRDefault="007D72B3">
      <w:pPr>
        <w:pStyle w:val="Bodytext20"/>
        <w:numPr>
          <w:ilvl w:val="0"/>
          <w:numId w:val="74"/>
        </w:numPr>
        <w:shd w:val="clear" w:color="auto" w:fill="auto"/>
        <w:tabs>
          <w:tab w:val="left" w:pos="334"/>
        </w:tabs>
        <w:spacing w:before="0" w:after="134" w:line="180" w:lineRule="exact"/>
      </w:pPr>
      <w:r>
        <w:t>Tibeto-Birmanisch: Tibetisch, Burmesisch, Assam-Sprachen</w:t>
      </w:r>
    </w:p>
    <w:p w:rsidR="00BB7EDA" w:rsidRDefault="007D72B3">
      <w:pPr>
        <w:pStyle w:val="Bodytext20"/>
        <w:numPr>
          <w:ilvl w:val="0"/>
          <w:numId w:val="74"/>
        </w:numPr>
        <w:shd w:val="clear" w:color="auto" w:fill="auto"/>
        <w:tabs>
          <w:tab w:val="left" w:pos="348"/>
        </w:tabs>
        <w:spacing w:before="0" w:after="194" w:line="180" w:lineRule="exact"/>
      </w:pPr>
      <w:r>
        <w:t>Chinesisch: chinesische Dialekte</w:t>
      </w:r>
    </w:p>
    <w:p w:rsidR="00BB7EDA" w:rsidRDefault="007D72B3">
      <w:pPr>
        <w:pStyle w:val="Bodytext20"/>
        <w:shd w:val="clear" w:color="auto" w:fill="auto"/>
        <w:spacing w:before="0" w:line="180" w:lineRule="exact"/>
      </w:pPr>
      <w:r>
        <w:t>KAM-TAI</w:t>
      </w:r>
    </w:p>
    <w:p w:rsidR="00BB7EDA" w:rsidRDefault="007D72B3">
      <w:pPr>
        <w:pStyle w:val="Bodytext20"/>
        <w:shd w:val="clear" w:color="auto" w:fill="auto"/>
        <w:spacing w:before="0" w:line="456" w:lineRule="exact"/>
      </w:pPr>
      <w:r>
        <w:t>Thai-Sprachen</w:t>
      </w:r>
    </w:p>
    <w:p w:rsidR="00BB7EDA" w:rsidRDefault="007D72B3">
      <w:pPr>
        <w:pStyle w:val="Bodytext20"/>
        <w:shd w:val="clear" w:color="auto" w:fill="auto"/>
        <w:spacing w:before="0" w:line="456" w:lineRule="exact"/>
      </w:pPr>
      <w:r>
        <w:t>KOREANISCH</w:t>
      </w:r>
    </w:p>
    <w:p w:rsidR="00BB7EDA" w:rsidRDefault="007D72B3">
      <w:pPr>
        <w:pStyle w:val="Bodytext20"/>
        <w:shd w:val="clear" w:color="auto" w:fill="auto"/>
        <w:spacing w:before="0" w:line="456" w:lineRule="exact"/>
      </w:pPr>
      <w:r>
        <w:t>JAPANISCH</w:t>
      </w:r>
    </w:p>
    <w:p w:rsidR="00BB7EDA" w:rsidRDefault="007D72B3">
      <w:pPr>
        <w:pStyle w:val="Bodytext20"/>
        <w:shd w:val="clear" w:color="auto" w:fill="auto"/>
        <w:spacing w:before="0" w:after="220"/>
        <w:ind w:right="1960"/>
        <w:jc w:val="left"/>
      </w:pPr>
      <w:r>
        <w:t xml:space="preserve">MANDSCHU-TUNGUSISCH Ewenisch, </w:t>
      </w:r>
      <w:r>
        <w:t>Ewenkisch, Mandschu, Nanaisch</w:t>
      </w:r>
    </w:p>
    <w:p w:rsidR="00BB7EDA" w:rsidRDefault="007D72B3">
      <w:pPr>
        <w:pStyle w:val="Bodytext20"/>
        <w:shd w:val="clear" w:color="auto" w:fill="auto"/>
        <w:spacing w:before="0" w:after="14" w:line="180" w:lineRule="exact"/>
      </w:pPr>
      <w:r>
        <w:t>PALÄO-ASIATISCH</w:t>
      </w:r>
    </w:p>
    <w:p w:rsidR="00BB7EDA" w:rsidRDefault="007D72B3">
      <w:pPr>
        <w:pStyle w:val="Bodytext20"/>
        <w:shd w:val="clear" w:color="auto" w:fill="auto"/>
        <w:spacing w:before="0" w:after="199" w:line="180" w:lineRule="exact"/>
      </w:pPr>
      <w:r>
        <w:t>Eskimo-Sprachen</w:t>
      </w:r>
    </w:p>
    <w:p w:rsidR="00BB7EDA" w:rsidRDefault="007D72B3">
      <w:pPr>
        <w:pStyle w:val="Bodytext20"/>
        <w:shd w:val="clear" w:color="auto" w:fill="auto"/>
        <w:spacing w:before="0" w:after="14" w:line="180" w:lineRule="exact"/>
      </w:pPr>
      <w:r>
        <w:t>DRAWIDA-SPRACFFEN</w:t>
      </w:r>
    </w:p>
    <w:p w:rsidR="00BB7EDA" w:rsidRDefault="007D72B3">
      <w:pPr>
        <w:pStyle w:val="Bodytext20"/>
        <w:shd w:val="clear" w:color="auto" w:fill="auto"/>
        <w:spacing w:before="0" w:after="163" w:line="180" w:lineRule="exact"/>
      </w:pPr>
      <w:r>
        <w:t>Kannada, Tamil, Telugu, Kanaresisch, Malayalam</w:t>
      </w:r>
    </w:p>
    <w:p w:rsidR="00BB7EDA" w:rsidRDefault="007D72B3">
      <w:pPr>
        <w:pStyle w:val="Bodytext20"/>
        <w:shd w:val="clear" w:color="auto" w:fill="auto"/>
        <w:spacing w:before="0" w:line="226" w:lineRule="exact"/>
      </w:pPr>
      <w:r>
        <w:t>N IG ER-KORDOF ANISCH</w:t>
      </w:r>
    </w:p>
    <w:p w:rsidR="00BB7EDA" w:rsidRDefault="007D72B3">
      <w:pPr>
        <w:pStyle w:val="Bodytext20"/>
        <w:numPr>
          <w:ilvl w:val="0"/>
          <w:numId w:val="75"/>
        </w:numPr>
        <w:shd w:val="clear" w:color="auto" w:fill="auto"/>
        <w:tabs>
          <w:tab w:val="left" w:pos="334"/>
        </w:tabs>
        <w:spacing w:before="0" w:line="226" w:lineRule="exact"/>
      </w:pPr>
      <w:r>
        <w:t>Niger-Kongo-Sprachen:</w:t>
      </w:r>
    </w:p>
    <w:p w:rsidR="00BB7EDA" w:rsidRDefault="007D72B3">
      <w:pPr>
        <w:pStyle w:val="Bodytext20"/>
        <w:shd w:val="clear" w:color="auto" w:fill="auto"/>
        <w:spacing w:before="0" w:line="226" w:lineRule="exact"/>
        <w:ind w:right="360"/>
        <w:jc w:val="left"/>
      </w:pPr>
      <w:r>
        <w:t>Bantu-Sprachen: Kisuaheli, Kongo, Duala, Herero, Zulu, Xhosa Kwa-Sprachen: Akan, Ewe,</w:t>
      </w:r>
      <w:r>
        <w:t xml:space="preserve"> Ibo, Yoruba Mande-Sprachen: Bambara, Mende Adamaua-Ost-Sprachen</w:t>
      </w:r>
    </w:p>
    <w:p w:rsidR="00BB7EDA" w:rsidRDefault="007D72B3">
      <w:pPr>
        <w:pStyle w:val="Bodytext20"/>
        <w:shd w:val="clear" w:color="auto" w:fill="auto"/>
        <w:spacing w:before="0" w:line="180" w:lineRule="exact"/>
      </w:pPr>
      <w:r>
        <w:t>Ben ue-Kongo-Sprachen</w:t>
      </w:r>
    </w:p>
    <w:p w:rsidR="00BB7EDA" w:rsidRDefault="007D72B3">
      <w:pPr>
        <w:pStyle w:val="Bodytext20"/>
        <w:shd w:val="clear" w:color="auto" w:fill="auto"/>
        <w:spacing w:before="0" w:line="312" w:lineRule="exact"/>
      </w:pPr>
      <w:r>
        <w:t>Westatlantische Klassensprachen: Ful, Diola, Wolof</w:t>
      </w:r>
    </w:p>
    <w:p w:rsidR="00BB7EDA" w:rsidRDefault="007D72B3">
      <w:pPr>
        <w:pStyle w:val="Bodytext20"/>
        <w:numPr>
          <w:ilvl w:val="0"/>
          <w:numId w:val="75"/>
        </w:numPr>
        <w:shd w:val="clear" w:color="auto" w:fill="auto"/>
        <w:tabs>
          <w:tab w:val="left" w:pos="299"/>
        </w:tabs>
        <w:spacing w:before="0" w:after="125" w:line="312" w:lineRule="exact"/>
      </w:pPr>
      <w:r>
        <w:t>Kordofan-Sprachen</w:t>
      </w:r>
    </w:p>
    <w:p w:rsidR="00BB7EDA" w:rsidRDefault="007D72B3">
      <w:pPr>
        <w:pStyle w:val="Bodytext20"/>
        <w:shd w:val="clear" w:color="auto" w:fill="auto"/>
        <w:spacing w:before="0" w:after="220"/>
        <w:ind w:right="3020"/>
        <w:jc w:val="left"/>
      </w:pPr>
      <w:r>
        <w:t>KHOISANISCH Buschmännisch, Hottentottisch</w:t>
      </w:r>
    </w:p>
    <w:p w:rsidR="00BB7EDA" w:rsidRDefault="007D72B3">
      <w:pPr>
        <w:pStyle w:val="Bodytext20"/>
        <w:shd w:val="clear" w:color="auto" w:fill="auto"/>
        <w:spacing w:before="0" w:after="14" w:line="180" w:lineRule="exact"/>
      </w:pPr>
      <w:r>
        <w:t>AUSTRISCH</w:t>
      </w:r>
    </w:p>
    <w:p w:rsidR="00BB7EDA" w:rsidRDefault="007D72B3">
      <w:pPr>
        <w:pStyle w:val="Bodytext20"/>
        <w:numPr>
          <w:ilvl w:val="0"/>
          <w:numId w:val="76"/>
        </w:numPr>
        <w:shd w:val="clear" w:color="auto" w:fill="auto"/>
        <w:tabs>
          <w:tab w:val="left" w:pos="289"/>
        </w:tabs>
        <w:spacing w:before="0" w:after="99" w:line="180" w:lineRule="exact"/>
      </w:pPr>
      <w:r>
        <w:t>Austroasiatisch: Mundari, Santali, Khasi, Khmer</w:t>
      </w:r>
    </w:p>
    <w:p w:rsidR="00BB7EDA" w:rsidRDefault="007D72B3">
      <w:pPr>
        <w:pStyle w:val="Bodytext20"/>
        <w:numPr>
          <w:ilvl w:val="0"/>
          <w:numId w:val="76"/>
        </w:numPr>
        <w:shd w:val="clear" w:color="auto" w:fill="auto"/>
        <w:tabs>
          <w:tab w:val="left" w:pos="299"/>
        </w:tabs>
        <w:spacing w:before="0"/>
      </w:pPr>
      <w:r>
        <w:t>Austronesisch: Bahasa, Balinesisch, Maduresisch, Malagasy, In</w:t>
      </w:r>
      <w:r>
        <w:softHyphen/>
        <w:t>donesisch, Javanisch, Sunda-Sprachen, Malaiisch, Madagassisch, Tagalog</w:t>
      </w:r>
    </w:p>
    <w:p w:rsidR="00BB7EDA" w:rsidRDefault="007D72B3">
      <w:pPr>
        <w:pStyle w:val="Bodytext20"/>
        <w:numPr>
          <w:ilvl w:val="0"/>
          <w:numId w:val="76"/>
        </w:numPr>
        <w:shd w:val="clear" w:color="auto" w:fill="auto"/>
        <w:tabs>
          <w:tab w:val="left" w:pos="299"/>
        </w:tabs>
        <w:spacing w:before="0" w:line="461" w:lineRule="exact"/>
        <w:ind w:right="1140"/>
        <w:jc w:val="left"/>
      </w:pPr>
      <w:r>
        <w:t>Ozeanisch: Melanesisch, Mikronesisch, Polynesisch IN DI ANER-SPR ACHEN</w:t>
      </w:r>
    </w:p>
    <w:p w:rsidR="00BB7EDA" w:rsidRDefault="007D72B3">
      <w:pPr>
        <w:pStyle w:val="Bodytext20"/>
        <w:numPr>
          <w:ilvl w:val="0"/>
          <w:numId w:val="77"/>
        </w:numPr>
        <w:shd w:val="clear" w:color="auto" w:fill="auto"/>
        <w:tabs>
          <w:tab w:val="left" w:pos="289"/>
        </w:tabs>
        <w:spacing w:before="0" w:after="104" w:line="235" w:lineRule="exact"/>
      </w:pPr>
      <w:r>
        <w:t>Nordamerikanisch: Athapaskisch, Irokesisch, Huronisc</w:t>
      </w:r>
      <w:r>
        <w:t>h, Algon</w:t>
      </w:r>
      <w:r>
        <w:softHyphen/>
        <w:t>kin, Comanche, Navajo, Hopi, Chopewa, Wintu</w:t>
      </w:r>
    </w:p>
    <w:p w:rsidR="00BB7EDA" w:rsidRDefault="007D72B3">
      <w:pPr>
        <w:pStyle w:val="Bodytext20"/>
        <w:numPr>
          <w:ilvl w:val="0"/>
          <w:numId w:val="77"/>
        </w:numPr>
        <w:shd w:val="clear" w:color="auto" w:fill="auto"/>
        <w:tabs>
          <w:tab w:val="left" w:pos="299"/>
        </w:tabs>
        <w:spacing w:before="0" w:after="98" w:line="180" w:lineRule="exact"/>
      </w:pPr>
      <w:r>
        <w:t>Mittelamerikanisch: Naua, Maya, Mixtekisch, Otomi, Zapotekisch</w:t>
      </w:r>
    </w:p>
    <w:p w:rsidR="00BB7EDA" w:rsidRDefault="007D72B3">
      <w:pPr>
        <w:pStyle w:val="Bodytext20"/>
        <w:numPr>
          <w:ilvl w:val="0"/>
          <w:numId w:val="77"/>
        </w:numPr>
        <w:shd w:val="clear" w:color="auto" w:fill="auto"/>
        <w:tabs>
          <w:tab w:val="left" w:pos="299"/>
        </w:tabs>
        <w:spacing w:before="0" w:after="457" w:line="226" w:lineRule="exact"/>
      </w:pPr>
      <w:r>
        <w:t>Südamerikanisch: Karaibisch, Aurakanisch, Ketschua, Aruak, Ge, Guarani, Tupi, Aimara, Chibcha</w:t>
      </w:r>
    </w:p>
    <w:p w:rsidR="00BB7EDA" w:rsidRDefault="007D72B3">
      <w:pPr>
        <w:pStyle w:val="Heading50"/>
        <w:keepNext/>
        <w:keepLines/>
        <w:numPr>
          <w:ilvl w:val="0"/>
          <w:numId w:val="68"/>
        </w:numPr>
        <w:shd w:val="clear" w:color="auto" w:fill="auto"/>
        <w:tabs>
          <w:tab w:val="left" w:pos="519"/>
        </w:tabs>
        <w:spacing w:after="218" w:line="180" w:lineRule="exact"/>
      </w:pPr>
      <w:bookmarkStart w:id="32" w:name="bookmark31"/>
      <w:r>
        <w:t>Sprachtypologie</w:t>
      </w:r>
      <w:bookmarkEnd w:id="32"/>
    </w:p>
    <w:p w:rsidR="00BB7EDA" w:rsidRDefault="007D72B3">
      <w:pPr>
        <w:pStyle w:val="Bodytext20"/>
        <w:shd w:val="clear" w:color="auto" w:fill="auto"/>
        <w:spacing w:before="0" w:line="226" w:lineRule="exact"/>
      </w:pPr>
      <w:r>
        <w:t>Man kann die Sprachen der Welt</w:t>
      </w:r>
      <w:r>
        <w:t xml:space="preserve"> auch nach dem Typus der Sprach- beschaffenheit, aufgrund struktureller Kriterien, klassifizieren.</w:t>
      </w:r>
      <w:r>
        <w:rPr>
          <w:vertAlign w:val="superscript"/>
        </w:rPr>
        <w:footnoteReference w:id="116"/>
      </w:r>
      <w:r>
        <w:rPr>
          <w:vertAlign w:val="superscript"/>
        </w:rPr>
        <w:t xml:space="preserve"> </w:t>
      </w:r>
      <w:r>
        <w:t>Diese Art der Einteilung hat nichts mit genealogischer Sprach</w:t>
      </w:r>
      <w:r>
        <w:softHyphen/>
        <w:t>verwandtschaft zu tun. Sprachen, die von der Abstammung über</w:t>
      </w:r>
      <w:r>
        <w:softHyphen/>
        <w:t xml:space="preserve">haupt nichts miteinander zu tun </w:t>
      </w:r>
      <w:r>
        <w:t>haben, können bei dieser Einteilung in die gleiche Klasse kommen, während genealogisch eng verwand</w:t>
      </w:r>
      <w:r>
        <w:softHyphen/>
        <w:t>te Sprachen in unterschiedliche Kategorien eingeteilt werden.</w:t>
      </w:r>
    </w:p>
    <w:p w:rsidR="00BB7EDA" w:rsidRDefault="007D72B3">
      <w:pPr>
        <w:pStyle w:val="Bodytext20"/>
        <w:shd w:val="clear" w:color="auto" w:fill="auto"/>
        <w:spacing w:before="0" w:after="217" w:line="226" w:lineRule="exact"/>
        <w:ind w:firstLine="340"/>
        <w:jc w:val="left"/>
      </w:pPr>
      <w:r>
        <w:t>In der Sprachtypologie werden u.a. folgende Klassifikationen unterschieden:</w:t>
      </w:r>
    </w:p>
    <w:p w:rsidR="00BB7EDA" w:rsidRDefault="007D72B3">
      <w:pPr>
        <w:pStyle w:val="Bodytext20"/>
        <w:numPr>
          <w:ilvl w:val="0"/>
          <w:numId w:val="78"/>
        </w:numPr>
        <w:shd w:val="clear" w:color="auto" w:fill="auto"/>
        <w:tabs>
          <w:tab w:val="left" w:pos="265"/>
        </w:tabs>
        <w:spacing w:before="0" w:after="14" w:line="180" w:lineRule="exact"/>
      </w:pPr>
      <w:r>
        <w:t>Klassifikation morp</w:t>
      </w:r>
      <w:r>
        <w:t>hologischer Typen</w:t>
      </w:r>
    </w:p>
    <w:p w:rsidR="00BB7EDA" w:rsidRDefault="007D72B3">
      <w:pPr>
        <w:pStyle w:val="Bodytext20"/>
        <w:numPr>
          <w:ilvl w:val="0"/>
          <w:numId w:val="78"/>
        </w:numPr>
        <w:shd w:val="clear" w:color="auto" w:fill="auto"/>
        <w:tabs>
          <w:tab w:val="left" w:pos="265"/>
        </w:tabs>
        <w:spacing w:before="0" w:line="180" w:lineRule="exact"/>
      </w:pPr>
      <w:r>
        <w:t>Klassifikation struktureller Typen</w:t>
      </w:r>
    </w:p>
    <w:p w:rsidR="00BB7EDA" w:rsidRDefault="007D72B3">
      <w:pPr>
        <w:pStyle w:val="Bodytext20"/>
        <w:shd w:val="clear" w:color="auto" w:fill="auto"/>
        <w:spacing w:before="0" w:after="176" w:line="226" w:lineRule="exact"/>
        <w:ind w:firstLine="340"/>
        <w:jc w:val="left"/>
      </w:pPr>
      <w:r>
        <w:t>Unter dem Gesichtspunkt der morphologischen und strukturel</w:t>
      </w:r>
      <w:r>
        <w:softHyphen/>
        <w:t>len Kriterien unterscheidet man folgende Kategorien:</w:t>
      </w:r>
    </w:p>
    <w:p w:rsidR="00BB7EDA" w:rsidRDefault="007D72B3">
      <w:pPr>
        <w:pStyle w:val="Bodytext80"/>
        <w:numPr>
          <w:ilvl w:val="0"/>
          <w:numId w:val="79"/>
        </w:numPr>
        <w:shd w:val="clear" w:color="auto" w:fill="auto"/>
        <w:tabs>
          <w:tab w:val="left" w:pos="639"/>
        </w:tabs>
        <w:spacing w:line="230" w:lineRule="exact"/>
      </w:pPr>
      <w:r>
        <w:t>Isolierende Sprachen</w:t>
      </w:r>
    </w:p>
    <w:p w:rsidR="00BB7EDA" w:rsidRDefault="007D72B3">
      <w:pPr>
        <w:pStyle w:val="Bodytext20"/>
        <w:shd w:val="clear" w:color="auto" w:fill="auto"/>
        <w:spacing w:before="0" w:after="180"/>
      </w:pPr>
      <w:r>
        <w:t>Die Gestalt der einzelnen Wörter bleibt unverändert, völlig unab</w:t>
      </w:r>
      <w:r>
        <w:softHyphen/>
        <w:t>hängi</w:t>
      </w:r>
      <w:r>
        <w:t>g davon, was ihre Funktion im Satz ist (z.B. Chinesisch, Eng</w:t>
      </w:r>
      <w:r>
        <w:softHyphen/>
        <w:t>lisch hat sich diesem Typus deutlich angenähert). Bei den Sprachen dieser Klasse werden grammatische Beziehungen durch selbst</w:t>
      </w:r>
      <w:r>
        <w:softHyphen/>
        <w:t>ständige Wörter mit grammatischen Bedeutungen und durch Wortstellungs</w:t>
      </w:r>
      <w:r>
        <w:t>regulationen im Satz ausgedrückt.</w:t>
      </w:r>
    </w:p>
    <w:p w:rsidR="00BB7EDA" w:rsidRDefault="007D72B3">
      <w:pPr>
        <w:pStyle w:val="Bodytext80"/>
        <w:numPr>
          <w:ilvl w:val="0"/>
          <w:numId w:val="79"/>
        </w:numPr>
        <w:shd w:val="clear" w:color="auto" w:fill="auto"/>
        <w:tabs>
          <w:tab w:val="left" w:pos="649"/>
        </w:tabs>
        <w:spacing w:line="230" w:lineRule="exact"/>
      </w:pPr>
      <w:r>
        <w:t>Polysynthetische Sprachen</w:t>
      </w:r>
    </w:p>
    <w:p w:rsidR="00BB7EDA" w:rsidRDefault="007D72B3">
      <w:pPr>
        <w:pStyle w:val="Bodytext20"/>
        <w:shd w:val="clear" w:color="auto" w:fill="auto"/>
        <w:spacing w:before="0" w:after="184"/>
      </w:pPr>
      <w:r>
        <w:t xml:space="preserve">Bedeutungstragende Elemente können zu hochkomplexen langen Ketten zusammengesetzt werden. Formal kann ein Satz oft aus nur einem einzigen Wort bestehen (z.B. Grönländisch, die meisten </w:t>
      </w:r>
      <w:r>
        <w:t>Indianersprachen).</w:t>
      </w:r>
    </w:p>
    <w:p w:rsidR="00BB7EDA" w:rsidRDefault="007D72B3">
      <w:pPr>
        <w:pStyle w:val="Bodytext80"/>
        <w:numPr>
          <w:ilvl w:val="0"/>
          <w:numId w:val="79"/>
        </w:numPr>
        <w:shd w:val="clear" w:color="auto" w:fill="auto"/>
        <w:tabs>
          <w:tab w:val="left" w:pos="649"/>
        </w:tabs>
      </w:pPr>
      <w:r>
        <w:t>Agglutitiierende Sprachen</w:t>
      </w:r>
    </w:p>
    <w:p w:rsidR="00BB7EDA" w:rsidRDefault="007D72B3">
      <w:pPr>
        <w:pStyle w:val="Bodytext20"/>
        <w:shd w:val="clear" w:color="auto" w:fill="auto"/>
        <w:spacing w:before="0" w:after="180" w:line="226" w:lineRule="exact"/>
      </w:pPr>
      <w:r>
        <w:t>Der Wortstamm wird durch Prä-, In- und Suffixe zu Ketten erweitert (z.B. Türkisch, Sumerisch). Im Gegensatz zu den flektierenden Spra</w:t>
      </w:r>
      <w:r>
        <w:softHyphen/>
        <w:t>chen können diese viel leichter in Segmente zerlegt werden, da Wortstämme und</w:t>
      </w:r>
      <w:r>
        <w:t xml:space="preserve"> Affixe klar erkennbare Formen besitzen.</w:t>
      </w:r>
    </w:p>
    <w:p w:rsidR="00BB7EDA" w:rsidRDefault="007D72B3">
      <w:pPr>
        <w:pStyle w:val="Bodytext80"/>
        <w:numPr>
          <w:ilvl w:val="0"/>
          <w:numId w:val="79"/>
        </w:numPr>
        <w:shd w:val="clear" w:color="auto" w:fill="auto"/>
        <w:tabs>
          <w:tab w:val="left" w:pos="654"/>
        </w:tabs>
      </w:pPr>
      <w:r>
        <w:t>Flektierende Sprachen</w:t>
      </w:r>
    </w:p>
    <w:p w:rsidR="00BB7EDA" w:rsidRDefault="007D72B3">
      <w:pPr>
        <w:pStyle w:val="Bodytext20"/>
        <w:shd w:val="clear" w:color="auto" w:fill="auto"/>
        <w:spacing w:before="0" w:line="226" w:lineRule="exact"/>
        <w:sectPr w:rsidR="00BB7EDA">
          <w:pgSz w:w="7266" w:h="11422"/>
          <w:pgMar w:top="741" w:right="783" w:bottom="1146" w:left="799" w:header="0" w:footer="3" w:gutter="0"/>
          <w:cols w:space="720"/>
          <w:noEndnote/>
          <w:docGrid w:linePitch="360"/>
        </w:sectPr>
      </w:pPr>
      <w:r>
        <w:t>Je nach Rolle des Wortes im Satz können Wörter in ihrer Form verändert werden (z.B. indogermanische und semitische Sprachen). In dieser Kategorie führt die Verbindung von A</w:t>
      </w:r>
      <w:r>
        <w:t>ffixen und Wort</w:t>
      </w:r>
      <w:r>
        <w:softHyphen/>
        <w:t>stamm vielfach zu einer Verschmelzung. Ein Affix kann oft gleich</w:t>
      </w:r>
      <w:r>
        <w:softHyphen/>
        <w:t>zeitig mehr als eine Bedeutung aufweisen.</w:t>
      </w:r>
    </w:p>
    <w:p w:rsidR="00BB7EDA" w:rsidRDefault="007D72B3">
      <w:pPr>
        <w:pStyle w:val="Heading30"/>
        <w:keepNext/>
        <w:keepLines/>
        <w:numPr>
          <w:ilvl w:val="0"/>
          <w:numId w:val="78"/>
        </w:numPr>
        <w:shd w:val="clear" w:color="auto" w:fill="auto"/>
        <w:tabs>
          <w:tab w:val="left" w:pos="370"/>
        </w:tabs>
        <w:spacing w:after="461" w:line="336" w:lineRule="exact"/>
      </w:pPr>
      <w:bookmarkStart w:id="33" w:name="bookmark32"/>
      <w:r>
        <w:t>Der Ursprung der Sprachen aus der Sicht der Evolutionslehre</w:t>
      </w:r>
      <w:bookmarkEnd w:id="33"/>
    </w:p>
    <w:p w:rsidR="00BB7EDA" w:rsidRDefault="007D72B3">
      <w:pPr>
        <w:pStyle w:val="Heading40"/>
        <w:keepNext/>
        <w:keepLines/>
        <w:numPr>
          <w:ilvl w:val="1"/>
          <w:numId w:val="78"/>
        </w:numPr>
        <w:shd w:val="clear" w:color="auto" w:fill="auto"/>
        <w:tabs>
          <w:tab w:val="left" w:pos="394"/>
        </w:tabs>
        <w:spacing w:after="242" w:line="210" w:lineRule="exact"/>
      </w:pPr>
      <w:bookmarkStart w:id="34" w:name="bookmark33"/>
      <w:r>
        <w:t>Evolutionistischer Pluralismus</w:t>
      </w:r>
      <w:bookmarkEnd w:id="34"/>
    </w:p>
    <w:p w:rsidR="00BB7EDA" w:rsidRDefault="007D72B3">
      <w:pPr>
        <w:pStyle w:val="Bodytext20"/>
        <w:shd w:val="clear" w:color="auto" w:fill="auto"/>
        <w:spacing w:before="0"/>
      </w:pPr>
      <w:r>
        <w:t>Über die Anfänge der menschlichen Sprachen</w:t>
      </w:r>
      <w:r>
        <w:t xml:space="preserve"> ist aus evolu</w:t>
      </w:r>
      <w:r>
        <w:softHyphen/>
        <w:t xml:space="preserve">tionistischer Sicht viel spekuliert worden - zeitlich vor und nach </w:t>
      </w:r>
      <w:r>
        <w:rPr>
          <w:rStyle w:val="Bodytext28ptBoldSmallCaps"/>
        </w:rPr>
        <w:t xml:space="preserve">Darwin. </w:t>
      </w:r>
      <w:r>
        <w:t>Die ideologischen Grundvoraussetzungen waren jedoch zumeist recht ähnlich.</w:t>
      </w:r>
    </w:p>
    <w:p w:rsidR="00BB7EDA" w:rsidRDefault="007D72B3">
      <w:pPr>
        <w:pStyle w:val="Bodytext20"/>
        <w:shd w:val="clear" w:color="auto" w:fill="auto"/>
        <w:spacing w:before="0" w:after="400"/>
        <w:ind w:firstLine="320"/>
      </w:pPr>
      <w:r>
        <w:t xml:space="preserve">Unter Evolutionisten hat sich - dies ist sehr bemerkenswert - bis heute </w:t>
      </w:r>
      <w:r>
        <w:rPr>
          <w:rStyle w:val="Bodytext2Italic0"/>
        </w:rPr>
        <w:t xml:space="preserve">kein allgemeiner </w:t>
      </w:r>
      <w:r>
        <w:rPr>
          <w:rStyle w:val="Bodytext2Italic0"/>
        </w:rPr>
        <w:t>Konsens</w:t>
      </w:r>
      <w:r>
        <w:t xml:space="preserve"> bezüglich der Entstehung der Spra</w:t>
      </w:r>
      <w:r>
        <w:softHyphen/>
        <w:t>chen gebildet. Man könnte also nach wie vor keine „Sprachevolutions- Dogmatik" schreiben, ganz im Gegensatz zu gewissen anderen Gebieten innerhalb der Entwicklungslehre.</w:t>
      </w:r>
    </w:p>
    <w:p w:rsidR="00BB7EDA" w:rsidRDefault="007D72B3">
      <w:pPr>
        <w:pStyle w:val="Heading50"/>
        <w:keepNext/>
        <w:keepLines/>
        <w:numPr>
          <w:ilvl w:val="2"/>
          <w:numId w:val="78"/>
        </w:numPr>
        <w:shd w:val="clear" w:color="auto" w:fill="auto"/>
        <w:tabs>
          <w:tab w:val="left" w:pos="500"/>
        </w:tabs>
        <w:spacing w:after="218" w:line="180" w:lineRule="exact"/>
      </w:pPr>
      <w:bookmarkStart w:id="35" w:name="bookmark34"/>
      <w:r>
        <w:t>Zwei grundsätzlich verschiedene Thesen</w:t>
      </w:r>
      <w:bookmarkEnd w:id="35"/>
    </w:p>
    <w:p w:rsidR="00BB7EDA" w:rsidRDefault="007D72B3">
      <w:pPr>
        <w:pStyle w:val="Bodytext20"/>
        <w:shd w:val="clear" w:color="auto" w:fill="auto"/>
        <w:spacing w:before="0" w:after="397" w:line="226" w:lineRule="exact"/>
      </w:pPr>
      <w:r>
        <w:t>Die V</w:t>
      </w:r>
      <w:r>
        <w:t>ielfalt der Ansätze und der divergierenden Meinungen inner</w:t>
      </w:r>
      <w:r>
        <w:softHyphen/>
        <w:t>halb des Evolutionismus mag an sich schon verwirrend wirken. Noch erschwerender wird es, wenn man zusätzlich zwei grundsätz</w:t>
      </w:r>
      <w:r>
        <w:softHyphen/>
        <w:t>lich verschiedene Arten von Evolutionslehren unterscheiden muss. Wir soll</w:t>
      </w:r>
      <w:r>
        <w:t xml:space="preserve">ten nämlich prinzipiell zwischen einer </w:t>
      </w:r>
      <w:r>
        <w:rPr>
          <w:rStyle w:val="Bodytext2Italic0"/>
        </w:rPr>
        <w:t>Kontinuitäts-</w:t>
      </w:r>
      <w:r>
        <w:t xml:space="preserve"> und einer </w:t>
      </w:r>
      <w:r>
        <w:rPr>
          <w:rStyle w:val="Bodytext2Italic0"/>
        </w:rPr>
        <w:t>Diskontinuitätsthese</w:t>
      </w:r>
      <w:r>
        <w:t xml:space="preserve"> differenzieren.</w:t>
      </w:r>
    </w:p>
    <w:p w:rsidR="00BB7EDA" w:rsidRDefault="007D72B3">
      <w:pPr>
        <w:pStyle w:val="Heading50"/>
        <w:keepNext/>
        <w:keepLines/>
        <w:numPr>
          <w:ilvl w:val="2"/>
          <w:numId w:val="78"/>
        </w:numPr>
        <w:shd w:val="clear" w:color="auto" w:fill="auto"/>
        <w:tabs>
          <w:tab w:val="left" w:pos="505"/>
        </w:tabs>
        <w:spacing w:after="218" w:line="180" w:lineRule="exact"/>
      </w:pPr>
      <w:bookmarkStart w:id="36" w:name="bookmark35"/>
      <w:r>
        <w:t>Zur Kontinuitätsthese</w:t>
      </w:r>
      <w:bookmarkEnd w:id="36"/>
    </w:p>
    <w:p w:rsidR="00BB7EDA" w:rsidRDefault="007D72B3">
      <w:pPr>
        <w:pStyle w:val="Bodytext20"/>
        <w:shd w:val="clear" w:color="auto" w:fill="auto"/>
        <w:spacing w:before="0" w:line="226" w:lineRule="exact"/>
      </w:pPr>
      <w:r>
        <w:t>Im Rahmen der Kontinuitätsthese versucht man, die Sprachen</w:t>
      </w:r>
      <w:r>
        <w:softHyphen/>
        <w:t xml:space="preserve">entstehung als eine linear verlaufende Evolution mit stufenweisem Wachstum </w:t>
      </w:r>
      <w:r>
        <w:t>und quantitativen Veränderungen zu verstehen. Unter dieser Sichtweise ordnet sich auch die Meinung ein, dass der Ur</w:t>
      </w:r>
      <w:r>
        <w:softHyphen/>
        <w:t>sprung unserer Sprachbefähigung und die so genannte „Mensch</w:t>
      </w:r>
      <w:r>
        <w:softHyphen/>
        <w:t>werdung" in einem langwierigen dialektischen Prozess - in der Zeitperiode, die v</w:t>
      </w:r>
      <w:r>
        <w:t xml:space="preserve">or etwa 1,5 Millionen Jahre begonnen und vor 250.000 Jahren mit dem Auftreten des modernen </w:t>
      </w:r>
      <w:r>
        <w:rPr>
          <w:rStyle w:val="Bodytext2Italic0"/>
        </w:rPr>
        <w:t>Homo sapiens</w:t>
      </w:r>
      <w:r>
        <w:t xml:space="preserve"> geen</w:t>
      </w:r>
      <w:r>
        <w:softHyphen/>
        <w:t>det habe</w:t>
      </w:r>
      <w:r>
        <w:rPr>
          <w:vertAlign w:val="superscript"/>
        </w:rPr>
        <w:footnoteReference w:id="117"/>
      </w:r>
      <w:r>
        <w:t xml:space="preserve"> - miteinander verknüpft seien, wobei sich dadurch die</w:t>
      </w:r>
    </w:p>
    <w:p w:rsidR="00BB7EDA" w:rsidRDefault="007D72B3">
      <w:pPr>
        <w:pStyle w:val="Bodytext20"/>
        <w:shd w:val="clear" w:color="auto" w:fill="auto"/>
        <w:spacing w:before="0" w:line="226" w:lineRule="exact"/>
      </w:pPr>
      <w:r>
        <w:t>Sprachzentren im Großhirn allmählich ausgebildet hätten. Die ei</w:t>
      </w:r>
      <w:r>
        <w:softHyphen/>
        <w:t>gentliche menschlic</w:t>
      </w:r>
      <w:r>
        <w:t>he Lautsprache habe sich in der Zeit zwischen 250.000 und 35.000 Jahren vor heute in einem sukzessiven Vorgang entwickelt.</w:t>
      </w:r>
      <w:r>
        <w:rPr>
          <w:vertAlign w:val="superscript"/>
        </w:rPr>
        <w:footnoteReference w:id="118"/>
      </w:r>
    </w:p>
    <w:p w:rsidR="00BB7EDA" w:rsidRDefault="007D72B3">
      <w:pPr>
        <w:pStyle w:val="Bodytext20"/>
        <w:shd w:val="clear" w:color="auto" w:fill="auto"/>
        <w:spacing w:before="0" w:line="226" w:lineRule="exact"/>
        <w:ind w:firstLine="320"/>
      </w:pPr>
      <w:r>
        <w:t xml:space="preserve">Im Einzelnen stellen sich Evolutionisten diese Entwicklungen verschieden vor. Der amerikanische Anthropologe Jared </w:t>
      </w:r>
      <w:r>
        <w:rPr>
          <w:rStyle w:val="Bodytext28ptSmallCaps"/>
        </w:rPr>
        <w:t xml:space="preserve">Diamond </w:t>
      </w:r>
      <w:r>
        <w:t>z.B. sieh</w:t>
      </w:r>
      <w:r>
        <w:t>t es so:</w:t>
      </w:r>
    </w:p>
    <w:p w:rsidR="00BB7EDA" w:rsidRDefault="007D72B3">
      <w:pPr>
        <w:pStyle w:val="Bodytext20"/>
        <w:shd w:val="clear" w:color="auto" w:fill="auto"/>
        <w:spacing w:before="0" w:after="457" w:line="226" w:lineRule="exact"/>
        <w:ind w:firstLine="320"/>
      </w:pPr>
      <w:r>
        <w:t>Australopithezinen hätten vor 4 Millionen Jahren nur gutturale Laute ausgestoßen, so wie wir dies von den Schimpansen gewohnt sind. Vor ungefähr l'/</w:t>
      </w:r>
      <w:r>
        <w:rPr>
          <w:vertAlign w:val="subscript"/>
        </w:rPr>
        <w:t>2</w:t>
      </w:r>
      <w:r>
        <w:t xml:space="preserve"> Millionen Jahren habe der </w:t>
      </w:r>
      <w:r>
        <w:rPr>
          <w:rStyle w:val="Bodytext2Italic0"/>
        </w:rPr>
        <w:t xml:space="preserve">Homo erectus </w:t>
      </w:r>
      <w:r>
        <w:t xml:space="preserve">einzelne Wörter gebraucht. Eine Million Jahr später sei er in der Lage gewesen, Zwei-Wort-Sätze hervorzubringen. Der prähistorische </w:t>
      </w:r>
      <w:r>
        <w:rPr>
          <w:rStyle w:val="Bodytext2Italic0"/>
        </w:rPr>
        <w:t>Homo sapiens</w:t>
      </w:r>
      <w:r>
        <w:t xml:space="preserve"> habe es schließlich geschafft, längere Wortketten ohne viel Grammatik zu bilden. Die komplexe Sprache sei aber </w:t>
      </w:r>
      <w:r>
        <w:t>erst seit dem in Europa vor 40.000 Jahren angesetzten allgemeinen kulturel</w:t>
      </w:r>
      <w:r>
        <w:softHyphen/>
        <w:t>len Aufschwung entstanden, und zwar im Rahmen einer „kreativen Explosion".</w:t>
      </w:r>
      <w:r>
        <w:rPr>
          <w:vertAlign w:val="superscript"/>
        </w:rPr>
        <w:footnoteReference w:id="119"/>
      </w:r>
    </w:p>
    <w:p w:rsidR="00BB7EDA" w:rsidRDefault="007D72B3">
      <w:pPr>
        <w:pStyle w:val="Heading50"/>
        <w:keepNext/>
        <w:keepLines/>
        <w:numPr>
          <w:ilvl w:val="2"/>
          <w:numId w:val="78"/>
        </w:numPr>
        <w:shd w:val="clear" w:color="auto" w:fill="auto"/>
        <w:tabs>
          <w:tab w:val="left" w:pos="505"/>
        </w:tabs>
        <w:spacing w:after="218" w:line="180" w:lineRule="exact"/>
      </w:pPr>
      <w:bookmarkStart w:id="37" w:name="bookmark36"/>
      <w:r>
        <w:t>Zur Diskontinuitätsthese</w:t>
      </w:r>
      <w:bookmarkEnd w:id="37"/>
    </w:p>
    <w:p w:rsidR="00BB7EDA" w:rsidRDefault="007D72B3">
      <w:pPr>
        <w:pStyle w:val="Bodytext20"/>
        <w:shd w:val="clear" w:color="auto" w:fill="auto"/>
        <w:spacing w:before="0" w:after="180" w:line="226" w:lineRule="exact"/>
      </w:pPr>
      <w:r>
        <w:t>Der Klarheit halber sollte man in Verbindung mit dieser Evolutions</w:t>
      </w:r>
      <w:r>
        <w:softHyphen/>
        <w:t>richtung zusä</w:t>
      </w:r>
      <w:r>
        <w:t xml:space="preserve">tzlich einen deutlichen Unterschied zwischen einer </w:t>
      </w:r>
      <w:r>
        <w:rPr>
          <w:rStyle w:val="Bodytext2Italic0"/>
        </w:rPr>
        <w:t>biologischen</w:t>
      </w:r>
      <w:r>
        <w:t xml:space="preserve"> und einer </w:t>
      </w:r>
      <w:r>
        <w:rPr>
          <w:rStyle w:val="Bodytext2Italic0"/>
        </w:rPr>
        <w:t>linguistischen</w:t>
      </w:r>
      <w:r>
        <w:t xml:space="preserve"> Diskontinuitätsthese machen.</w:t>
      </w:r>
    </w:p>
    <w:p w:rsidR="00BB7EDA" w:rsidRDefault="007D72B3">
      <w:pPr>
        <w:pStyle w:val="Bodytext20"/>
        <w:numPr>
          <w:ilvl w:val="0"/>
          <w:numId w:val="80"/>
        </w:numPr>
        <w:shd w:val="clear" w:color="auto" w:fill="auto"/>
        <w:tabs>
          <w:tab w:val="left" w:pos="649"/>
        </w:tabs>
        <w:spacing w:before="0" w:after="180" w:line="226" w:lineRule="exact"/>
      </w:pPr>
      <w:r>
        <w:rPr>
          <w:rStyle w:val="Bodytext285ptBoldItalic"/>
        </w:rPr>
        <w:t xml:space="preserve">Zur biologischen Diskontinuitätsthese </w:t>
      </w:r>
      <w:r>
        <w:t>Die Diskontinuitätsthese entstand durch Kritik an der Kontinuitäts</w:t>
      </w:r>
      <w:r>
        <w:softHyphen/>
        <w:t>these: Die von den Vertretern der</w:t>
      </w:r>
      <w:r>
        <w:t xml:space="preserve"> Kontinuitätsthese vorgeschlage</w:t>
      </w:r>
      <w:r>
        <w:softHyphen/>
        <w:t>nen Prozesse und Faktoren seien völlig ungenügend, um die Entste</w:t>
      </w:r>
      <w:r>
        <w:softHyphen/>
        <w:t>hung der Sprache zu erklären. Es ist ja schließlich auch eine Tatsa</w:t>
      </w:r>
      <w:r>
        <w:softHyphen/>
        <w:t>che, dass in der Fachliteratur unumstrittene Übergangsglieder, die eine graduelle Transform</w:t>
      </w:r>
      <w:r>
        <w:t>ation eines menschenaffenähnlichen Ge</w:t>
      </w:r>
      <w:r>
        <w:softHyphen/>
        <w:t>hirns in ein menschenähnliches Gehirn belegen, bisher nicht be</w:t>
      </w:r>
      <w:r>
        <w:softHyphen/>
        <w:t>schrieben wurden.</w:t>
      </w:r>
      <w:r>
        <w:rPr>
          <w:vertAlign w:val="superscript"/>
        </w:rPr>
        <w:footnoteReference w:id="120"/>
      </w:r>
      <w:r>
        <w:t xml:space="preserve"> Deshalb meinen Anhänger der biologischen Diskontinuitätsthese, dass die Sprachen sprunghaft entstanden sein müssen, bedingt durch plötzl</w:t>
      </w:r>
      <w:r>
        <w:t>iche Genmutationen. Bei diesem An</w:t>
      </w:r>
      <w:r>
        <w:softHyphen/>
        <w:t xml:space="preserve">satz glaubt man also an die Entstehung einer Sprachhardware im Gehirn durch einen plötzlichen </w:t>
      </w:r>
      <w:r>
        <w:rPr>
          <w:rStyle w:val="Bodytext2Italic0"/>
        </w:rPr>
        <w:t>Mega-Mutationssprung.</w:t>
      </w:r>
    </w:p>
    <w:p w:rsidR="00BB7EDA" w:rsidRDefault="007D72B3">
      <w:pPr>
        <w:pStyle w:val="Bodytext100"/>
        <w:numPr>
          <w:ilvl w:val="0"/>
          <w:numId w:val="81"/>
        </w:numPr>
        <w:shd w:val="clear" w:color="auto" w:fill="auto"/>
        <w:tabs>
          <w:tab w:val="left" w:pos="658"/>
        </w:tabs>
        <w:spacing w:before="0"/>
        <w:ind w:firstLine="0"/>
      </w:pPr>
      <w:r>
        <w:t>Zur linguistischen Diskontinuitätsthese</w:t>
      </w:r>
    </w:p>
    <w:p w:rsidR="00BB7EDA" w:rsidRDefault="007D72B3">
      <w:pPr>
        <w:pStyle w:val="Bodytext20"/>
        <w:shd w:val="clear" w:color="auto" w:fill="auto"/>
        <w:spacing w:before="0" w:line="226" w:lineRule="exact"/>
      </w:pPr>
      <w:r>
        <w:t xml:space="preserve">In der </w:t>
      </w:r>
      <w:r>
        <w:rPr>
          <w:rStyle w:val="Bodytext2Italic0"/>
        </w:rPr>
        <w:t>extrem-nativistischen</w:t>
      </w:r>
      <w:r>
        <w:t xml:space="preserve"> Sicht der Dinge glaubt man, dass zu</w:t>
      </w:r>
      <w:r>
        <w:softHyphen/>
        <w:t>n</w:t>
      </w:r>
      <w:r>
        <w:t>ächst einmal die Sprachhardware entstehen musste - ob durch einen biologischen Sprung oder durch einen Prozess kann hier offen gelassen werden. Wichtig ist hier nur die Meinung, dass die mensch</w:t>
      </w:r>
      <w:r>
        <w:softHyphen/>
        <w:t xml:space="preserve">liche Sprache sich jedenfalls nicht allmählich aus tierischen </w:t>
      </w:r>
      <w:r>
        <w:t>Kommunikationsfähigkeiten entwickelt habe, sondern sprunghaft als ein völlig neues Phänomen ausgebildet worden sei. Die plötzli</w:t>
      </w:r>
      <w:r>
        <w:softHyphen/>
        <w:t>che Entstehung der menschlichen Sprache basiere auf einer völlig neuen biologischen Hardware, die bei ihrer Entstehung bereits s</w:t>
      </w:r>
      <w:r>
        <w:t>chon derart mit einer Grammatik-Software ausgerüstet gewesen sei, sodass der Mensch in relativ kurzer Zeit eine funktionierende Sprache als Kommunikationsmittel selber hätte generieren können.</w:t>
      </w:r>
      <w:r>
        <w:rPr>
          <w:vertAlign w:val="superscript"/>
        </w:rPr>
        <w:footnoteReference w:id="121"/>
      </w:r>
    </w:p>
    <w:p w:rsidR="00BB7EDA" w:rsidRDefault="007D72B3">
      <w:pPr>
        <w:pStyle w:val="Bodytext20"/>
        <w:shd w:val="clear" w:color="auto" w:fill="auto"/>
        <w:spacing w:before="0" w:line="226" w:lineRule="exact"/>
        <w:ind w:firstLine="320"/>
      </w:pPr>
      <w:r>
        <w:t>Als eine etwas weniger sprunghafte Alternative zum extrem- nat</w:t>
      </w:r>
      <w:r>
        <w:t xml:space="preserve">ivistischen Standpunkt von </w:t>
      </w:r>
      <w:r>
        <w:rPr>
          <w:rStyle w:val="Bodytext28ptBoldSmallCaps"/>
        </w:rPr>
        <w:t xml:space="preserve">Chomsky </w:t>
      </w:r>
      <w:r>
        <w:t xml:space="preserve">betrachtet man den </w:t>
      </w:r>
      <w:r>
        <w:rPr>
          <w:rStyle w:val="Bodytext2Italic0"/>
        </w:rPr>
        <w:t>kon</w:t>
      </w:r>
      <w:r>
        <w:rPr>
          <w:rStyle w:val="Bodytext2Italic0"/>
        </w:rPr>
        <w:softHyphen/>
        <w:t>struktivistischen Ansatz</w:t>
      </w:r>
      <w:r>
        <w:t xml:space="preserve"> von </w:t>
      </w:r>
      <w:r>
        <w:rPr>
          <w:rStyle w:val="Bodytext28ptBoldSmallCaps"/>
        </w:rPr>
        <w:t xml:space="preserve">Piaget, </w:t>
      </w:r>
      <w:r>
        <w:t>bei dem zwar nicht mit einem fertig ausgestatteten Sprachgenerierungs-Programm gerechnet wird, jedoch mit einer Art Lernsoftware, mit deren Hilfe im Austausch mi</w:t>
      </w:r>
      <w:r>
        <w:t>t Input von außen nach und nach eine Sprache habe aufgebaut wer</w:t>
      </w:r>
      <w:r>
        <w:softHyphen/>
        <w:t>den können.</w:t>
      </w:r>
      <w:r>
        <w:rPr>
          <w:vertAlign w:val="superscript"/>
        </w:rPr>
        <w:footnoteReference w:id="122"/>
      </w:r>
    </w:p>
    <w:p w:rsidR="00BB7EDA" w:rsidRDefault="007D72B3">
      <w:pPr>
        <w:pStyle w:val="Bodytext20"/>
        <w:shd w:val="clear" w:color="auto" w:fill="auto"/>
        <w:spacing w:before="0" w:line="226" w:lineRule="exact"/>
        <w:ind w:firstLine="320"/>
      </w:pPr>
      <w:r>
        <w:t xml:space="preserve">Bei der biologischen Diskontinuitätsthese geht man also von einem plötzlichen genetischen Evolutionssprung aus. Im Rahmen der linguistischen Diskontinuitätsthese glaubt man, dass </w:t>
      </w:r>
      <w:r>
        <w:t>zuerst die biologische Hardware da war, sodass die menschlichen Sprachen in kürzester Zeit hätten generiert werden können.</w:t>
      </w:r>
    </w:p>
    <w:p w:rsidR="00BB7EDA" w:rsidRDefault="007D72B3">
      <w:pPr>
        <w:pStyle w:val="Bodytext20"/>
        <w:shd w:val="clear" w:color="auto" w:fill="auto"/>
        <w:spacing w:before="0" w:line="226" w:lineRule="exact"/>
        <w:ind w:firstLine="320"/>
      </w:pPr>
      <w:r>
        <w:t>Nun sollte vollends deutlich werden, weshalb man zwischen einer biologischen und einer linguistischen Diskontinuitätsthese unterschei</w:t>
      </w:r>
      <w:r>
        <w:t>den sollte: Man darf den Vertretern des extrem-nativisti- sehen oder des konstruktivistischen Standpunktes nämlich nicht ohne weiteres unterstellen, dass sie auch an biologisch-evolu- tionistische Mega-Sprünge glauben. Es könnte zwar der Fall sein, aber es</w:t>
      </w:r>
      <w:r>
        <w:t xml:space="preserve"> ist keineswegs zwingend. In ihrem Konzept ist es prinzipiell wichtig, dass zuerst die Sprachhardware existierte - ob in einem kontinuierlich linearen oder in einem punktuellen Prozess entstan</w:t>
      </w:r>
      <w:r>
        <w:softHyphen/>
        <w:t>den, sei offen gelassen - und dass erst in der Folge die mensch</w:t>
      </w:r>
      <w:r>
        <w:t>lichen Sprachen generiert worden seien.</w:t>
      </w:r>
    </w:p>
    <w:p w:rsidR="00BB7EDA" w:rsidRDefault="007D72B3">
      <w:pPr>
        <w:pStyle w:val="Bodytext20"/>
        <w:shd w:val="clear" w:color="auto" w:fill="auto"/>
        <w:spacing w:before="0" w:after="180" w:line="226" w:lineRule="exact"/>
        <w:ind w:firstLine="320"/>
      </w:pPr>
      <w:r>
        <w:t xml:space="preserve">Wie verschieden auch die diversen eben genannten Ansätze im Einzelnen aussehen mögen, letztlich bauen aber alle auf dem Prinzip auf, dass die Existenz der Sprachen als Ergebnis einer </w:t>
      </w:r>
      <w:r>
        <w:rPr>
          <w:rStyle w:val="Bodytext2Italic0"/>
        </w:rPr>
        <w:t>Dynamik von unten nach oben</w:t>
      </w:r>
      <w:r>
        <w:t xml:space="preserve"> gedeu</w:t>
      </w:r>
      <w:r>
        <w:t>tet werden müsse.</w:t>
      </w:r>
    </w:p>
    <w:p w:rsidR="00BB7EDA" w:rsidRDefault="007D72B3">
      <w:pPr>
        <w:pStyle w:val="Bodytext20"/>
        <w:numPr>
          <w:ilvl w:val="0"/>
          <w:numId w:val="81"/>
        </w:numPr>
        <w:shd w:val="clear" w:color="auto" w:fill="auto"/>
        <w:tabs>
          <w:tab w:val="left" w:pos="658"/>
        </w:tabs>
        <w:spacing w:before="0" w:line="226" w:lineRule="exact"/>
      </w:pPr>
      <w:r>
        <w:rPr>
          <w:rStyle w:val="Bodytext285ptBoldItalic"/>
        </w:rPr>
        <w:t xml:space="preserve">Evolutiotiisten kritisieren Evolutionisten </w:t>
      </w:r>
      <w:r>
        <w:t xml:space="preserve">Wer im Rahmen des </w:t>
      </w:r>
      <w:r>
        <w:rPr>
          <w:rStyle w:val="Bodytext2Italic0"/>
        </w:rPr>
        <w:t>klassischen</w:t>
      </w:r>
      <w:r>
        <w:t xml:space="preserve"> Evolutionsmodells denkt, muss glauben, dass die menschlichen Sprachen im Lauf einer stammes</w:t>
      </w:r>
      <w:r>
        <w:softHyphen/>
        <w:t>geschichtlichen Entwicklung nach und nach, in kleinen Schritten, letztend</w:t>
      </w:r>
      <w:r>
        <w:t>lich immer von unten nach oben verlaufend, entstanden seien. Die Sprachen müssten somit das Resultat einer langwierigen Evolution aus primitivsten Uranfängen heraus sein. Doch, wie wir gesehen haben, gibt es auch Evolutionisten, die enttäuscht sind von den</w:t>
      </w:r>
      <w:r>
        <w:t xml:space="preserve"> großen Schwierigkeiten, die sich in Verbindung mit dem Glau</w:t>
      </w:r>
      <w:r>
        <w:softHyphen/>
        <w:t>ben an eine allmähliche Entwicklung ergeben.</w:t>
      </w:r>
    </w:p>
    <w:p w:rsidR="00BB7EDA" w:rsidRDefault="007D72B3">
      <w:pPr>
        <w:pStyle w:val="Bodytext20"/>
        <w:shd w:val="clear" w:color="auto" w:fill="auto"/>
        <w:spacing w:before="0" w:line="226" w:lineRule="exact"/>
        <w:ind w:firstLine="320"/>
      </w:pPr>
      <w:r>
        <w:rPr>
          <w:rStyle w:val="Bodytext28ptBoldSmallCaps"/>
        </w:rPr>
        <w:t xml:space="preserve">Lenneberg </w:t>
      </w:r>
      <w:r>
        <w:t>kritisierte 1972 die Theorien, die eine kontinuierlich</w:t>
      </w:r>
      <w:r>
        <w:softHyphen/>
        <w:t>lineare Evolution der Sprache aus Tierlauten heraus mit quantitati</w:t>
      </w:r>
      <w:r>
        <w:softHyphen/>
        <w:t xml:space="preserve">ven Veränderungen </w:t>
      </w:r>
      <w:r>
        <w:t>und stufenweisem Wachstum zum Gegenstand haben. Er gelangte zum Glauben an Transformationen molekularer Strukturen, die schließlich die Sprachgewandtheit als spezifisch menschliches Charakteristikum hervorgebracht haben sollen.</w:t>
      </w:r>
      <w:r>
        <w:rPr>
          <w:vertAlign w:val="superscript"/>
        </w:rPr>
        <w:footnoteReference w:id="123"/>
      </w:r>
    </w:p>
    <w:p w:rsidR="00BB7EDA" w:rsidRDefault="007D72B3">
      <w:pPr>
        <w:pStyle w:val="Bodytext20"/>
        <w:shd w:val="clear" w:color="auto" w:fill="auto"/>
        <w:spacing w:before="0" w:after="217" w:line="226" w:lineRule="exact"/>
        <w:ind w:firstLine="320"/>
      </w:pPr>
      <w:r>
        <w:t xml:space="preserve">Auf </w:t>
      </w:r>
      <w:r>
        <w:rPr>
          <w:rStyle w:val="Bodytext28ptBoldSmallCaps"/>
        </w:rPr>
        <w:t xml:space="preserve">Chomskys </w:t>
      </w:r>
      <w:r>
        <w:t>Schwierigkeite</w:t>
      </w:r>
      <w:r>
        <w:t>n mit herkömmlichen evolutioni- stischen Sprachursprungserklärungen habe ich schon früher ver</w:t>
      </w:r>
      <w:r>
        <w:softHyphen/>
        <w:t>wiesen. In seinem Buch „Sprache und Geist"</w:t>
      </w:r>
      <w:r>
        <w:rPr>
          <w:vertAlign w:val="superscript"/>
        </w:rPr>
        <w:footnoteReference w:id="124"/>
      </w:r>
      <w:r>
        <w:t xml:space="preserve"> wies er darauf hin, dass menschliche Sprache im Tierreich keine Vorläufer findet. Aus dem Bewusstsein dieser Schwierig</w:t>
      </w:r>
      <w:r>
        <w:t>keit heraus schrieb er:</w:t>
      </w:r>
    </w:p>
    <w:p w:rsidR="00BB7EDA" w:rsidRDefault="007D72B3">
      <w:pPr>
        <w:pStyle w:val="Bodytext20"/>
        <w:shd w:val="clear" w:color="auto" w:fill="auto"/>
        <w:spacing w:before="0" w:line="180" w:lineRule="exact"/>
        <w:ind w:firstLine="320"/>
      </w:pPr>
      <w:r>
        <w:t>„Es scheint mir kein Grund zur Annahme zu bestehen, dass</w:t>
      </w:r>
    </w:p>
    <w:p w:rsidR="00BB7EDA" w:rsidRDefault="007D72B3">
      <w:pPr>
        <w:pStyle w:val="Bodytext20"/>
        <w:shd w:val="clear" w:color="auto" w:fill="auto"/>
        <w:spacing w:before="0" w:line="180" w:lineRule="exact"/>
        <w:ind w:firstLine="320"/>
      </w:pPr>
      <w:r>
        <w:t>die menschliche Sprache nur ein komplexerer Fall von etwas</w:t>
      </w:r>
    </w:p>
    <w:p w:rsidR="00BB7EDA" w:rsidRDefault="007D72B3">
      <w:pPr>
        <w:pStyle w:val="Bodytext20"/>
        <w:shd w:val="clear" w:color="auto" w:fill="auto"/>
        <w:spacing w:before="0" w:after="120" w:line="226" w:lineRule="exact"/>
        <w:ind w:left="320" w:right="320"/>
      </w:pPr>
      <w:r>
        <w:t xml:space="preserve">ist, was anderswo in der Tierwelt gefunden werden kann. Das wirft ein Problem für den Biologen auf, denn falls </w:t>
      </w:r>
      <w:r>
        <w:t>dieszutrifft, ist es ein Beispiel für einen echten ,Entwicklungssprung' - für das Auftreten eines qualitativ anderen Phänomens auf einer spezifischen Stufe der Organisationskomplexität."</w:t>
      </w:r>
      <w:r>
        <w:rPr>
          <w:vertAlign w:val="superscript"/>
        </w:rPr>
        <w:footnoteReference w:id="125"/>
      </w:r>
    </w:p>
    <w:p w:rsidR="00BB7EDA" w:rsidRDefault="007D72B3">
      <w:pPr>
        <w:pStyle w:val="Bodytext20"/>
        <w:shd w:val="clear" w:color="auto" w:fill="auto"/>
        <w:spacing w:before="0" w:line="226" w:lineRule="exact"/>
        <w:ind w:firstLine="320"/>
      </w:pPr>
      <w:r>
        <w:t xml:space="preserve">Mit den von </w:t>
      </w:r>
      <w:r>
        <w:rPr>
          <w:rStyle w:val="Bodytext28ptBoldSmallCaps"/>
        </w:rPr>
        <w:t xml:space="preserve">Chomsky </w:t>
      </w:r>
      <w:r>
        <w:t>angesprochenen „Evolutionssprüngen" haben die me</w:t>
      </w:r>
      <w:r>
        <w:t xml:space="preserve">isten Biologen jedoch gewaltige Mühe. Stephen J. </w:t>
      </w:r>
      <w:r>
        <w:rPr>
          <w:rStyle w:val="Bodytext28ptBoldSmallCaps"/>
        </w:rPr>
        <w:t xml:space="preserve">Gould </w:t>
      </w:r>
      <w:r>
        <w:t>ist jedoch ein sehr prominentes Beispiel eines Wissenschaft</w:t>
      </w:r>
      <w:r>
        <w:softHyphen/>
        <w:t xml:space="preserve">lers, der damit keine Schwierigkeiten hat, einfach darum, weil er prinzipiell noch viel mehr unüberbrückbare Hindernisse erblickt in </w:t>
      </w:r>
      <w:r>
        <w:t>Verbindung mit dem Problem der „missing links", der fehlenden Zwischenglieder der Evolutionslehre.</w:t>
      </w:r>
      <w:r>
        <w:rPr>
          <w:vertAlign w:val="superscript"/>
        </w:rPr>
        <w:footnoteReference w:id="126"/>
      </w:r>
      <w:r>
        <w:t xml:space="preserve"> Dem fossilen Bericht könne man einfach kaum Zeugnisse für eine wirklich kontinuierliche Ent</w:t>
      </w:r>
      <w:r>
        <w:softHyphen/>
        <w:t>wicklung abgewinnen. Deshalb forderte er geradezu den Glauben an</w:t>
      </w:r>
      <w:r>
        <w:t xml:space="preserve"> gewaltige Entwicklungssprünge. Insbesondere die Sprache und die Sprachbefähigung des Menschen sollen auf eine einzige „Makro</w:t>
      </w:r>
      <w:r>
        <w:softHyphen/>
        <w:t>mutation" zurückgehen.</w:t>
      </w:r>
      <w:r>
        <w:rPr>
          <w:vertAlign w:val="superscript"/>
        </w:rPr>
        <w:footnoteReference w:id="127"/>
      </w:r>
    </w:p>
    <w:p w:rsidR="00BB7EDA" w:rsidRDefault="007D72B3">
      <w:pPr>
        <w:pStyle w:val="Bodytext20"/>
        <w:shd w:val="clear" w:color="auto" w:fill="auto"/>
        <w:spacing w:before="0" w:after="120" w:line="226" w:lineRule="exact"/>
        <w:ind w:firstLine="320"/>
      </w:pPr>
      <w:r>
        <w:t xml:space="preserve">Mit diesem </w:t>
      </w:r>
      <w:r>
        <w:rPr>
          <w:rStyle w:val="Bodytext2Italic0"/>
        </w:rPr>
        <w:t>punktualistischen Modell,</w:t>
      </w:r>
      <w:r>
        <w:t xml:space="preserve"> wie man diese Art von Evolutionslehre auch nennt, werden die alten Pr</w:t>
      </w:r>
      <w:r>
        <w:t>obleme aber be</w:t>
      </w:r>
      <w:r>
        <w:softHyphen/>
        <w:t>stimmt auch nicht gelöst. Es ist ja schon etwas wirklich Besonderes, wenn eine biologische Mikromutation nicht schädlich bzw. nachtei</w:t>
      </w:r>
      <w:r>
        <w:softHyphen/>
        <w:t>lig ist, sondern effektiv den Überlebenskampf günstig beeinflusst. Aber man hat bis heute noch nie auch nur</w:t>
      </w:r>
      <w:r>
        <w:t xml:space="preserve"> eine einzige nennenswerte Komplexitätszunahme durch Mikromutation beobachten können! Dies ist ein sehr wichtiges Faktum, das ein außerordentlich starkes Argument gegen die biologische Evolutionslehre liefert.</w:t>
      </w:r>
      <w:r>
        <w:rPr>
          <w:vertAlign w:val="superscript"/>
        </w:rPr>
        <w:footnoteReference w:id="128"/>
      </w:r>
      <w:r>
        <w:t xml:space="preserve"> Ferner ist an dieser Stelle noch zu bemerken,</w:t>
      </w:r>
      <w:r>
        <w:t xml:space="preserve"> dass sich alle Mutationen in ganz engen grundtypspezifischen Grenzen bewegen.</w:t>
      </w:r>
      <w:r>
        <w:rPr>
          <w:vertAlign w:val="superscript"/>
        </w:rPr>
        <w:footnoteReference w:id="129"/>
      </w:r>
      <w:r>
        <w:t xml:space="preserve"> Makromutationen hingegen hat man erst recht noch nie beobachten können.</w:t>
      </w:r>
    </w:p>
    <w:p w:rsidR="00BB7EDA" w:rsidRDefault="007D72B3">
      <w:pPr>
        <w:pStyle w:val="Bodytext20"/>
        <w:numPr>
          <w:ilvl w:val="0"/>
          <w:numId w:val="81"/>
        </w:numPr>
        <w:shd w:val="clear" w:color="auto" w:fill="auto"/>
        <w:tabs>
          <w:tab w:val="left" w:pos="654"/>
        </w:tabs>
        <w:spacing w:before="0" w:after="176" w:line="226" w:lineRule="exact"/>
        <w:sectPr w:rsidR="00BB7EDA">
          <w:pgSz w:w="7266" w:h="11422"/>
          <w:pgMar w:top="800" w:right="803" w:bottom="1137" w:left="799" w:header="0" w:footer="3" w:gutter="0"/>
          <w:cols w:space="720"/>
          <w:noEndnote/>
          <w:docGrid w:linePitch="360"/>
        </w:sectPr>
      </w:pPr>
      <w:r>
        <w:rPr>
          <w:rStyle w:val="Bodytext285ptBoldItalic"/>
        </w:rPr>
        <w:t xml:space="preserve">Mutationen und mathematische Wahrscheinlichkeit </w:t>
      </w:r>
      <w:r>
        <w:t>Vom Standpunkt der mathematischen W</w:t>
      </w:r>
      <w:r>
        <w:t xml:space="preserve">ahrscheinlichkeitsrechnung her gesehen, ist der Glaube an eine biologische Evolution - selbst wenn Komplexitätszunahmen durch Mutationen überhaupt mög- </w:t>
      </w:r>
    </w:p>
    <w:p w:rsidR="00BB7EDA" w:rsidRDefault="007D72B3">
      <w:pPr>
        <w:pStyle w:val="Bodytext20"/>
        <w:shd w:val="clear" w:color="auto" w:fill="auto"/>
        <w:tabs>
          <w:tab w:val="left" w:pos="654"/>
        </w:tabs>
        <w:spacing w:before="0" w:after="176" w:line="226" w:lineRule="exact"/>
      </w:pPr>
      <w:r>
        <w:t>lieh wären - als hoffnungsloses Unterfangen zu betrachten. Die Frage „Können Mutationen zusammen mit na</w:t>
      </w:r>
      <w:r>
        <w:t>türlicher Selektion die Basis für die Evolution bilden?" muss von der Mathematik herkom</w:t>
      </w:r>
      <w:r>
        <w:softHyphen/>
        <w:t>mend mit einem entschiedenen „nein" beantwortet werden.</w:t>
      </w:r>
      <w:r>
        <w:rPr>
          <w:vertAlign w:val="superscript"/>
        </w:rPr>
        <w:t>145</w:t>
      </w:r>
      <w:r>
        <w:t xml:space="preserve"> Wenn dies schon für eine schrittweise Evolution gesagt werden muss, wie viel mehr gilt dies für den Punktuali</w:t>
      </w:r>
      <w:r>
        <w:t>smus.</w:t>
      </w:r>
    </w:p>
    <w:p w:rsidR="00BB7EDA" w:rsidRDefault="007D72B3">
      <w:pPr>
        <w:pStyle w:val="Bodytext20"/>
        <w:numPr>
          <w:ilvl w:val="0"/>
          <w:numId w:val="81"/>
        </w:numPr>
        <w:shd w:val="clear" w:color="auto" w:fill="auto"/>
        <w:tabs>
          <w:tab w:val="left" w:pos="658"/>
        </w:tabs>
        <w:spacing w:before="0" w:after="100"/>
      </w:pPr>
      <w:r>
        <w:rPr>
          <w:rStyle w:val="Bodytext285ptBoldItalic"/>
        </w:rPr>
        <w:t>Punktualismus</w:t>
      </w:r>
      <w:r>
        <w:rPr>
          <w:rStyle w:val="Bodytext2Bold0"/>
        </w:rPr>
        <w:t xml:space="preserve"> - </w:t>
      </w:r>
      <w:r>
        <w:rPr>
          <w:rStyle w:val="Bodytext285ptBoldItalic"/>
        </w:rPr>
        <w:t xml:space="preserve">oder atheistisch an Gott glauben </w:t>
      </w:r>
      <w:r>
        <w:t>Mit der Einführung des punktualistischen Konzepts stellt der Evolutionist eigentlich seine ihm zugrunde liegende Philosophie auf den Kopf. Erst wollte man doch die Welt mit rein natürlichen und nur inn</w:t>
      </w:r>
      <w:r>
        <w:t>erweltlichen Prozessen aus sich selbst heraus erklären, ohne irgendeinen Gedanken an einen Schöpfer-Gott zu verwenden. Darum versuchte man, die Wunder der Natur auf kleine einzelne Entstehungsschritte zurückführen, sodass sich ein übernatürliches, göttlich</w:t>
      </w:r>
      <w:r>
        <w:t>es Eingreifen als unnötig erweisen sollte. Evolutionslehre im klassischen Sinn ist doch die Ablehnung einer göttlichen Schöpfungs</w:t>
      </w:r>
      <w:r>
        <w:softHyphen/>
        <w:t>kraft von der Art wie sie markant in Ps 33,9 umschrieben wird:</w:t>
      </w:r>
    </w:p>
    <w:p w:rsidR="00BB7EDA" w:rsidRDefault="007D72B3">
      <w:pPr>
        <w:pStyle w:val="Bodytext20"/>
        <w:shd w:val="clear" w:color="auto" w:fill="auto"/>
        <w:spacing w:before="0" w:after="14" w:line="180" w:lineRule="exact"/>
        <w:ind w:firstLine="320"/>
      </w:pPr>
      <w:r>
        <w:t>„Denn er [Gott] sprach, und es war;</w:t>
      </w:r>
    </w:p>
    <w:p w:rsidR="00BB7EDA" w:rsidRDefault="007D72B3">
      <w:pPr>
        <w:pStyle w:val="Bodytext20"/>
        <w:shd w:val="clear" w:color="auto" w:fill="auto"/>
        <w:spacing w:before="0" w:after="103" w:line="180" w:lineRule="exact"/>
        <w:ind w:firstLine="320"/>
      </w:pPr>
      <w:r>
        <w:t>er gebot, und es stand da."</w:t>
      </w:r>
    </w:p>
    <w:p w:rsidR="00BB7EDA" w:rsidRDefault="007D72B3">
      <w:pPr>
        <w:pStyle w:val="Bodytext20"/>
        <w:shd w:val="clear" w:color="auto" w:fill="auto"/>
        <w:spacing w:before="0" w:line="226" w:lineRule="exact"/>
        <w:ind w:firstLine="320"/>
      </w:pPr>
      <w:r>
        <w:t>Im punktualistischen Modell will man aber nun an Dinge glau</w:t>
      </w:r>
      <w:r>
        <w:softHyphen/>
        <w:t xml:space="preserve">ben, für die man keine natürlichen, beobachtbaren Gründe zu ihrer Realisierung aufbieten könnte, so im Sinn von „Denn er sprach nicht, und es wurde trotzdem; er gebot nicht, und es stand dennoch </w:t>
      </w:r>
      <w:r>
        <w:t>plötzlich da." Hier geht es nur noch um spekulative Vorstellungen. Am liebsten würde ich dies - in Anspielung an den Buchtitel einer ultraliberalen Theologin - einen atheistischen Glauben an Gott be</w:t>
      </w:r>
      <w:r>
        <w:softHyphen/>
        <w:t>zeichnen. Streng genommen geht es hier auch gar nicht ein</w:t>
      </w:r>
      <w:r>
        <w:t>mal um „Evolution", da dieser Begriff von der Etymologie her gesehen und ebenso per definitionem eigentlich eine allmähliche, graduelle Ent</w:t>
      </w:r>
      <w:r>
        <w:softHyphen/>
        <w:t xml:space="preserve">wicklung impliziert. Evolution geht zurück auf das lateinische Verb </w:t>
      </w:r>
      <w:r>
        <w:rPr>
          <w:rStyle w:val="Bodytext2Italic0"/>
        </w:rPr>
        <w:t>evolvere,</w:t>
      </w:r>
      <w:r>
        <w:t xml:space="preserve"> was so viel wie „hinauswälzen", „hinau</w:t>
      </w:r>
      <w:r>
        <w:t>srollen", „entwik- keln" etc. bedeutet. Von dieser Definition her ergibt sich ein wesent</w:t>
      </w:r>
      <w:r>
        <w:softHyphen/>
        <w:t>licher äußerer Gegensatz zwischen „Schöpfung" und „Evolution". Beim punktualistischen Modell, wo es um ein Fortschreiten in Sprün</w:t>
      </w:r>
      <w:r>
        <w:softHyphen/>
        <w:t xml:space="preserve">gen geht, hat man ja vom Prinzip her </w:t>
      </w:r>
      <w:r>
        <w:t>gesehen genau das Entspre</w:t>
      </w:r>
      <w:r>
        <w:softHyphen/>
        <w:t>chende wie im Schöpfungsbericht vor sich: In Gen 1 steht nicht alles</w:t>
      </w:r>
    </w:p>
    <w:p w:rsidR="00BB7EDA" w:rsidRDefault="007D72B3">
      <w:pPr>
        <w:pStyle w:val="Bodytext20"/>
        <w:shd w:val="clear" w:color="auto" w:fill="auto"/>
        <w:spacing w:before="0"/>
      </w:pPr>
      <w:r>
        <w:t>auf einmal da. Vielmehr verläuft das Schöpfungswerk über sechs Tage verteilt, gewissermaßen in Sprüngen.</w:t>
      </w:r>
    </w:p>
    <w:p w:rsidR="00BB7EDA" w:rsidRDefault="007D72B3">
      <w:pPr>
        <w:pStyle w:val="Bodytext20"/>
        <w:shd w:val="clear" w:color="auto" w:fill="auto"/>
        <w:spacing w:before="0"/>
        <w:ind w:firstLine="320"/>
      </w:pPr>
      <w:r>
        <w:t>Mit dem Diskontinuitätsansatz wird das Problem der Sprac</w:t>
      </w:r>
      <w:r>
        <w:t>h- entstehung einfach auf die Biologie verschoben. Doch durch die Verschiebung der Schwierigkeiten auf eine andere Ebene, wird die Frage nach dem Woher der menschlichen Sprachen, nach dem Wo</w:t>
      </w:r>
      <w:r>
        <w:softHyphen/>
        <w:t xml:space="preserve">her dieser dermaßen komplexen und sophistischen Code-Systeme auf </w:t>
      </w:r>
      <w:r>
        <w:t>vier Ebenen, nicht beantwortet.</w:t>
      </w:r>
    </w:p>
    <w:p w:rsidR="00BB7EDA" w:rsidRDefault="007D72B3">
      <w:pPr>
        <w:pStyle w:val="Bodytext20"/>
        <w:shd w:val="clear" w:color="auto" w:fill="auto"/>
        <w:spacing w:before="0" w:after="340"/>
        <w:ind w:firstLine="320"/>
      </w:pPr>
      <w:r>
        <w:t xml:space="preserve">Ferner scheitert die Meinung, der Mensch habe die Sprache dank einer angeborenen Spracherschaffungs-Software selber generiert, gerade an der Tatsache, dass eine </w:t>
      </w:r>
      <w:r>
        <w:rPr>
          <w:rStyle w:val="Bodytext2Italic0"/>
        </w:rPr>
        <w:t>solche</w:t>
      </w:r>
      <w:r>
        <w:t xml:space="preserve"> Software nie nachgewiesen werden konnte. Bei dem Konzept</w:t>
      </w:r>
      <w:r>
        <w:t xml:space="preserve"> einer angeborenen Sprach</w:t>
      </w:r>
      <w:r>
        <w:softHyphen/>
        <w:t>erschaffungs-Software wird der an seinem Platz so nützliche Begriff der „Oberflächenstruktur" in völlig ungebührlicher Weise überzo</w:t>
      </w:r>
      <w:r>
        <w:softHyphen/>
        <w:t>gen. Angeborene Voraussetzungen, um sich in der sensiblen früh</w:t>
      </w:r>
      <w:r>
        <w:softHyphen/>
        <w:t>kindlichen Phase ohne große Mühe ir</w:t>
      </w:r>
      <w:r>
        <w:t>gendeine Sprache anzueignen, sind eine eindrückliche Tatsache. Aber Hinweise, dass der Mensch aus sich heraus eine Sprache generieren könnte, fehlen vollständig.</w:t>
      </w:r>
    </w:p>
    <w:p w:rsidR="00BB7EDA" w:rsidRDefault="007D72B3">
      <w:pPr>
        <w:pStyle w:val="Heading50"/>
        <w:keepNext/>
        <w:keepLines/>
        <w:numPr>
          <w:ilvl w:val="0"/>
          <w:numId w:val="82"/>
        </w:numPr>
        <w:shd w:val="clear" w:color="auto" w:fill="auto"/>
        <w:tabs>
          <w:tab w:val="left" w:pos="505"/>
        </w:tabs>
        <w:spacing w:after="223" w:line="180" w:lineRule="exact"/>
      </w:pPr>
      <w:bookmarkStart w:id="38" w:name="bookmark37"/>
      <w:r>
        <w:t>Zum monophyletischen Ursprung der Menschheit</w:t>
      </w:r>
      <w:bookmarkEnd w:id="38"/>
    </w:p>
    <w:p w:rsidR="00BB7EDA" w:rsidRDefault="007D72B3">
      <w:pPr>
        <w:pStyle w:val="Bodytext20"/>
        <w:shd w:val="clear" w:color="auto" w:fill="auto"/>
        <w:spacing w:before="0" w:line="226" w:lineRule="exact"/>
      </w:pPr>
      <w:r>
        <w:t>Im Denkrahmen des heutigen Neo-Darwinismus glaubt</w:t>
      </w:r>
      <w:r>
        <w:t xml:space="preserve"> man im Allgemeinen an einen </w:t>
      </w:r>
      <w:r>
        <w:rPr>
          <w:rStyle w:val="Bodytext2Italic0"/>
        </w:rPr>
        <w:t>monophyletischen Ursprung aller menschlichen Rassen,</w:t>
      </w:r>
      <w:r>
        <w:t xml:space="preserve"> also an die Herkunft des Menschen aus einer einzigen Stammbaumlinie heraus.Früher war das ganz anders. Da glaub</w:t>
      </w:r>
      <w:r>
        <w:softHyphen/>
        <w:t>ten die meisten Evolutionisten, dass jede menschliche Hauptras</w:t>
      </w:r>
      <w:r>
        <w:t>se sich unabhängig von den anderen aus einer eigenen Hominiden- Linie heraus entwickelt hätte.</w:t>
      </w:r>
      <w:r>
        <w:rPr>
          <w:vertAlign w:val="superscript"/>
        </w:rPr>
        <w:footnoteReference w:id="130"/>
      </w:r>
      <w:r>
        <w:rPr>
          <w:vertAlign w:val="superscript"/>
        </w:rPr>
        <w:t xml:space="preserve"> </w:t>
      </w:r>
      <w:r>
        <w:rPr>
          <w:vertAlign w:val="superscript"/>
        </w:rPr>
        <w:footnoteReference w:id="131"/>
      </w:r>
      <w:r>
        <w:t xml:space="preserve"> Dies führte natürlich leicht zu Ras</w:t>
      </w:r>
      <w:r>
        <w:softHyphen/>
        <w:t>sismus, indem der Gedanke der Überlegenheit einer Rasse über die andere fast unvermeidlich aufkommen musste. Wenn man davo</w:t>
      </w:r>
      <w:r>
        <w:t>n ausging, dass die verschiedenen Rassen eine unterschiedlich lange Evolutionszeit hinter sich hatten, so verknüpfte sich damit schnell die Meinung, die eine Rasse hätte im Vergleich zu einer anderen bereits einen höheren Stand der Evolution erreicht. Dies</w:t>
      </w:r>
      <w:r>
        <w:t>es rassisti</w:t>
      </w:r>
      <w:r>
        <w:softHyphen/>
        <w:t>sche Denken lässt sich in der Tat bei evolutionistischen Wissen</w:t>
      </w:r>
      <w:r>
        <w:softHyphen/>
        <w:t xml:space="preserve">schaftlern des 19. Jahrhunderts gut dokumentieren, nicht zuletzt gerade auch bei </w:t>
      </w:r>
      <w:r>
        <w:rPr>
          <w:rStyle w:val="Bodytext28ptSmallCaps"/>
        </w:rPr>
        <w:t xml:space="preserve">Darwin </w:t>
      </w:r>
      <w:r>
        <w:t xml:space="preserve">und </w:t>
      </w:r>
      <w:r>
        <w:rPr>
          <w:rStyle w:val="Bodytext28ptSmallCaps"/>
        </w:rPr>
        <w:t>Huxley.</w:t>
      </w:r>
      <w:r>
        <w:rPr>
          <w:rStyle w:val="Bodytext28ptSmallCaps"/>
          <w:vertAlign w:val="superscript"/>
        </w:rPr>
        <w:footnoteReference w:id="132"/>
      </w:r>
    </w:p>
    <w:p w:rsidR="00BB7EDA" w:rsidRDefault="007D72B3">
      <w:pPr>
        <w:pStyle w:val="Bodytext20"/>
        <w:shd w:val="clear" w:color="auto" w:fill="auto"/>
        <w:spacing w:before="0"/>
        <w:ind w:firstLine="320"/>
      </w:pPr>
      <w:r>
        <w:t>Moderne Evolutionstheoretiker lehnen heute normalerweise jede Art von Rassismus</w:t>
      </w:r>
      <w:r>
        <w:t xml:space="preserve"> ab. Rechtsstaatliche Ethik und Rassismus ist nach dem Zerbruch des Hitlerreiches für große Teile der Menschheit glücklicherweise inkompatibel geworden.</w:t>
      </w:r>
    </w:p>
    <w:p w:rsidR="00BB7EDA" w:rsidRDefault="007D72B3">
      <w:pPr>
        <w:pStyle w:val="Bodytext20"/>
        <w:shd w:val="clear" w:color="auto" w:fill="auto"/>
        <w:spacing w:before="0" w:after="60"/>
        <w:ind w:firstLine="320"/>
      </w:pPr>
      <w:r>
        <w:t>Mit der Ablehnung eines polyphyletischen Ursprungs der Menschheit hat sich der moderne Evolutionismus d</w:t>
      </w:r>
      <w:r>
        <w:t>er biblischen Aussage des Paulus vor dem Areopag in Athen erstaunlich angenä</w:t>
      </w:r>
      <w:r>
        <w:softHyphen/>
        <w:t>hert (Apg 17,26):</w:t>
      </w:r>
    </w:p>
    <w:p w:rsidR="00BB7EDA" w:rsidRDefault="007D72B3">
      <w:pPr>
        <w:pStyle w:val="Bodytext20"/>
        <w:shd w:val="clear" w:color="auto" w:fill="auto"/>
        <w:spacing w:before="0" w:after="296"/>
        <w:ind w:left="320"/>
        <w:jc w:val="left"/>
      </w:pPr>
      <w:r>
        <w:t xml:space="preserve">„Und er [Gott] hat aus </w:t>
      </w:r>
      <w:r>
        <w:rPr>
          <w:rStyle w:val="Bodytext2Italic0"/>
        </w:rPr>
        <w:t>einem</w:t>
      </w:r>
      <w:r>
        <w:t xml:space="preserve"> Blut jede Nation der Menschen gemacht, dass sie auf dem ganzen Erdboden wohnen..."</w:t>
      </w:r>
    </w:p>
    <w:p w:rsidR="00BB7EDA" w:rsidRDefault="007D72B3">
      <w:pPr>
        <w:pStyle w:val="Heading50"/>
        <w:keepNext/>
        <w:keepLines/>
        <w:numPr>
          <w:ilvl w:val="0"/>
          <w:numId w:val="82"/>
        </w:numPr>
        <w:shd w:val="clear" w:color="auto" w:fill="auto"/>
        <w:tabs>
          <w:tab w:val="left" w:pos="510"/>
        </w:tabs>
        <w:spacing w:after="68" w:line="235" w:lineRule="exact"/>
        <w:ind w:right="740"/>
        <w:jc w:val="left"/>
      </w:pPr>
      <w:bookmarkStart w:id="39" w:name="bookmark38"/>
      <w:r>
        <w:t xml:space="preserve">Eine einzige Ursprungspopulation im Nahen Osten </w:t>
      </w:r>
      <w:r>
        <w:t>oder in Afrika</w:t>
      </w:r>
      <w:bookmarkEnd w:id="39"/>
    </w:p>
    <w:p w:rsidR="00BB7EDA" w:rsidRDefault="007D72B3">
      <w:pPr>
        <w:pStyle w:val="Bodytext20"/>
        <w:shd w:val="clear" w:color="auto" w:fill="auto"/>
        <w:spacing w:before="0" w:line="226" w:lineRule="exact"/>
      </w:pPr>
      <w:r>
        <w:t>In der Evolutionslehre geht man heutzutage im Allgemeinen davon aus, dass es vor 70.000-150.000 Jahren im Nahen Osten oder in Afrika eine einzige menschliche Ursprungspopulation gegeben habe. Daraufhin habe sich diese eine Urgesellschaft dur</w:t>
      </w:r>
      <w:r>
        <w:t>ch Auswanderun</w:t>
      </w:r>
      <w:r>
        <w:softHyphen/>
        <w:t>gen und Expansionen mehr und mehr voneinander getrennt. In der Folge seien dann verschiedene Rassen und Sprachen entstanden.</w:t>
      </w:r>
      <w:r>
        <w:rPr>
          <w:vertAlign w:val="superscript"/>
        </w:rPr>
        <w:footnoteReference w:id="133"/>
      </w:r>
    </w:p>
    <w:p w:rsidR="00BB7EDA" w:rsidRDefault="007D72B3">
      <w:pPr>
        <w:pStyle w:val="Bodytext20"/>
        <w:shd w:val="clear" w:color="auto" w:fill="auto"/>
        <w:spacing w:before="0" w:line="226" w:lineRule="exact"/>
        <w:ind w:firstLine="320"/>
      </w:pPr>
      <w:r>
        <w:t xml:space="preserve">Unter Evolutionisten ist man sich nicht im Klaren, ob es vor den Expansionsbewegungen nur eine, oder schon mehrere </w:t>
      </w:r>
      <w:r>
        <w:t>Sprachen gegeben habe. Beides wäre im Rahmen der Evolutionslehre denk</w:t>
      </w:r>
      <w:r>
        <w:softHyphen/>
        <w:t>bar. Jedenfalls datiert man die Entstehung der Ursprachen der gro</w:t>
      </w:r>
      <w:r>
        <w:softHyphen/>
        <w:t>ßen Sprachstämme in die Zeit zwischen 23.000 und 4.000 v. Chr.</w:t>
      </w:r>
      <w:r>
        <w:rPr>
          <w:vertAlign w:val="superscript"/>
        </w:rPr>
        <w:footnoteReference w:id="134"/>
      </w:r>
      <w:r>
        <w:rPr>
          <w:vertAlign w:val="superscript"/>
        </w:rPr>
        <w:t xml:space="preserve"> </w:t>
      </w:r>
      <w:r>
        <w:t>Der Ursprung des indogermanischen Sprachstammes wird auf</w:t>
      </w:r>
      <w:r>
        <w:t xml:space="preserve"> etwa 7.000-8.000 v. Chr. geschätzt.</w:t>
      </w:r>
      <w:r>
        <w:rPr>
          <w:vertAlign w:val="superscript"/>
        </w:rPr>
        <w:footnoteReference w:id="135"/>
      </w:r>
    </w:p>
    <w:p w:rsidR="00BB7EDA" w:rsidRDefault="007D72B3">
      <w:pPr>
        <w:pStyle w:val="Bodytext20"/>
        <w:shd w:val="clear" w:color="auto" w:fill="auto"/>
        <w:spacing w:before="0" w:line="226" w:lineRule="exact"/>
        <w:ind w:firstLine="320"/>
      </w:pPr>
      <w:r>
        <w:t>Es fällt auf, wie nahe sich die moderne Evolutionslehre in gewis</w:t>
      </w:r>
      <w:r>
        <w:softHyphen/>
        <w:t>sen Aspekten - ohne besondere Absicht bei ihren Vertretern - der biblischen Urgeschichte, von der später ausführlicher die Rede sein wird, angenähert hat</w:t>
      </w:r>
      <w:r>
        <w:t>. Die Heilige Schrift spricht ja in Gen 10 und 11 über eine nach der Sintflut zunächst noch vereinte Ursprungs</w:t>
      </w:r>
      <w:r>
        <w:softHyphen/>
        <w:t>population der Menschheit im Nahen Osten, die über eine einzige Ursprache verfügte. Bedingt durch die Sprachenverwirrung sei die</w:t>
      </w:r>
      <w:r>
        <w:softHyphen/>
        <w:t>se Ursprungspopu</w:t>
      </w:r>
      <w:r>
        <w:t>lation durch große Auswanderungswellen und Expansionen in viele einzelne Völkergruppen aufgesplittert worden.</w:t>
      </w:r>
    </w:p>
    <w:p w:rsidR="00BB7EDA" w:rsidRDefault="007D72B3">
      <w:pPr>
        <w:pStyle w:val="Bodytext20"/>
        <w:shd w:val="clear" w:color="auto" w:fill="auto"/>
        <w:spacing w:before="0" w:line="226" w:lineRule="exact"/>
        <w:ind w:firstLine="320"/>
      </w:pPr>
      <w:r>
        <w:t>An dieser Stelle zeigt sich aber für die Evolutionslehre ein großes Problem: Wir haben doch gesehen, dass es nicht möglich ist, die Sprachen der W</w:t>
      </w:r>
      <w:r>
        <w:t>elt auf eine einzige Sprache zurückzuführen. Die Sprachen tragen deutliche Kennzeichen eines polyphyletischen Ur</w:t>
      </w:r>
      <w:r>
        <w:softHyphen/>
        <w:t>sprungs. Dies verträgt sich aber äußerst schlecht mit dem monophyletischen Ursprung der Menschen gemäß der modernen Evolutionslehre. Woher komm</w:t>
      </w:r>
      <w:r>
        <w:t>en denn die verschiedenen Sprach- stämme, die untereinander genealogisch offensichtlich nicht ver</w:t>
      </w:r>
      <w:r>
        <w:softHyphen/>
        <w:t>wandt sind? Sollen wir denn wirklich glauben, dass so viele ver</w:t>
      </w:r>
      <w:r>
        <w:softHyphen/>
        <w:t>schiedene Sprachen unabhängig voneinander neu generiert worden sind?</w:t>
      </w:r>
    </w:p>
    <w:p w:rsidR="00BB7EDA" w:rsidRDefault="007D72B3">
      <w:pPr>
        <w:pStyle w:val="Bodytext20"/>
        <w:shd w:val="clear" w:color="auto" w:fill="auto"/>
        <w:spacing w:before="0" w:after="433" w:line="226" w:lineRule="exact"/>
        <w:ind w:firstLine="320"/>
      </w:pPr>
      <w:r>
        <w:t>Von der biblischen Urgesc</w:t>
      </w:r>
      <w:r>
        <w:t xml:space="preserve">hichte her gesehen, sind diese Fragen, wie wir noch sehen werden, ganz leicht zu beantworten, obwohl die Bibel auch einen monophyletischen Ursprung der Menschheit lehrt. Im Rahmen der Evolutionslehre ist bei der Beantwortung dieser Fragen jedoch guter Rat </w:t>
      </w:r>
      <w:r>
        <w:t>teuer.</w:t>
      </w:r>
    </w:p>
    <w:p w:rsidR="00BB7EDA" w:rsidRDefault="007D72B3">
      <w:pPr>
        <w:pStyle w:val="Heading40"/>
        <w:keepNext/>
        <w:keepLines/>
        <w:numPr>
          <w:ilvl w:val="0"/>
          <w:numId w:val="83"/>
        </w:numPr>
        <w:shd w:val="clear" w:color="auto" w:fill="auto"/>
        <w:tabs>
          <w:tab w:val="left" w:pos="399"/>
        </w:tabs>
        <w:spacing w:after="152" w:line="210" w:lineRule="exact"/>
      </w:pPr>
      <w:bookmarkStart w:id="40" w:name="bookmark39"/>
      <w:r>
        <w:t>Evolutionistische Sprachentstehungs-Theorien</w:t>
      </w:r>
      <w:bookmarkEnd w:id="40"/>
    </w:p>
    <w:p w:rsidR="00BB7EDA" w:rsidRDefault="007D72B3">
      <w:pPr>
        <w:pStyle w:val="Bodytext20"/>
        <w:shd w:val="clear" w:color="auto" w:fill="auto"/>
        <w:spacing w:before="0" w:line="226" w:lineRule="exact"/>
      </w:pPr>
      <w:r>
        <w:t>Nachfolgend weise ich nun auf die wichtigsten Sprachentstehungs- Theorien hin, die im Verlauf der Geschichte des Evolutionismus erwogen worden sind.</w:t>
      </w:r>
      <w:r>
        <w:rPr>
          <w:vertAlign w:val="superscript"/>
        </w:rPr>
        <w:footnoteReference w:id="136"/>
      </w:r>
    </w:p>
    <w:p w:rsidR="00BB7EDA" w:rsidRDefault="007D72B3">
      <w:pPr>
        <w:pStyle w:val="Bodytext20"/>
        <w:shd w:val="clear" w:color="auto" w:fill="auto"/>
        <w:spacing w:before="0" w:line="226" w:lineRule="exact"/>
        <w:ind w:firstLine="320"/>
      </w:pPr>
      <w:r>
        <w:t>Bei den z.T. etwas bösartig anmutenden saloppen Spitzn</w:t>
      </w:r>
      <w:r>
        <w:t>amen für diese Theorien handelt es sich um durchaus heute gebräuchliche humorvolle Ausdrücke.</w:t>
      </w:r>
    </w:p>
    <w:p w:rsidR="00BB7EDA" w:rsidRDefault="007D72B3">
      <w:pPr>
        <w:pStyle w:val="Bodytext20"/>
        <w:shd w:val="clear" w:color="auto" w:fill="auto"/>
        <w:spacing w:before="0" w:after="337" w:line="226" w:lineRule="exact"/>
        <w:ind w:firstLine="320"/>
      </w:pPr>
      <w:r>
        <w:t>Wenn im Folgenden wiederholt der Begriff „Theorie" verwendet wird, so heißt dies natürlich nicht, dass es sich hier um Theorien im wissenschaftstheoretischen Sinn</w:t>
      </w:r>
      <w:r>
        <w:t xml:space="preserve"> handelt. Dieser Ausdruck wird üb</w:t>
      </w:r>
      <w:r>
        <w:softHyphen/>
        <w:t>licherweise in diesem Zusammenhang so verwendet, wiewohl dies streng genommen selbstverständlich nicht korrekt ist.</w:t>
      </w:r>
    </w:p>
    <w:p w:rsidR="00BB7EDA" w:rsidRDefault="007D72B3">
      <w:pPr>
        <w:pStyle w:val="Heading50"/>
        <w:keepNext/>
        <w:keepLines/>
        <w:numPr>
          <w:ilvl w:val="0"/>
          <w:numId w:val="84"/>
        </w:numPr>
        <w:shd w:val="clear" w:color="auto" w:fill="auto"/>
        <w:tabs>
          <w:tab w:val="left" w:pos="495"/>
        </w:tabs>
        <w:spacing w:after="103" w:line="180" w:lineRule="exact"/>
      </w:pPr>
      <w:bookmarkStart w:id="41" w:name="bookmark40"/>
      <w:r>
        <w:t>Die „Wau-Wau-Theorie"</w:t>
      </w:r>
      <w:bookmarkEnd w:id="41"/>
    </w:p>
    <w:p w:rsidR="00BB7EDA" w:rsidRDefault="007D72B3">
      <w:pPr>
        <w:pStyle w:val="Bodytext20"/>
        <w:shd w:val="clear" w:color="auto" w:fill="auto"/>
        <w:spacing w:before="0" w:line="226" w:lineRule="exact"/>
      </w:pPr>
      <w:r>
        <w:t>Diesen spätestens auf die Stoiker zurückgehenden Ansatz</w:t>
      </w:r>
      <w:r>
        <w:rPr>
          <w:vertAlign w:val="superscript"/>
        </w:rPr>
        <w:footnoteReference w:id="137"/>
      </w:r>
      <w:r>
        <w:t xml:space="preserve"> nennt man ernsthafter ausgedrückt auch „Nachahmungs-" oder „Tierlaut</w:t>
      </w:r>
      <w:r>
        <w:softHyphen/>
        <w:t>theorie". Auch der Begriff „onomatopoetische Theorie" ist gebräuch</w:t>
      </w:r>
      <w:r>
        <w:softHyphen/>
        <w:t>lich. Er besagt, dass die ersten menschlichen Wörter Nachahmungen verschiedener Naturlaute gewesen seien.</w:t>
      </w:r>
      <w:r>
        <w:rPr>
          <w:vertAlign w:val="superscript"/>
        </w:rPr>
        <w:footnoteReference w:id="138"/>
      </w:r>
      <w:r>
        <w:t xml:space="preserve"> Aus diesen G</w:t>
      </w:r>
      <w:r>
        <w:t>rund</w:t>
      </w:r>
      <w:r>
        <w:softHyphen/>
        <w:t>bausteinen heraus seien im weiteren Verlauf der Stammesgeschich</w:t>
      </w:r>
      <w:r>
        <w:softHyphen/>
        <w:t xml:space="preserve">te die heutigen Sprachen entwickelt worden. Charles </w:t>
      </w:r>
      <w:r>
        <w:rPr>
          <w:rStyle w:val="Bodytext28ptSmallCaps"/>
        </w:rPr>
        <w:t xml:space="preserve">Darwin </w:t>
      </w:r>
      <w:r>
        <w:t>selbst war zu einem Teil ein Vertreter dieser Ansicht.</w:t>
      </w:r>
      <w:r>
        <w:rPr>
          <w:vertAlign w:val="superscript"/>
        </w:rPr>
        <w:footnoteReference w:id="139"/>
      </w:r>
      <w:r>
        <w:t xml:space="preserve"> Vor ihm war bereits </w:t>
      </w:r>
      <w:r>
        <w:rPr>
          <w:rStyle w:val="Bodytext28ptSmallCaps"/>
        </w:rPr>
        <w:t xml:space="preserve">Herder </w:t>
      </w:r>
      <w:r>
        <w:t>in der zweiten Hälfte des 18. Jahrhunderts, t</w:t>
      </w:r>
      <w:r>
        <w:t>rotz seiner idealistischen Sprachauffassung, im Prinzip dieser Meinung. Er glaubte nämlich, dass die sprachlichen Äußerungen des Men</w:t>
      </w:r>
      <w:r>
        <w:softHyphen/>
        <w:t xml:space="preserve">schen etwa mit so etwas wie </w:t>
      </w:r>
      <w:r>
        <w:rPr>
          <w:rStyle w:val="Bodytext2Italic0"/>
        </w:rPr>
        <w:t>mähmäh</w:t>
      </w:r>
      <w:r>
        <w:t xml:space="preserve"> begonnen hätten, zunächst in der Funktion eines Verbums, also in der Bedeutung von „mähm</w:t>
      </w:r>
      <w:r>
        <w:t xml:space="preserve">äh machen". Ein nächster Schritt sei dann die Substantivierung dieses Begriffs gewesen, wodurch </w:t>
      </w:r>
      <w:r>
        <w:rPr>
          <w:rStyle w:val="Bodytext2Italic0"/>
        </w:rPr>
        <w:t>mähmäh</w:t>
      </w:r>
      <w:r>
        <w:t xml:space="preserve"> in der Bedeutung von „Schaf" ein Hinweis auf das Wesen, das </w:t>
      </w:r>
      <w:r>
        <w:rPr>
          <w:rStyle w:val="Bodytext2Italic0"/>
        </w:rPr>
        <w:t>mähmäh</w:t>
      </w:r>
      <w:r>
        <w:t xml:space="preserve"> macht, geworden sei.</w:t>
      </w:r>
      <w:r>
        <w:rPr>
          <w:vertAlign w:val="superscript"/>
        </w:rPr>
        <w:footnoteReference w:id="140"/>
      </w:r>
    </w:p>
    <w:p w:rsidR="00BB7EDA" w:rsidRDefault="007D72B3">
      <w:pPr>
        <w:pStyle w:val="Bodytext20"/>
        <w:shd w:val="clear" w:color="auto" w:fill="auto"/>
        <w:spacing w:before="0" w:line="226" w:lineRule="exact"/>
        <w:ind w:firstLine="320"/>
      </w:pPr>
      <w:r>
        <w:t>Bezüglich dieser Hypothese sei auf folgende wichtige Beobach</w:t>
      </w:r>
      <w:r>
        <w:softHyphen/>
        <w:t>tun</w:t>
      </w:r>
      <w:r>
        <w:t>g hingewiesen: Nur relativ wenig Wörter einer bestimmten Spra</w:t>
      </w:r>
      <w:r>
        <w:softHyphen/>
        <w:t>che sind onomatopoetisch,</w:t>
      </w:r>
      <w:r>
        <w:rPr>
          <w:vertAlign w:val="superscript"/>
        </w:rPr>
        <w:footnoteReference w:id="141"/>
      </w:r>
      <w:r>
        <w:rPr>
          <w:vertAlign w:val="superscript"/>
        </w:rPr>
        <w:t xml:space="preserve"> </w:t>
      </w:r>
      <w:r>
        <w:rPr>
          <w:vertAlign w:val="superscript"/>
        </w:rPr>
        <w:footnoteReference w:id="142"/>
      </w:r>
      <w:r>
        <w:t xml:space="preserve"> d.h. lautmalerisch (z.B. deutsch </w:t>
      </w:r>
      <w:r>
        <w:rPr>
          <w:rStyle w:val="Bodytext2Italic0"/>
        </w:rPr>
        <w:t>quiet</w:t>
      </w:r>
      <w:r>
        <w:rPr>
          <w:rStyle w:val="Bodytext2Italic0"/>
        </w:rPr>
        <w:softHyphen/>
        <w:t>schen, zwitschern,</w:t>
      </w:r>
      <w:r>
        <w:t xml:space="preserve"> hebräisch </w:t>
      </w:r>
      <w:r>
        <w:rPr>
          <w:rStyle w:val="Bodytext2Italic0"/>
        </w:rPr>
        <w:t>baqbuq</w:t>
      </w:r>
      <w:r>
        <w:t xml:space="preserve"> (Flasche), das wohl den Klang beim Ausgießen der Flüssigkeit imitiert: </w:t>
      </w:r>
      <w:r>
        <w:rPr>
          <w:rStyle w:val="Bodytext2Italic0"/>
        </w:rPr>
        <w:t>baqbuqbaqbuqbaqbuqb</w:t>
      </w:r>
      <w:r>
        <w:rPr>
          <w:rStyle w:val="Bodytext2Italic0"/>
        </w:rPr>
        <w:t>aq- buqbaqbuq).</w:t>
      </w:r>
      <w:r>
        <w:rPr>
          <w:rStyle w:val="Bodytext2Italic0"/>
          <w:vertAlign w:val="superscript"/>
        </w:rPr>
        <w:t>KS</w:t>
      </w:r>
      <w:r>
        <w:t xml:space="preserve"> Aber im Prinzip sind alle bekannten Sprachen </w:t>
      </w:r>
      <w:r>
        <w:rPr>
          <w:rStyle w:val="Bodytext2Italic0"/>
        </w:rPr>
        <w:t>arbiträre (willkürliche) Systeme</w:t>
      </w:r>
      <w:r>
        <w:rPr>
          <w:rStyle w:val="Bodytext210pt0"/>
        </w:rPr>
        <w:t>,</w:t>
      </w:r>
      <w:r>
        <w:rPr>
          <w:rStyle w:val="Bodytext210pt0"/>
          <w:vertAlign w:val="superscript"/>
        </w:rPr>
        <w:footnoteReference w:id="143"/>
      </w:r>
      <w:r>
        <w:rPr>
          <w:rStyle w:val="Bodytext210pt"/>
        </w:rPr>
        <w:t xml:space="preserve"> </w:t>
      </w:r>
      <w:r>
        <w:t>in denen Lautnachahmungen eine unterge</w:t>
      </w:r>
      <w:r>
        <w:softHyphen/>
        <w:t>ordnete Rolle spielen. Im Allgemeinen kann zwischen dem Klang eines Wortes und seiner Bedeutung kein Zusammenhang erkan</w:t>
      </w:r>
      <w:r>
        <w:t>nt werden.</w:t>
      </w:r>
      <w:r>
        <w:rPr>
          <w:vertAlign w:val="superscript"/>
        </w:rPr>
        <w:footnoteReference w:id="144"/>
      </w:r>
      <w:r>
        <w:t xml:space="preserve"> Als die Etymologie, die Wortherkunftsforschung, auf</w:t>
      </w:r>
      <w:r>
        <w:softHyphen/>
        <w:t>kam, war sie noch stark motiviert von dem Gedanken, dass man durch die Ergründung der Urgestalt eines Wortes schließlich auf einen onomatopoetischen Lautkörper stoßen würde. Doch das Su</w:t>
      </w:r>
      <w:r>
        <w:softHyphen/>
        <w:t>chen i</w:t>
      </w:r>
      <w:r>
        <w:t>n dieser Richtung hat bis heute nichts gebracht. In der moder</w:t>
      </w:r>
      <w:r>
        <w:softHyphen/>
        <w:t>nen Linguistik hat sich allgemein die Auffassung fest durchgesetzt und etabliert, dass Wörter normalerweise arbiträre Zeichen sind.</w:t>
      </w:r>
      <w:r>
        <w:rPr>
          <w:vertAlign w:val="superscript"/>
        </w:rPr>
        <w:footnoteReference w:id="145"/>
      </w:r>
      <w:r>
        <w:rPr>
          <w:vertAlign w:val="superscript"/>
        </w:rPr>
        <w:t xml:space="preserve"> </w:t>
      </w:r>
      <w:r>
        <w:t>Dies wird auch deutlich, wenn man die den gleichen Gegenstand</w:t>
      </w:r>
      <w:r>
        <w:t xml:space="preserve"> bezeichnenden Wörter aus allen möglichen genealogisch nicht ver</w:t>
      </w:r>
      <w:r>
        <w:softHyphen/>
        <w:t>wandten Sprachen nebeneinander stellt. Die unfasslich drastische Vielfalt der Lautverbindungen, die ein und dasselbe Dingsprachlich repräsentieren können, verdeutlichen, dass Wörter x-beliebi</w:t>
      </w:r>
      <w:r>
        <w:t>g klin</w:t>
      </w:r>
      <w:r>
        <w:softHyphen/>
        <w:t>gen können, völlig unabhängig davon, was sie auch immer als Code- Zeichen darstellen mögen.</w:t>
      </w:r>
    </w:p>
    <w:p w:rsidR="00BB7EDA" w:rsidRDefault="007D72B3">
      <w:pPr>
        <w:pStyle w:val="Bodytext20"/>
        <w:shd w:val="clear" w:color="auto" w:fill="auto"/>
        <w:spacing w:before="0" w:line="226" w:lineRule="exact"/>
        <w:ind w:firstLine="320"/>
      </w:pPr>
      <w:r>
        <w:t>Aufgrund des Wortklanges kann man normalerweise die Bedeu</w:t>
      </w:r>
      <w:r>
        <w:softHyphen/>
        <w:t>tung oder Bedeutungsrichtung eines Wortes überhaupt nicht her</w:t>
      </w:r>
      <w:r>
        <w:softHyphen/>
        <w:t>ausfinden. Wer sich nämlich vom Wortk</w:t>
      </w:r>
      <w:r>
        <w:t>lang her leiten lassen will, um die Bedeutung eines Wortes zu erraten, könnte einige Überra</w:t>
      </w:r>
      <w:r>
        <w:softHyphen/>
        <w:t>schungen erleben. Folgende Anekdote vermag diesen Sachverhalt humorvoll zu illustrieren:</w:t>
      </w:r>
    </w:p>
    <w:p w:rsidR="00BB7EDA" w:rsidRDefault="007D72B3">
      <w:pPr>
        <w:pStyle w:val="Bodytext20"/>
        <w:shd w:val="clear" w:color="auto" w:fill="auto"/>
        <w:spacing w:before="0" w:after="337" w:line="226" w:lineRule="exact"/>
        <w:ind w:firstLine="320"/>
      </w:pPr>
      <w:r>
        <w:t>Ein Franzose war drauf und dran seine unkonventionellen autodi</w:t>
      </w:r>
      <w:r>
        <w:softHyphen/>
        <w:t xml:space="preserve">daktischen </w:t>
      </w:r>
      <w:r>
        <w:t>Hebräischstudien ohne Wörterbuch, nur durch lautes Texte-Lesen, aufzugeben, weil er fand, dass das Hebräische so un</w:t>
      </w:r>
      <w:r>
        <w:softHyphen/>
        <w:t xml:space="preserve">wahrscheinlich viele düstere, traurige, ja sogar unheimliche Wörter und Ausdrücke enthalte, wie z.B. </w:t>
      </w:r>
      <w:r>
        <w:rPr>
          <w:rStyle w:val="Bodytext2Italic0"/>
        </w:rPr>
        <w:t>hu' sameach</w:t>
      </w:r>
      <w:r>
        <w:t xml:space="preserve"> oder </w:t>
      </w:r>
      <w:r>
        <w:rPr>
          <w:rStyle w:val="Bodytext2Italic0"/>
        </w:rPr>
        <w:t>hu' zoreach.</w:t>
      </w:r>
      <w:r>
        <w:t xml:space="preserve"> Von seine</w:t>
      </w:r>
      <w:r>
        <w:t xml:space="preserve">m an sich sehr bedauernswerten Vorhaben ließ er sich schließlich aber doch noch abhalten, als er endlich trotz allem noch auf ein lustiges und fröhliches Wort stieß. Es lautete: </w:t>
      </w:r>
      <w:r>
        <w:rPr>
          <w:rStyle w:val="Bodytext2Italic0"/>
        </w:rPr>
        <w:t>'umlela.</w:t>
      </w:r>
      <w:r>
        <w:t xml:space="preserve"> Allerdings war es diesem Hebräischstudenten offensichtlich nicht gelu</w:t>
      </w:r>
      <w:r>
        <w:t xml:space="preserve">ngen, auch nur annähernd aus der Klangqualität die Bedeutung der Wörter zu erraten, </w:t>
      </w:r>
      <w:r>
        <w:rPr>
          <w:rStyle w:val="Bodytext2Italic0"/>
        </w:rPr>
        <w:t>hu sameach</w:t>
      </w:r>
      <w:r>
        <w:t xml:space="preserve"> heißt nämlich „er freut sich", </w:t>
      </w:r>
      <w:r>
        <w:rPr>
          <w:rStyle w:val="Bodytext2Italic0"/>
        </w:rPr>
        <w:t>hu' zoreach</w:t>
      </w:r>
      <w:r>
        <w:t xml:space="preserve"> „er erstrahlt" und </w:t>
      </w:r>
      <w:r>
        <w:rPr>
          <w:rStyle w:val="Bodytext2Italic0"/>
        </w:rPr>
        <w:t>’umlelah</w:t>
      </w:r>
      <w:r>
        <w:t xml:space="preserve"> bedeutet: - „sie verschmachtete" (vgl. Jes 24,4)!</w:t>
      </w:r>
    </w:p>
    <w:p w:rsidR="00BB7EDA" w:rsidRDefault="007D72B3">
      <w:pPr>
        <w:pStyle w:val="Heading50"/>
        <w:keepNext/>
        <w:keepLines/>
        <w:numPr>
          <w:ilvl w:val="0"/>
          <w:numId w:val="84"/>
        </w:numPr>
        <w:shd w:val="clear" w:color="auto" w:fill="auto"/>
        <w:tabs>
          <w:tab w:val="left" w:pos="510"/>
        </w:tabs>
        <w:spacing w:after="159" w:line="180" w:lineRule="exact"/>
      </w:pPr>
      <w:bookmarkStart w:id="42" w:name="bookmark41"/>
      <w:r>
        <w:t>Die „Aua-Theorie"</w:t>
      </w:r>
      <w:bookmarkEnd w:id="42"/>
    </w:p>
    <w:p w:rsidR="00BB7EDA" w:rsidRDefault="007D72B3">
      <w:pPr>
        <w:pStyle w:val="Bodytext20"/>
        <w:shd w:val="clear" w:color="auto" w:fill="auto"/>
        <w:spacing w:before="0"/>
      </w:pPr>
      <w:r>
        <w:t>Die schon bei den Epik</w:t>
      </w:r>
      <w:r>
        <w:t>uräern anzutreffende Auffassung der Aua- Theorie wird auch „interjektionaler Ansatz" genannt.</w:t>
      </w:r>
      <w:r>
        <w:rPr>
          <w:vertAlign w:val="superscript"/>
        </w:rPr>
        <w:footnoteReference w:id="146"/>
      </w:r>
      <w:r>
        <w:t xml:space="preserve"> Man findet sie auch bei </w:t>
      </w:r>
      <w:r>
        <w:rPr>
          <w:rStyle w:val="Bodytext28ptSmallCaps"/>
        </w:rPr>
        <w:t>Darwin.</w:t>
      </w:r>
      <w:r>
        <w:rPr>
          <w:rStyle w:val="Bodytext28ptSmallCaps"/>
          <w:vertAlign w:val="superscript"/>
        </w:rPr>
        <w:footnoteReference w:id="147"/>
      </w:r>
      <w:r>
        <w:rPr>
          <w:rStyle w:val="Bodytext28pt"/>
        </w:rPr>
        <w:t xml:space="preserve"> </w:t>
      </w:r>
      <w:r>
        <w:t>Dieser Meinung nach stehen an der Basis der Sprachen Aufschreie und durch Emotionen hervorgerufene Ausru</w:t>
      </w:r>
      <w:r>
        <w:softHyphen/>
        <w:t xml:space="preserve">fe wie z.B. </w:t>
      </w:r>
      <w:r>
        <w:rPr>
          <w:rStyle w:val="Bodytext2Italic0"/>
        </w:rPr>
        <w:t>aaaaa!</w:t>
      </w:r>
      <w:r>
        <w:t xml:space="preserve"> oder</w:t>
      </w:r>
      <w:r>
        <w:t xml:space="preserve"> </w:t>
      </w:r>
      <w:r>
        <w:rPr>
          <w:rStyle w:val="Bodytext2Italic0"/>
        </w:rPr>
        <w:t>iiiiiiiiii!</w:t>
      </w:r>
      <w:r>
        <w:t xml:space="preserve"> als Reaktion des Schreckens, oder </w:t>
      </w:r>
      <w:r>
        <w:rPr>
          <w:rStyle w:val="Bodytext2Italic0"/>
        </w:rPr>
        <w:t xml:space="preserve">bäh </w:t>
      </w:r>
      <w:r>
        <w:t>als Ausdruck der Ablehnung usw. Auch so genannte „Urschreie" gehören in diese Kategorie.</w:t>
      </w:r>
    </w:p>
    <w:p w:rsidR="00BB7EDA" w:rsidRDefault="007D72B3">
      <w:pPr>
        <w:pStyle w:val="Bodytext20"/>
        <w:shd w:val="clear" w:color="auto" w:fill="auto"/>
        <w:spacing w:before="0" w:after="340"/>
        <w:ind w:firstLine="320"/>
      </w:pPr>
      <w:r>
        <w:t>Die „Aua-Theorie" kommt natürlich nicht über das Niveau der Spekulation hinaus. Man kann dafür ja keine handfesten B</w:t>
      </w:r>
      <w:r>
        <w:t>eweise anführen, weil natürlich keine Dokumente oder sonstige Über</w:t>
      </w:r>
      <w:r>
        <w:softHyphen/>
        <w:t>lieferungsquellen als Grundlage dienen könnten. Ferner erklärt die</w:t>
      </w:r>
      <w:r>
        <w:softHyphen/>
        <w:t>se „Theorie" überhaupt nicht, wie aus solchen Schreien schließlich vollständige Sprachen mit komplexen Grammatiken entstan</w:t>
      </w:r>
      <w:r>
        <w:t>den sein sollen.</w:t>
      </w:r>
    </w:p>
    <w:p w:rsidR="00BB7EDA" w:rsidRDefault="007D72B3">
      <w:pPr>
        <w:pStyle w:val="Heading50"/>
        <w:keepNext/>
        <w:keepLines/>
        <w:numPr>
          <w:ilvl w:val="0"/>
          <w:numId w:val="84"/>
        </w:numPr>
        <w:shd w:val="clear" w:color="auto" w:fill="auto"/>
        <w:tabs>
          <w:tab w:val="left" w:pos="505"/>
        </w:tabs>
        <w:spacing w:after="158" w:line="180" w:lineRule="exact"/>
      </w:pPr>
      <w:bookmarkStart w:id="43" w:name="bookmark42"/>
      <w:r>
        <w:t>Die „Hauruck-Theorie"</w:t>
      </w:r>
      <w:bookmarkEnd w:id="43"/>
    </w:p>
    <w:p w:rsidR="00BB7EDA" w:rsidRDefault="007D72B3">
      <w:pPr>
        <w:pStyle w:val="Bodytext20"/>
        <w:shd w:val="clear" w:color="auto" w:fill="auto"/>
        <w:spacing w:before="0" w:line="226" w:lineRule="exact"/>
        <w:sectPr w:rsidR="00BB7EDA">
          <w:footerReference w:type="even" r:id="rId45"/>
          <w:footerReference w:type="default" r:id="rId46"/>
          <w:headerReference w:type="first" r:id="rId47"/>
          <w:footerReference w:type="first" r:id="rId48"/>
          <w:pgSz w:w="7266" w:h="11422"/>
          <w:pgMar w:top="800" w:right="803" w:bottom="1137" w:left="799" w:header="0" w:footer="3" w:gutter="0"/>
          <w:cols w:space="720"/>
          <w:noEndnote/>
          <w:titlePg/>
          <w:docGrid w:linePitch="360"/>
        </w:sectPr>
      </w:pPr>
      <w:r>
        <w:t xml:space="preserve">Bei der Idee hinter dieser </w:t>
      </w:r>
      <w:r>
        <w:t>„Theorie" geht es um folgendes: Ausrufe bei gemeinsamen körperlichen Arbeiten seien der Ausgangspunkt der Sprachen gewesen. Nebst koordinierenden und Befehle erteilen</w:t>
      </w:r>
      <w:r>
        <w:softHyphen/>
        <w:t>den Zurufen habe das rhythmische Unterstreichen des Arbeitstaktes dabei eine wichtige Rol</w:t>
      </w:r>
      <w:r>
        <w:t>le gespielt. Dieser Ansatz wird auch „Sympa</w:t>
      </w:r>
      <w:r>
        <w:softHyphen/>
        <w:t xml:space="preserve">thie-" bzw. „synergastische Theorie" genannt. </w:t>
      </w:r>
      <w:r>
        <w:rPr>
          <w:rStyle w:val="Bodytext28ptBoldSmallCaps"/>
        </w:rPr>
        <w:t xml:space="preserve">Noire (1877), Vossler (1923),Jespersen (1925) </w:t>
      </w:r>
      <w:r>
        <w:t xml:space="preserve">und </w:t>
      </w:r>
      <w:r>
        <w:rPr>
          <w:rStyle w:val="Bodytext28ptBoldSmallCaps"/>
        </w:rPr>
        <w:t xml:space="preserve">Gehlen (1950) </w:t>
      </w:r>
      <w:r>
        <w:t>haben auf die Funktion des gemeinsamen Handelns für die Entstehung der Sprachen hingewie</w:t>
      </w:r>
      <w:r>
        <w:softHyphen/>
        <w:t>sen.</w:t>
      </w:r>
      <w:r>
        <w:rPr>
          <w:vertAlign w:val="superscript"/>
        </w:rPr>
        <w:footnoteReference w:id="148"/>
      </w:r>
      <w:r>
        <w:t xml:space="preserve"> Auch fü</w:t>
      </w:r>
      <w:r>
        <w:t>r den Marxismus ist der Sprach-Ursprung in Verbin</w:t>
      </w:r>
      <w:r>
        <w:softHyphen/>
        <w:t>dung mit dem Bedürfnis zur vernünftigen Kommunikation im Zu</w:t>
      </w:r>
      <w:r>
        <w:softHyphen/>
        <w:t>sammenhang mit der gesellschaftlichen Produktionstätigkeit zu se</w:t>
      </w:r>
      <w:r>
        <w:softHyphen/>
        <w:t>hen.</w:t>
      </w:r>
      <w:r>
        <w:rPr>
          <w:vertAlign w:val="superscript"/>
        </w:rPr>
        <w:footnoteReference w:id="149"/>
      </w:r>
      <w:r>
        <w:t xml:space="preserve"> In diese Richtung zielte auch schon früher die rationalistische Theorie des</w:t>
      </w:r>
      <w:r>
        <w:t xml:space="preserve"> sozialen Kontrakts.</w:t>
      </w:r>
      <w:r>
        <w:rPr>
          <w:vertAlign w:val="superscript"/>
        </w:rPr>
        <w:footnoteReference w:id="150"/>
      </w:r>
    </w:p>
    <w:p w:rsidR="00BB7EDA" w:rsidRDefault="007D72B3">
      <w:pPr>
        <w:pStyle w:val="Bodytext20"/>
        <w:shd w:val="clear" w:color="auto" w:fill="auto"/>
        <w:spacing w:before="0"/>
      </w:pPr>
      <w:r>
        <w:t>Der Ansatz der „Ding-Dong-Theorie" kann wie folgt umrissen wer</w:t>
      </w:r>
      <w:r>
        <w:softHyphen/>
        <w:t>den: Jedes Ding hat seine natürliche Resonanz. Analog bringe jede Vorstellung im Kopf einen charakteristischen Klang hervor.</w:t>
      </w:r>
    </w:p>
    <w:p w:rsidR="00BB7EDA" w:rsidRDefault="007D72B3">
      <w:pPr>
        <w:pStyle w:val="Bodytext20"/>
        <w:shd w:val="clear" w:color="auto" w:fill="auto"/>
        <w:spacing w:before="0"/>
        <w:ind w:firstLine="320"/>
      </w:pPr>
      <w:r>
        <w:rPr>
          <w:rStyle w:val="Bodytext28ptBold"/>
        </w:rPr>
        <w:t xml:space="preserve">1789 </w:t>
      </w:r>
      <w:r>
        <w:t xml:space="preserve">gewann </w:t>
      </w:r>
      <w:r>
        <w:rPr>
          <w:rStyle w:val="Bodytext28ptBoldSmallCaps"/>
        </w:rPr>
        <w:t xml:space="preserve">Herder </w:t>
      </w:r>
      <w:r>
        <w:t>bei der Preußischen Akademi</w:t>
      </w:r>
      <w:r>
        <w:t>e der Wissen</w:t>
      </w:r>
      <w:r>
        <w:softHyphen/>
        <w:t>schaften einen Wettbewerb mit einem Aufsatz über den Ursprung der Sprachen. Darin trat er der Überzeugung, dass die menschlichen Sprachen ein Geschenk des Schöpfers an die Menschheit sei, vehe</w:t>
      </w:r>
      <w:r>
        <w:softHyphen/>
        <w:t>ment entgegen. Er behauptete dagegen, dass der Men</w:t>
      </w:r>
      <w:r>
        <w:t xml:space="preserve">sch selber Schöpfer seiner Sprache sei. </w:t>
      </w:r>
      <w:r>
        <w:rPr>
          <w:rStyle w:val="Bodytext28ptBoldSmallCaps"/>
        </w:rPr>
        <w:t xml:space="preserve">Herder </w:t>
      </w:r>
      <w:r>
        <w:t>war der Meinung, dass an den Sprachen überhaupt nichts Engelhaftes oder Überirdisches hafte. Bau und Grundriss der Sprache sei durch und durch menschlich. Im Blick auf die Dinge, welche Laute von sich geben, v</w:t>
      </w:r>
      <w:r>
        <w:t>ertrat er, wie bereits ausgeführt, den unter 3.2.1 behandelten Ansatz. Unter Be</w:t>
      </w:r>
      <w:r>
        <w:softHyphen/>
        <w:t>zugnahme auf die stummen Dinge der Natur sagte er jedoch, dass sie zu ihrem Namen gekommen seien, indem bestimmte Eindrücke beim Menschen bestimmte Lautvorstellungen hervorgeru</w:t>
      </w:r>
      <w:r>
        <w:t>fen hätten.</w:t>
      </w:r>
      <w:r>
        <w:rPr>
          <w:vertAlign w:val="superscript"/>
        </w:rPr>
        <w:footnoteReference w:id="151"/>
      </w:r>
    </w:p>
    <w:p w:rsidR="00BB7EDA" w:rsidRDefault="007D72B3">
      <w:pPr>
        <w:pStyle w:val="Bodytext20"/>
        <w:shd w:val="clear" w:color="auto" w:fill="auto"/>
        <w:spacing w:before="0" w:after="340"/>
        <w:ind w:firstLine="320"/>
      </w:pPr>
      <w:r>
        <w:t>Mit dieser Ansicht kann man allerdings nicht erklären, warum es denn für ein und dasselbe Ding in verschiedenen Sprachen total unterschiedlich klingende Wörter gibt. Des Weiteren gilt auch hier das bereits unter 3.2.1 bezüglich der onomatopoet</w:t>
      </w:r>
      <w:r>
        <w:t>ischen Wörter Gesagte.</w:t>
      </w:r>
    </w:p>
    <w:p w:rsidR="00BB7EDA" w:rsidRDefault="007D72B3">
      <w:pPr>
        <w:pStyle w:val="Heading50"/>
        <w:keepNext/>
        <w:keepLines/>
        <w:numPr>
          <w:ilvl w:val="0"/>
          <w:numId w:val="85"/>
        </w:numPr>
        <w:shd w:val="clear" w:color="auto" w:fill="auto"/>
        <w:tabs>
          <w:tab w:val="left" w:pos="505"/>
        </w:tabs>
        <w:spacing w:after="103" w:line="180" w:lineRule="exact"/>
      </w:pPr>
      <w:bookmarkStart w:id="44" w:name="bookmark43"/>
      <w:r>
        <w:t>Die „Tata-Theorie"</w:t>
      </w:r>
      <w:bookmarkEnd w:id="44"/>
    </w:p>
    <w:p w:rsidR="00BB7EDA" w:rsidRDefault="007D72B3">
      <w:pPr>
        <w:pStyle w:val="Bodytext20"/>
        <w:shd w:val="clear" w:color="auto" w:fill="auto"/>
        <w:spacing w:before="0" w:after="337" w:line="226" w:lineRule="exact"/>
      </w:pPr>
      <w:r>
        <w:t>Die ersten Sprachversuche gehen gemäß dieser Vorstellung auf Nachahmungen der Gebärdensprache durch die Zunge zurück. So habe man z.B. begonnen, mit der Zunge die Gebärde des Winkens zu imitieren, oder man habe mit den Lippen auf einen bestimmten Gegenstan</w:t>
      </w:r>
      <w:r>
        <w:t xml:space="preserve">d hin gedeutet, und zwar so, dass verschiedene Laute ertönten, je nachdem, ob das ins Auge gefasste Ding in der Nähe oder in der Ferne lag. Dies soll im Prinzip z.B. die Erklärung zu dem Vokalunterschied im Englischen zwischen </w:t>
      </w:r>
      <w:r>
        <w:rPr>
          <w:rStyle w:val="Bodytext2Italic0"/>
        </w:rPr>
        <w:t>this</w:t>
      </w:r>
      <w:r>
        <w:t xml:space="preserve"> und </w:t>
      </w:r>
      <w:r>
        <w:rPr>
          <w:rStyle w:val="Bodytext2Italic0"/>
        </w:rPr>
        <w:t>that,</w:t>
      </w:r>
      <w:r>
        <w:t xml:space="preserve"> oder im Franzö</w:t>
      </w:r>
      <w:r>
        <w:t xml:space="preserve">sischen zwischen </w:t>
      </w:r>
      <w:r>
        <w:rPr>
          <w:rStyle w:val="Bodytext2Italic0"/>
        </w:rPr>
        <w:t>voilä</w:t>
      </w:r>
      <w:r>
        <w:t xml:space="preserve"> und </w:t>
      </w:r>
      <w:r>
        <w:rPr>
          <w:rStyle w:val="Bodytext2Italic0"/>
        </w:rPr>
        <w:t>voici</w:t>
      </w:r>
      <w:r>
        <w:t xml:space="preserve"> liefern.</w:t>
      </w:r>
    </w:p>
    <w:p w:rsidR="00BB7EDA" w:rsidRDefault="007D72B3">
      <w:pPr>
        <w:pStyle w:val="Heading50"/>
        <w:keepNext/>
        <w:keepLines/>
        <w:numPr>
          <w:ilvl w:val="0"/>
          <w:numId w:val="85"/>
        </w:numPr>
        <w:shd w:val="clear" w:color="auto" w:fill="auto"/>
        <w:tabs>
          <w:tab w:val="left" w:pos="500"/>
        </w:tabs>
        <w:spacing w:after="94" w:line="180" w:lineRule="exact"/>
      </w:pPr>
      <w:bookmarkStart w:id="45" w:name="bookmark44"/>
      <w:r>
        <w:t>Die „Trarabumm-Theorie"</w:t>
      </w:r>
      <w:bookmarkEnd w:id="45"/>
    </w:p>
    <w:p w:rsidR="00BB7EDA" w:rsidRDefault="007D72B3">
      <w:pPr>
        <w:pStyle w:val="Bodytext20"/>
        <w:shd w:val="clear" w:color="auto" w:fill="auto"/>
        <w:spacing w:before="0"/>
        <w:sectPr w:rsidR="00BB7EDA">
          <w:footerReference w:type="even" r:id="rId49"/>
          <w:footerReference w:type="default" r:id="rId50"/>
          <w:headerReference w:type="first" r:id="rId51"/>
          <w:footerReference w:type="first" r:id="rId52"/>
          <w:pgSz w:w="7266" w:h="11422"/>
          <w:pgMar w:top="800" w:right="803" w:bottom="1137" w:left="799" w:header="0" w:footer="3" w:gutter="0"/>
          <w:cols w:space="720"/>
          <w:noEndnote/>
          <w:titlePg/>
          <w:docGrid w:linePitch="360"/>
        </w:sectPr>
      </w:pPr>
      <w:r>
        <w:t xml:space="preserve">Diese „Theorie" besagt, dass die </w:t>
      </w:r>
      <w:r>
        <w:t>Sprachen aus rituellen Tänzen und magischen Beschwörungen entwickelt worden seien. Eine Variante</w:t>
      </w:r>
    </w:p>
    <w:p w:rsidR="00BB7EDA" w:rsidRDefault="007D72B3">
      <w:pPr>
        <w:pStyle w:val="Bodytext20"/>
        <w:shd w:val="clear" w:color="auto" w:fill="auto"/>
        <w:spacing w:before="0" w:after="337" w:line="226" w:lineRule="exact"/>
      </w:pPr>
      <w:r>
        <w:t>davon leitet die Sprache einfach aus festlichen Tänzen ab, ohne unbe</w:t>
      </w:r>
      <w:r>
        <w:softHyphen/>
        <w:t xml:space="preserve">dingt einen Bezug zum Animismus herzustellen. Dieser Ansatz liegt im Prinzip nahe bei der </w:t>
      </w:r>
      <w:r>
        <w:t>synergastischen Theorie („Hauruck-Theorie "). Hier ist folgende Anfrage am Platz: Setzen solche religiösen bzw. festlichen Tätigkeiten nicht bereits schon eine gewisse artikulierte sprachliche Kommunikation voraus?</w:t>
      </w:r>
    </w:p>
    <w:p w:rsidR="00BB7EDA" w:rsidRDefault="007D72B3">
      <w:pPr>
        <w:pStyle w:val="Bodytext90"/>
        <w:numPr>
          <w:ilvl w:val="0"/>
          <w:numId w:val="85"/>
        </w:numPr>
        <w:shd w:val="clear" w:color="auto" w:fill="auto"/>
        <w:tabs>
          <w:tab w:val="left" w:pos="514"/>
        </w:tabs>
        <w:spacing w:after="99" w:line="180" w:lineRule="exact"/>
      </w:pPr>
      <w:r>
        <w:t>Die „Singsang-Theorie"</w:t>
      </w:r>
    </w:p>
    <w:p w:rsidR="00BB7EDA" w:rsidRDefault="007D72B3">
      <w:pPr>
        <w:pStyle w:val="Bodytext20"/>
        <w:shd w:val="clear" w:color="auto" w:fill="auto"/>
        <w:spacing w:before="0"/>
      </w:pPr>
      <w:r>
        <w:t>Bei dieser Hypothe</w:t>
      </w:r>
      <w:r>
        <w:t xml:space="preserve">se geht es um die Ansicht, dass die Sprachen aus Gesängen hervorgegangen seien. Dieser ebenfalls bei </w:t>
      </w:r>
      <w:r>
        <w:rPr>
          <w:rStyle w:val="Bodytext28ptSmallCaps"/>
        </w:rPr>
        <w:t xml:space="preserve">Darwin </w:t>
      </w:r>
      <w:r>
        <w:t>anzu</w:t>
      </w:r>
      <w:r>
        <w:softHyphen/>
        <w:t>treffende Ansatz</w:t>
      </w:r>
      <w:r>
        <w:rPr>
          <w:vertAlign w:val="superscript"/>
        </w:rPr>
        <w:t>164</w:t>
      </w:r>
      <w:r>
        <w:t xml:space="preserve"> liegt nahe bei dem unter 3.2.5 behandelten.</w:t>
      </w:r>
    </w:p>
    <w:p w:rsidR="00BB7EDA" w:rsidRDefault="007D72B3">
      <w:pPr>
        <w:pStyle w:val="Bodytext20"/>
        <w:shd w:val="clear" w:color="auto" w:fill="auto"/>
        <w:spacing w:before="0" w:after="124"/>
        <w:ind w:firstLine="320"/>
      </w:pPr>
      <w:r>
        <w:t xml:space="preserve">Der Evolutionist Dieter E. </w:t>
      </w:r>
      <w:r>
        <w:rPr>
          <w:rStyle w:val="Bodytext28ptSmallCaps"/>
        </w:rPr>
        <w:t xml:space="preserve">Zimmer </w:t>
      </w:r>
      <w:r>
        <w:t>kritisierte all die eben genann</w:t>
      </w:r>
      <w:r>
        <w:softHyphen/>
        <w:t xml:space="preserve">ten Ansätze. </w:t>
      </w:r>
      <w:r>
        <w:t>Nachdem er namentlich die hier unter 3.2.1 -3.2.7 ge</w:t>
      </w:r>
      <w:r>
        <w:softHyphen/>
        <w:t>nannten Theorien aufgezählt hatte, schrieb er:</w:t>
      </w:r>
    </w:p>
    <w:p w:rsidR="00BB7EDA" w:rsidRDefault="007D72B3">
      <w:pPr>
        <w:pStyle w:val="Bodytext20"/>
        <w:shd w:val="clear" w:color="auto" w:fill="auto"/>
        <w:spacing w:before="0" w:line="226" w:lineRule="exact"/>
        <w:ind w:firstLine="320"/>
      </w:pPr>
      <w:r>
        <w:t>„Sie alle, und viele mehr, hatten denselben Schönheitsfehler:</w:t>
      </w:r>
    </w:p>
    <w:p w:rsidR="00BB7EDA" w:rsidRDefault="007D72B3">
      <w:pPr>
        <w:pStyle w:val="Bodytext20"/>
        <w:shd w:val="clear" w:color="auto" w:fill="auto"/>
        <w:spacing w:before="0" w:after="337" w:line="226" w:lineRule="exact"/>
        <w:ind w:left="320" w:right="320"/>
      </w:pPr>
      <w:r>
        <w:t>Sie konnten ebenso gut richtig wie falsch sein. Auf irgendwel</w:t>
      </w:r>
      <w:r>
        <w:softHyphen/>
        <w:t>che Fakten, die sie stützten, ko</w:t>
      </w:r>
      <w:r>
        <w:t>nnte keine verweisen. Im Grunde sprach nichts für sie. Vielleicht gerade darum war die „Giottogenese", die Sprachentstehung, ein Lieblingskind der Spekulierer. Die Pariser Sprachgesellschaft erwehrte sich ih</w:t>
      </w:r>
      <w:r>
        <w:softHyphen/>
        <w:t>rer, indem sie 1866 in ihren Statuten die Annahm</w:t>
      </w:r>
      <w:r>
        <w:t>e von Sprachentstehungs-Theorien, sowie von Vorschlägen für Weltsprachen, rundheraus verbot. Aber so sehr die giottogenetische Spekulation unter Wissenschaftlern auch in Verruf geriet - die Menschen konnten es niemals lassen."</w:t>
      </w:r>
      <w:r>
        <w:rPr>
          <w:vertAlign w:val="superscript"/>
        </w:rPr>
        <w:footnoteReference w:id="152"/>
      </w:r>
      <w:r>
        <w:rPr>
          <w:vertAlign w:val="superscript"/>
        </w:rPr>
        <w:t xml:space="preserve"> </w:t>
      </w:r>
      <w:r>
        <w:rPr>
          <w:vertAlign w:val="superscript"/>
        </w:rPr>
        <w:footnoteReference w:id="153"/>
      </w:r>
    </w:p>
    <w:p w:rsidR="00BB7EDA" w:rsidRDefault="007D72B3">
      <w:pPr>
        <w:pStyle w:val="Bodytext90"/>
        <w:numPr>
          <w:ilvl w:val="0"/>
          <w:numId w:val="85"/>
        </w:numPr>
        <w:shd w:val="clear" w:color="auto" w:fill="auto"/>
        <w:tabs>
          <w:tab w:val="left" w:pos="510"/>
        </w:tabs>
        <w:spacing w:after="103" w:line="180" w:lineRule="exact"/>
      </w:pPr>
      <w:r>
        <w:t>Die ontogenpfische Theorie</w:t>
      </w:r>
      <w:r>
        <w:t xml:space="preserve"> der Sprachentstehung</w:t>
      </w:r>
    </w:p>
    <w:p w:rsidR="00BB7EDA" w:rsidRDefault="007D72B3">
      <w:pPr>
        <w:pStyle w:val="Bodytext20"/>
        <w:shd w:val="clear" w:color="auto" w:fill="auto"/>
        <w:spacing w:before="0" w:line="226" w:lineRule="exact"/>
      </w:pPr>
      <w:r>
        <w:t xml:space="preserve">In Anlehnung an das „Biogenetische Grundgesetz" von Ernst </w:t>
      </w:r>
      <w:r>
        <w:rPr>
          <w:rStyle w:val="Bodytext28ptSmallCaps"/>
        </w:rPr>
        <w:t xml:space="preserve">Haeckel, </w:t>
      </w:r>
      <w:r>
        <w:t>das besagt, dass der Mensch während seiner Entwicklung im Mutter</w:t>
      </w:r>
      <w:r>
        <w:softHyphen/>
        <w:t xml:space="preserve">leib nochmals die gesamte Stammesgeschichte rekapituliere, wurde die Behauptung aufgestellt, dass der </w:t>
      </w:r>
      <w:r>
        <w:t xml:space="preserve">Spracherwerb des Kleinkindes ein Abbild vom Spracherwerb während der von </w:t>
      </w:r>
      <w:r>
        <w:rPr>
          <w:rStyle w:val="Bodytext28ptSmallCaps"/>
        </w:rPr>
        <w:t xml:space="preserve">Darwin </w:t>
      </w:r>
      <w:r>
        <w:t>postulierten Entwicklungsgeschichte sei. Somit habe sich die erste Sprache allmäh</w:t>
      </w:r>
      <w:r>
        <w:softHyphen/>
        <w:t>lich aus Ausdrucksformen wie Lallen, weiter über simple Laut</w:t>
      </w:r>
      <w:r>
        <w:softHyphen/>
        <w:t>verbindungen, sodann Einwortsätze</w:t>
      </w:r>
      <w:r>
        <w:t>, stufenweise stets höher entwik- kelt. Schließlich seien aus diesen Anfängen heraus die hochkomplexen Sprachen, wie sie heute weltweit gesprochen werden, entstanden.</w:t>
      </w:r>
    </w:p>
    <w:p w:rsidR="00BB7EDA" w:rsidRDefault="007D72B3">
      <w:pPr>
        <w:pStyle w:val="Bodytext20"/>
        <w:shd w:val="clear" w:color="auto" w:fill="auto"/>
        <w:spacing w:before="0" w:line="226" w:lineRule="exact"/>
        <w:ind w:firstLine="320"/>
      </w:pPr>
      <w:r>
        <w:t xml:space="preserve">Das große Problem bei dieser Idee ist die Tatsache, dass beim Spracherwerb des </w:t>
      </w:r>
      <w:r>
        <w:t>Kleinkindes jeweils bereits ein Sprachsystem, eine Langue, vorgegeben ist, während im Rahmen einer angeblichen Stammesgeschichte, ein solches hochkomplexes Code-System auf vier Ebenen erst noch hätte erfunden werden müssen. Ferner haben wir gesehen, dass d</w:t>
      </w:r>
      <w:r>
        <w:t>er kindliche Spracherwerb unbedingt den Input von außen braucht, ansonsten bleibt der Mensch, wie man es an den Beispielen von sprachlicher Isolation erlebt hat, ohne Sprache. Somit besteht zwischen dem Spracherwerb des Kleinkindes und dem in einer Stammes</w:t>
      </w:r>
      <w:r>
        <w:t>geschichte postulierten Vorgang viel mehr Diskre</w:t>
      </w:r>
      <w:r>
        <w:softHyphen/>
        <w:t>panz als Analogie.</w:t>
      </w:r>
    </w:p>
    <w:p w:rsidR="00BB7EDA" w:rsidRDefault="007D72B3">
      <w:pPr>
        <w:pStyle w:val="Bodytext20"/>
        <w:shd w:val="clear" w:color="auto" w:fill="auto"/>
        <w:spacing w:before="0" w:line="226" w:lineRule="exact"/>
        <w:ind w:firstLine="320"/>
      </w:pPr>
      <w:r>
        <w:t>Auch das Studium der diachronen Linguistik zeigt, dass im Ver</w:t>
      </w:r>
      <w:r>
        <w:softHyphen/>
        <w:t>lauf der Geschichte einer bestimmten Sprache ganz andere Gesetze und Regeln gelten als bei der Sprachentwicklung eines Individ</w:t>
      </w:r>
      <w:r>
        <w:t xml:space="preserve">uums. Kinder beginnen oft mit Kurzformen von Wörtern, solange sie die Vollformen noch nicht aussprechen können. Haniel, eines unserer Kinder, sagte in seiner sprachlichen Frühphase z.B. </w:t>
      </w:r>
      <w:r>
        <w:rPr>
          <w:rStyle w:val="Bodytext2Italic0"/>
        </w:rPr>
        <w:t>Gul</w:t>
      </w:r>
      <w:r>
        <w:t xml:space="preserve"> anstatt </w:t>
      </w:r>
      <w:r>
        <w:rPr>
          <w:rStyle w:val="Bodytext2Italic0"/>
        </w:rPr>
        <w:t xml:space="preserve">Geld, u </w:t>
      </w:r>
      <w:r>
        <w:t xml:space="preserve">für </w:t>
      </w:r>
      <w:r>
        <w:rPr>
          <w:rStyle w:val="Bodytext2Italic0"/>
        </w:rPr>
        <w:t>ufe</w:t>
      </w:r>
      <w:r>
        <w:t xml:space="preserve"> (= „hinauf"), </w:t>
      </w:r>
      <w:r>
        <w:rPr>
          <w:rStyle w:val="Bodytext2Italic0"/>
        </w:rPr>
        <w:t>Banne</w:t>
      </w:r>
      <w:r>
        <w:t xml:space="preserve"> für </w:t>
      </w:r>
      <w:r>
        <w:rPr>
          <w:rStyle w:val="Bodytext2Italic0"/>
        </w:rPr>
        <w:t>Badwanne</w:t>
      </w:r>
      <w:r>
        <w:t xml:space="preserve"> (= Badewa</w:t>
      </w:r>
      <w:r>
        <w:t xml:space="preserve">nne) oder </w:t>
      </w:r>
      <w:r>
        <w:rPr>
          <w:rStyle w:val="Bodytext2Italic0"/>
        </w:rPr>
        <w:t>Mim</w:t>
      </w:r>
      <w:r>
        <w:t xml:space="preserve"> für Milch. Sprachgeschichtlich gehören im Allgemeinen jedoch Vollfor</w:t>
      </w:r>
      <w:r>
        <w:softHyphen/>
        <w:t>men in die Früh- und abgebaute Kurzformen in die Spätphase.</w:t>
      </w:r>
      <w:r>
        <w:rPr>
          <w:vertAlign w:val="superscript"/>
        </w:rPr>
        <w:footnoteReference w:id="154"/>
      </w:r>
    </w:p>
    <w:p w:rsidR="00BB7EDA" w:rsidRDefault="007D72B3">
      <w:pPr>
        <w:pStyle w:val="Bodytext20"/>
        <w:shd w:val="clear" w:color="auto" w:fill="auto"/>
        <w:spacing w:before="0" w:after="397" w:line="226" w:lineRule="exact"/>
        <w:ind w:firstLine="320"/>
      </w:pPr>
      <w:r>
        <w:t>Schließlich sei beiläufig noch vermerkt, dass „Haeckels Gesetz" inzwischen selbst von führenden Evolutionisten a</w:t>
      </w:r>
      <w:r>
        <w:t>ls „Haeckels Irr</w:t>
      </w:r>
      <w:r>
        <w:softHyphen/>
        <w:t>tum" betrachtet oder zumindest erheblich relativiert wird. Auch neuere Versuche, die Abstammungslehre durch einen Rückgriff auf die menschliche Ontogenese besser zu analysieren, haben sich als ziemlich problematisch erwiesen.</w:t>
      </w:r>
      <w:r>
        <w:rPr>
          <w:vertAlign w:val="superscript"/>
        </w:rPr>
        <w:footnoteReference w:id="155"/>
      </w:r>
    </w:p>
    <w:p w:rsidR="00BB7EDA" w:rsidRDefault="007D72B3">
      <w:pPr>
        <w:pStyle w:val="Heading50"/>
        <w:keepNext/>
        <w:keepLines/>
        <w:numPr>
          <w:ilvl w:val="0"/>
          <w:numId w:val="85"/>
        </w:numPr>
        <w:shd w:val="clear" w:color="auto" w:fill="auto"/>
        <w:tabs>
          <w:tab w:val="left" w:pos="505"/>
        </w:tabs>
        <w:spacing w:after="94" w:line="180" w:lineRule="exact"/>
      </w:pPr>
      <w:bookmarkStart w:id="46" w:name="bookmark45"/>
      <w:r>
        <w:t xml:space="preserve">Die Theorie </w:t>
      </w:r>
      <w:r>
        <w:t>der Mutter-Kind-Beziehung</w:t>
      </w:r>
      <w:bookmarkEnd w:id="46"/>
    </w:p>
    <w:p w:rsidR="00BB7EDA" w:rsidRDefault="007D72B3">
      <w:pPr>
        <w:pStyle w:val="Bodytext20"/>
        <w:shd w:val="clear" w:color="auto" w:fill="auto"/>
        <w:spacing w:before="0"/>
      </w:pPr>
      <w:r>
        <w:t>Bei diesem Ansatz denkt man sich folgendes: Mütter geben im Umgang mit ihren Babys kreative, Liebkosungen begleitende, an</w:t>
      </w:r>
      <w:r>
        <w:softHyphen/>
        <w:t>mutige und Geborgenheit vermittelnde Laute von sich, indem sie damit eine Art Zwiesprache ohne wirkliche Wör</w:t>
      </w:r>
      <w:r>
        <w:t>ter führen. In diesen Lautäußerungen sollen die Urgründe der menschlichen Sprache zu finden sein. Die Sprache soll sich wesentlich aus der Kommunikation zwischen Mutter und Kind entwickelt haben. Das Verhältnis zwi</w:t>
      </w:r>
      <w:r>
        <w:softHyphen/>
        <w:t xml:space="preserve">schen Mutter und Kind sei ja schließlich </w:t>
      </w:r>
      <w:r>
        <w:t xml:space="preserve">die erste soziale Beziehung des Menschen. Als prominente Vertreter dieser These sind die Soziobiologen Doris und David </w:t>
      </w:r>
      <w:r>
        <w:rPr>
          <w:rStyle w:val="Bodytext28ptSmallCaps"/>
        </w:rPr>
        <w:t xml:space="preserve">Jonas </w:t>
      </w:r>
      <w:r>
        <w:rPr>
          <w:rStyle w:val="Bodytext255ptSmallCapsSpacing1pt"/>
        </w:rPr>
        <w:t xml:space="preserve">zu </w:t>
      </w:r>
      <w:r>
        <w:t>nennen.</w:t>
      </w:r>
      <w:r>
        <w:rPr>
          <w:vertAlign w:val="superscript"/>
        </w:rPr>
        <w:footnoteReference w:id="156"/>
      </w:r>
    </w:p>
    <w:p w:rsidR="00BB7EDA" w:rsidRDefault="007D72B3">
      <w:pPr>
        <w:pStyle w:val="Bodytext20"/>
        <w:shd w:val="clear" w:color="auto" w:fill="auto"/>
        <w:spacing w:before="0" w:after="116" w:line="226" w:lineRule="exact"/>
        <w:ind w:firstLine="320"/>
      </w:pPr>
      <w:r>
        <w:t>Bei diesem Ansatz spielen ferner folgende Überlegungen eine wichtige Rolle:</w:t>
      </w:r>
      <w:r>
        <w:rPr>
          <w:vertAlign w:val="superscript"/>
        </w:rPr>
        <w:footnoteReference w:id="157"/>
      </w:r>
    </w:p>
    <w:p w:rsidR="00BB7EDA" w:rsidRDefault="007D72B3">
      <w:pPr>
        <w:pStyle w:val="Bodytext20"/>
        <w:numPr>
          <w:ilvl w:val="0"/>
          <w:numId w:val="86"/>
        </w:numPr>
        <w:shd w:val="clear" w:color="auto" w:fill="auto"/>
        <w:tabs>
          <w:tab w:val="left" w:pos="562"/>
        </w:tabs>
        <w:spacing w:before="0"/>
        <w:ind w:firstLine="320"/>
      </w:pPr>
      <w:r>
        <w:t>Frauen sind ja im Durchschnitt den Männern</w:t>
      </w:r>
      <w:r>
        <w:t xml:space="preserve"> sprachlich über</w:t>
      </w:r>
      <w:r>
        <w:softHyphen/>
        <w:t>legen. Dies passe zur Sicht, dass Mütter am Anfang der Sprach- entstehung stünden.</w:t>
      </w:r>
    </w:p>
    <w:p w:rsidR="00BB7EDA" w:rsidRDefault="007D72B3">
      <w:pPr>
        <w:pStyle w:val="Bodytext20"/>
        <w:numPr>
          <w:ilvl w:val="0"/>
          <w:numId w:val="86"/>
        </w:numPr>
        <w:shd w:val="clear" w:color="auto" w:fill="auto"/>
        <w:tabs>
          <w:tab w:val="left" w:pos="577"/>
        </w:tabs>
        <w:spacing w:before="0" w:after="124"/>
        <w:ind w:firstLine="320"/>
      </w:pPr>
      <w:r>
        <w:t>Die Theorie der Mutter-Kind-Beziehung lasse sich gut in die Ergebnisse der Hemisphärenforschung einordnen: Prähistorische Mütter hätten, wie die heutigen, i</w:t>
      </w:r>
      <w:r>
        <w:t>hre Babys oft spontan in den linken Arm genommen, weil auf diese Art die Kleinen von den mütter</w:t>
      </w:r>
      <w:r>
        <w:softHyphen/>
        <w:t>lichen Herztönen beruhigt werden. So sei jeweils speziell die rechte Hand, die ja von der linken Gehirnhälfte gesteuert wird, frei gewe</w:t>
      </w:r>
      <w:r>
        <w:softHyphen/>
        <w:t>sen für alle möglichen T</w:t>
      </w:r>
      <w:r>
        <w:t>ätigkeiten wie Essen, Füttern, Sammeln und Gestikulieren. Diese Bevorzugung der linken Hemisphäre des Ge</w:t>
      </w:r>
      <w:r>
        <w:softHyphen/>
        <w:t>hirns sei somit dafür verantwortlich gewesen, dass sich das Sprach- produktionszentrum, das ja zumeist auf der linken Seite zu finden ist, entwickeln k</w:t>
      </w:r>
      <w:r>
        <w:t>onnte.</w:t>
      </w:r>
    </w:p>
    <w:p w:rsidR="00BB7EDA" w:rsidRDefault="007D72B3">
      <w:pPr>
        <w:pStyle w:val="Bodytext20"/>
        <w:shd w:val="clear" w:color="auto" w:fill="auto"/>
        <w:spacing w:before="0" w:line="226" w:lineRule="exact"/>
        <w:ind w:firstLine="320"/>
      </w:pPr>
      <w:r>
        <w:t>Kritisch sei an dieser Stelle vermerkt, dass Mütter in einem Alter sind, wo die sprachsensible Phase der vorpubertären Zeit vorüber ist, und wo somit auch die Funktion des „Sprachdietrichs" erstarrt ist.</w:t>
      </w:r>
      <w:r>
        <w:rPr>
          <w:vertAlign w:val="superscript"/>
        </w:rPr>
        <w:footnoteReference w:id="158"/>
      </w:r>
      <w:r>
        <w:t xml:space="preserve"> Wenn für Mütter die Zeit, um einen Sprach-Co</w:t>
      </w:r>
      <w:r>
        <w:t>de zu knacken, vorüber ist, wie viel mehr gilt dann, dass sie keine Voraussetzungen haben, um eine Sprache zu generieren.</w:t>
      </w:r>
    </w:p>
    <w:p w:rsidR="00BB7EDA" w:rsidRDefault="007D72B3">
      <w:pPr>
        <w:pStyle w:val="Bodytext20"/>
        <w:shd w:val="clear" w:color="auto" w:fill="auto"/>
        <w:spacing w:before="0" w:line="226" w:lineRule="exact"/>
        <w:ind w:firstLine="320"/>
      </w:pPr>
      <w:r>
        <w:t>Aus neurologischer Sicht ist es eigentlich absurd, wenn man meint, dass der häufige Gebrauch der linken Hirnhälfte zur Entste</w:t>
      </w:r>
      <w:r>
        <w:softHyphen/>
        <w:t>hung ein</w:t>
      </w:r>
      <w:r>
        <w:t>er völlig neuen und anderen Struktur, nämlich zur Entste</w:t>
      </w:r>
      <w:r>
        <w:softHyphen/>
        <w:t>hung eines motorischen Sprachzentrums hinführen soll.</w:t>
      </w:r>
    </w:p>
    <w:p w:rsidR="00BB7EDA" w:rsidRDefault="007D72B3">
      <w:pPr>
        <w:pStyle w:val="Bodytext20"/>
        <w:shd w:val="clear" w:color="auto" w:fill="auto"/>
        <w:spacing w:before="0" w:line="226" w:lineRule="exact"/>
        <w:ind w:firstLine="320"/>
      </w:pPr>
      <w:r>
        <w:t>Nebst den bisher genannten Ansätzen gibt es, wie gesagt, noch weitere zumeist ähnlich lautende Auffassungen. Auch durch diver</w:t>
      </w:r>
      <w:r>
        <w:softHyphen/>
        <w:t>se Kombinationen ka</w:t>
      </w:r>
      <w:r>
        <w:t>nn die Anzahl der bisher genannten evolutionistischen „Theorien" zur Entstehung der Sprachen gewis</w:t>
      </w:r>
      <w:r>
        <w:softHyphen/>
        <w:t>sermaßen beliebig erhöht werden.</w:t>
      </w:r>
    </w:p>
    <w:p w:rsidR="00BB7EDA" w:rsidRDefault="007D72B3">
      <w:pPr>
        <w:pStyle w:val="Heading30"/>
        <w:keepNext/>
        <w:keepLines/>
        <w:numPr>
          <w:ilvl w:val="0"/>
          <w:numId w:val="87"/>
        </w:numPr>
        <w:shd w:val="clear" w:color="auto" w:fill="auto"/>
        <w:tabs>
          <w:tab w:val="left" w:pos="327"/>
        </w:tabs>
        <w:spacing w:after="445" w:line="336" w:lineRule="exact"/>
        <w:ind w:right="1260"/>
        <w:jc w:val="left"/>
      </w:pPr>
      <w:bookmarkStart w:id="47" w:name="bookmark46"/>
      <w:r>
        <w:t>Der Ursprung der Sprachen aus der Sicht der Bibel</w:t>
      </w:r>
      <w:bookmarkEnd w:id="47"/>
    </w:p>
    <w:p w:rsidR="00BB7EDA" w:rsidRDefault="007D72B3">
      <w:pPr>
        <w:pStyle w:val="Bodytext20"/>
        <w:shd w:val="clear" w:color="auto" w:fill="auto"/>
        <w:spacing w:before="0"/>
      </w:pPr>
      <w:r>
        <w:t xml:space="preserve">Nachdem wir uns mit evolutionistischen Konzepten bezüglich der </w:t>
      </w:r>
      <w:r>
        <w:t>Sprachentstehung auseinandergesetzt haben, untersuchen wir nun die Informationen, welche die Heilige Schrift uns zu diesem Thema vermittelt.</w:t>
      </w:r>
    </w:p>
    <w:p w:rsidR="00BB7EDA" w:rsidRDefault="007D72B3">
      <w:pPr>
        <w:pStyle w:val="Bodytext20"/>
        <w:shd w:val="clear" w:color="auto" w:fill="auto"/>
        <w:spacing w:before="0" w:after="393"/>
        <w:ind w:firstLine="320"/>
      </w:pPr>
      <w:r>
        <w:t>Zusammenfassend kann das biblische Zeugnis über die Her</w:t>
      </w:r>
      <w:r>
        <w:softHyphen/>
        <w:t>kunft der menschlichen Sprachen wie folgt umschrieben werde</w:t>
      </w:r>
      <w:r>
        <w:t>n: Die Bibel bezeugt Gott als den Schöpfer der menschlichen Sprachen. Auch die Sprachbegabung des Menschen ist gemäß der Heiligen Schrift das Ergebnis eines göttlichen Schöpfungsaktes.</w:t>
      </w:r>
    </w:p>
    <w:p w:rsidR="00BB7EDA" w:rsidRDefault="007D72B3">
      <w:pPr>
        <w:pStyle w:val="Heading40"/>
        <w:keepNext/>
        <w:keepLines/>
        <w:numPr>
          <w:ilvl w:val="1"/>
          <w:numId w:val="87"/>
        </w:numPr>
        <w:shd w:val="clear" w:color="auto" w:fill="auto"/>
        <w:tabs>
          <w:tab w:val="left" w:pos="399"/>
        </w:tabs>
        <w:spacing w:after="211" w:line="264" w:lineRule="exact"/>
        <w:jc w:val="left"/>
      </w:pPr>
      <w:bookmarkStart w:id="48" w:name="bookmark47"/>
      <w:r>
        <w:t>Zur Unterscheidung zwischen Bibel, Exegese und Schöpfungsforschung</w:t>
      </w:r>
      <w:bookmarkEnd w:id="48"/>
    </w:p>
    <w:p w:rsidR="00BB7EDA" w:rsidRDefault="007D72B3">
      <w:pPr>
        <w:pStyle w:val="Bodytext20"/>
        <w:shd w:val="clear" w:color="auto" w:fill="auto"/>
        <w:spacing w:before="0" w:line="226" w:lineRule="exact"/>
      </w:pPr>
      <w:r>
        <w:t>In d</w:t>
      </w:r>
      <w:r>
        <w:t xml:space="preserve">er vorliegenden Arbeit wollen wir uns der biblischen Aussagen bedienen, um innerhalb dieses Rahmens </w:t>
      </w:r>
      <w:r>
        <w:rPr>
          <w:rStyle w:val="Bodytext2Italic0"/>
        </w:rPr>
        <w:t xml:space="preserve">Sprach-Schöpfungsforschung </w:t>
      </w:r>
      <w:r>
        <w:t xml:space="preserve">zu betreiben. Analog dazu wie im Evolutionismus </w:t>
      </w:r>
      <w:r>
        <w:rPr>
          <w:rStyle w:val="Bodytext2Italic0"/>
        </w:rPr>
        <w:t>ideologische Denk</w:t>
      </w:r>
      <w:r>
        <w:rPr>
          <w:rStyle w:val="Bodytext2Italic0"/>
        </w:rPr>
        <w:softHyphen/>
        <w:t>systeme</w:t>
      </w:r>
      <w:r>
        <w:t xml:space="preserve"> wie z.B. der Rationalismus, der Materialismus oder der </w:t>
      </w:r>
      <w:r>
        <w:t xml:space="preserve">Atheismus etc. den gedanklichen Rahmen abstecken, so bilden in der Schöpfungsforschung, </w:t>
      </w:r>
      <w:r>
        <w:rPr>
          <w:rStyle w:val="Bodytext2Italic0"/>
        </w:rPr>
        <w:t>die Aussagen der Bibel</w:t>
      </w:r>
      <w:r>
        <w:t xml:space="preserve"> den Gesichtskreis, innerhalb dessen sich die wissenschaftliche Forschungsarbeit bewegt.</w:t>
      </w:r>
    </w:p>
    <w:p w:rsidR="00BB7EDA" w:rsidRDefault="007D72B3">
      <w:pPr>
        <w:pStyle w:val="Bodytext20"/>
        <w:shd w:val="clear" w:color="auto" w:fill="auto"/>
        <w:spacing w:before="0" w:line="226" w:lineRule="exact"/>
        <w:ind w:firstLine="320"/>
      </w:pPr>
      <w:r>
        <w:t>Um jedoch zu wissen, was die Bibel über die schöpfungsrel</w:t>
      </w:r>
      <w:r>
        <w:t xml:space="preserve">evanten Bereiche aussagt, müssen wir zunächst die diesbezüglichen Texte auslegen. Durch die Auslegung soll verdeutlicht werden, was der Bibeltext wirklich sagt. </w:t>
      </w:r>
      <w:r>
        <w:rPr>
          <w:rStyle w:val="Bodytext2Italic0"/>
        </w:rPr>
        <w:t>Exegese,</w:t>
      </w:r>
      <w:r>
        <w:t xml:space="preserve"> Auslegung, ist übrigens das Gegen</w:t>
      </w:r>
      <w:r>
        <w:softHyphen/>
        <w:t xml:space="preserve">teil von </w:t>
      </w:r>
      <w:r>
        <w:rPr>
          <w:rStyle w:val="Bodytext2Italic0"/>
        </w:rPr>
        <w:t>Eisegese,</w:t>
      </w:r>
      <w:r>
        <w:t xml:space="preserve"> Hineinlegung. Bei der Eisegese, d</w:t>
      </w:r>
      <w:r>
        <w:t>ie es beim Bibel</w:t>
      </w:r>
      <w:r>
        <w:softHyphen/>
        <w:t>studium um jeden Preis zu vermeiden gilt, versucht der Leser, wissentlich oder unwissentlich, seine eigenen Meinungen und An</w:t>
      </w:r>
      <w:r>
        <w:softHyphen/>
        <w:t>sichten in den biblischen Text hineinzuprojizieren, um sie anschlie</w:t>
      </w:r>
      <w:r>
        <w:softHyphen/>
        <w:t>ßend stolz triumphierend als neu entdeckte bib</w:t>
      </w:r>
      <w:r>
        <w:t>lische Erkenntnisse wieder hervorzuholen und zu präsentieren.</w:t>
      </w:r>
    </w:p>
    <w:p w:rsidR="00BB7EDA" w:rsidRDefault="007D72B3">
      <w:pPr>
        <w:pStyle w:val="Bodytext20"/>
        <w:shd w:val="clear" w:color="auto" w:fill="auto"/>
        <w:spacing w:before="0" w:line="226" w:lineRule="exact"/>
        <w:ind w:firstLine="320"/>
      </w:pPr>
      <w:r>
        <w:t xml:space="preserve">Es ist von großer Wichtigkeit zwischen der </w:t>
      </w:r>
      <w:r>
        <w:rPr>
          <w:rStyle w:val="Bodytext2Italic0"/>
        </w:rPr>
        <w:t>Auslegung</w:t>
      </w:r>
      <w:r>
        <w:t xml:space="preserve"> einerseits und der </w:t>
      </w:r>
      <w:r>
        <w:rPr>
          <w:rStyle w:val="Bodytext2Italic0"/>
        </w:rPr>
        <w:t>Bibel</w:t>
      </w:r>
      <w:r>
        <w:t xml:space="preserve"> andererseits klar zu unterscheiden. Jede Auslegung ist ein sorgfältiges und ehrfürchtiges Herantasten an den Bibelte</w:t>
      </w:r>
      <w:r>
        <w:t>xt. Sie muss immer wieder neu am biblischen Wort überprüft und ausge</w:t>
      </w:r>
      <w:r>
        <w:softHyphen/>
        <w:t>richtet werden. Man sollte sich darum bemühen, immer wieder neu zu kontrollieren, ob man die Aussagen der Heiligen Schrift wirklich korrekt, so wie sie es meint, verstanden hat.</w:t>
      </w:r>
    </w:p>
    <w:p w:rsidR="00BB7EDA" w:rsidRDefault="007D72B3">
      <w:pPr>
        <w:pStyle w:val="Bodytext20"/>
        <w:shd w:val="clear" w:color="auto" w:fill="auto"/>
        <w:spacing w:before="0" w:line="226" w:lineRule="exact"/>
        <w:ind w:firstLine="320"/>
      </w:pPr>
      <w:r>
        <w:t>Es ist mö</w:t>
      </w:r>
      <w:r>
        <w:t>glich, dass man sich bei der Auslegung irrt, und ebenso kann es sein, dass man bei der Schöpfungsforschung z.B. in der Methodik, in der Beobachtung oder in der Logik Fehler begeht. So ist es ja in jeder wissenschaftlichen Arbeit, völlig unabhängig vom abge</w:t>
      </w:r>
      <w:r>
        <w:t xml:space="preserve">steckten Denkhorizont. Es ist daher wichtig, dass man im Fall von Fehlern in der Schöpfungsforschung nicht so ohne weiteres den Schluss zieht, dass sich an dieser Stelle etwa </w:t>
      </w:r>
      <w:r>
        <w:rPr>
          <w:rStyle w:val="Bodytext2Italic0"/>
        </w:rPr>
        <w:t>die Bibel</w:t>
      </w:r>
      <w:r>
        <w:t xml:space="preserve"> geirrt habe. Wer vorschnell solche Schlüsse zieht, muss sich den Vorwur</w:t>
      </w:r>
      <w:r>
        <w:t>f gefallen lassen, wichtige erkenntnistheoretische Gegebenheiten sträflich über</w:t>
      </w:r>
      <w:r>
        <w:softHyphen/>
        <w:t>gangen zu haben.</w:t>
      </w:r>
      <w:r>
        <w:rPr>
          <w:vertAlign w:val="superscript"/>
        </w:rPr>
        <w:t>175</w:t>
      </w:r>
    </w:p>
    <w:p w:rsidR="00BB7EDA" w:rsidRDefault="007D72B3">
      <w:pPr>
        <w:pStyle w:val="Bodytext20"/>
        <w:shd w:val="clear" w:color="auto" w:fill="auto"/>
        <w:spacing w:before="0" w:line="226" w:lineRule="exact"/>
        <w:ind w:firstLine="320"/>
      </w:pPr>
      <w:r>
        <w:t xml:space="preserve">Es ist also von entscheidender Bedeutung, dass man erstens zwischen der </w:t>
      </w:r>
      <w:r>
        <w:rPr>
          <w:rStyle w:val="Bodytext2Italic0"/>
        </w:rPr>
        <w:t>Bibel</w:t>
      </w:r>
      <w:r>
        <w:t xml:space="preserve"> und der </w:t>
      </w:r>
      <w:r>
        <w:rPr>
          <w:rStyle w:val="Bodytext2Italic0"/>
        </w:rPr>
        <w:t>Auslegung</w:t>
      </w:r>
      <w:r>
        <w:t xml:space="preserve"> unterscheidet, indem man sie nicht so ohne weiteres gleichsetzt. Sodann muss aber zweitens auch zwischen der </w:t>
      </w:r>
      <w:r>
        <w:rPr>
          <w:rStyle w:val="Bodytext2Italic0"/>
        </w:rPr>
        <w:t>Bibelauslegung</w:t>
      </w:r>
      <w:r>
        <w:t xml:space="preserve"> und der </w:t>
      </w:r>
      <w:r>
        <w:rPr>
          <w:rStyle w:val="Bodytext2Italic0"/>
        </w:rPr>
        <w:t>Schöpfungsforschung</w:t>
      </w:r>
      <w:r>
        <w:t xml:space="preserve"> deutlich differenziert werden, indem man sich vor Augen stellt, dass die durch Bibelauslegung erarbeite</w:t>
      </w:r>
      <w:r>
        <w:t>ten Aussagen lediglich den Rahmen liefern, innerhalb dessen man in der Schöpfungsforschung weiter</w:t>
      </w:r>
      <w:r>
        <w:softHyphen/>
        <w:t>denkt, ergründet und einzuordnen versucht.</w:t>
      </w:r>
    </w:p>
    <w:p w:rsidR="00BB7EDA" w:rsidRDefault="007D72B3">
      <w:pPr>
        <w:pStyle w:val="Bodytext20"/>
        <w:shd w:val="clear" w:color="auto" w:fill="auto"/>
        <w:spacing w:before="0" w:after="326" w:line="226" w:lineRule="exact"/>
        <w:ind w:firstLine="320"/>
      </w:pPr>
      <w:r>
        <w:t>Wenn ich im Folgenden immer wieder vom „Standpunkt der Bibel" spreche, tue ich dies der Einfachheit halber so, ohne</w:t>
      </w:r>
      <w:r>
        <w:t xml:space="preserve"> dabei zu vergessen, dass die eben dargelegten Unterscheidungen von we</w:t>
      </w:r>
      <w:r>
        <w:softHyphen/>
        <w:t>sentlicher praktischer und theoretischer Bedeutung sind.</w:t>
      </w:r>
    </w:p>
    <w:p w:rsidR="00BB7EDA" w:rsidRDefault="007D72B3">
      <w:pPr>
        <w:pStyle w:val="Heading40"/>
        <w:keepNext/>
        <w:keepLines/>
        <w:numPr>
          <w:ilvl w:val="1"/>
          <w:numId w:val="87"/>
        </w:numPr>
        <w:shd w:val="clear" w:color="auto" w:fill="auto"/>
        <w:tabs>
          <w:tab w:val="left" w:pos="404"/>
        </w:tabs>
        <w:spacing w:after="95" w:line="269" w:lineRule="exact"/>
        <w:jc w:val="left"/>
      </w:pPr>
      <w:bookmarkStart w:id="49" w:name="bookmark48"/>
      <w:r>
        <w:t>Das Zeugnis des Schöpfungsberichtes (Genesis 1 und 2)</w:t>
      </w:r>
      <w:bookmarkEnd w:id="49"/>
    </w:p>
    <w:p w:rsidR="00BB7EDA" w:rsidRDefault="007D72B3">
      <w:pPr>
        <w:pStyle w:val="Bodytext20"/>
        <w:shd w:val="clear" w:color="auto" w:fill="auto"/>
        <w:spacing w:before="0" w:after="397" w:line="226" w:lineRule="exact"/>
      </w:pPr>
      <w:r>
        <w:t xml:space="preserve">Laut dem Bericht der Genesis erschuf Gott den ersten Menschen, Adam, mit </w:t>
      </w:r>
      <w:r>
        <w:t>einer von Anfang an voll funktionierenden Kommunika</w:t>
      </w:r>
      <w:r>
        <w:softHyphen/>
        <w:t>tionsfähigkeit.</w:t>
      </w:r>
    </w:p>
    <w:p w:rsidR="00BB7EDA" w:rsidRDefault="007D72B3">
      <w:pPr>
        <w:pStyle w:val="Heading50"/>
        <w:keepNext/>
        <w:keepLines/>
        <w:numPr>
          <w:ilvl w:val="2"/>
          <w:numId w:val="87"/>
        </w:numPr>
        <w:shd w:val="clear" w:color="auto" w:fill="auto"/>
        <w:tabs>
          <w:tab w:val="left" w:pos="500"/>
        </w:tabs>
        <w:spacing w:after="163" w:line="180" w:lineRule="exact"/>
      </w:pPr>
      <w:bookmarkStart w:id="50" w:name="bookmark49"/>
      <w:r>
        <w:t>Sprachverständnis von allem Anfang an</w:t>
      </w:r>
      <w:bookmarkEnd w:id="50"/>
    </w:p>
    <w:p w:rsidR="00BB7EDA" w:rsidRDefault="007D72B3">
      <w:pPr>
        <w:pStyle w:val="Bodytext20"/>
        <w:shd w:val="clear" w:color="auto" w:fill="auto"/>
        <w:spacing w:before="0" w:after="267" w:line="226" w:lineRule="exact"/>
      </w:pPr>
      <w:r>
        <w:t>ln Gen 2,16 und 17 wird davon berichtet, wie Gott mit Adam, gleich nach seiner Erschaffung, einen Bund geschlossen hat:</w:t>
      </w:r>
      <w:r>
        <w:rPr>
          <w:vertAlign w:val="superscript"/>
        </w:rPr>
        <w:t>176</w:t>
      </w:r>
    </w:p>
    <w:p w:rsidR="00BB7EDA" w:rsidRDefault="007D72B3">
      <w:pPr>
        <w:pStyle w:val="Bodytext60"/>
        <w:shd w:val="clear" w:color="auto" w:fill="auto"/>
        <w:spacing w:line="192" w:lineRule="exact"/>
        <w:ind w:left="320" w:hanging="320"/>
      </w:pPr>
      <w:r>
        <w:rPr>
          <w:vertAlign w:val="superscript"/>
        </w:rPr>
        <w:t>17:1</w:t>
      </w:r>
      <w:r>
        <w:t xml:space="preserve"> Ausführlicher zu diese</w:t>
      </w:r>
      <w:r>
        <w:t>n wichtigen erkenntnistheoretischen Unterscheidun</w:t>
      </w:r>
      <w:r>
        <w:softHyphen/>
        <w:t>gen vgl.: SG Wort und Wissen: Schöpfung (o)der Evolution.</w:t>
      </w:r>
    </w:p>
    <w:p w:rsidR="00BB7EDA" w:rsidRDefault="007D72B3">
      <w:pPr>
        <w:pStyle w:val="Bodytext60"/>
        <w:numPr>
          <w:ilvl w:val="0"/>
          <w:numId w:val="88"/>
        </w:numPr>
        <w:shd w:val="clear" w:color="auto" w:fill="auto"/>
        <w:tabs>
          <w:tab w:val="left" w:pos="349"/>
        </w:tabs>
        <w:spacing w:line="192" w:lineRule="exact"/>
        <w:jc w:val="both"/>
      </w:pPr>
      <w:r>
        <w:t>Vgl. Hos 6,7.</w:t>
      </w:r>
    </w:p>
    <w:p w:rsidR="00BB7EDA" w:rsidRDefault="007D72B3">
      <w:pPr>
        <w:pStyle w:val="Bodytext20"/>
        <w:shd w:val="clear" w:color="auto" w:fill="auto"/>
        <w:spacing w:before="0"/>
        <w:ind w:left="320" w:right="340"/>
      </w:pPr>
      <w:r>
        <w:t>„[16] Und der HERR, Gott, gebot dem Menschen und sprach: Von jedem Baum des Gartens darfst du nach Belieben essen.</w:t>
      </w:r>
    </w:p>
    <w:p w:rsidR="00BB7EDA" w:rsidRDefault="007D72B3">
      <w:pPr>
        <w:pStyle w:val="Bodytext20"/>
        <w:shd w:val="clear" w:color="auto" w:fill="auto"/>
        <w:spacing w:before="0" w:after="116" w:line="226" w:lineRule="exact"/>
        <w:ind w:left="320" w:right="340"/>
      </w:pPr>
      <w:r>
        <w:t>[17] Aber von dem B</w:t>
      </w:r>
      <w:r>
        <w:t>aum der Erkenntnis des Guten und Bösen, davon sollst du nicht essen, denn an dem Tag, da du davon isst, wirst du gewisslich sterben."</w:t>
      </w:r>
    </w:p>
    <w:p w:rsidR="00BB7EDA" w:rsidRDefault="007D72B3">
      <w:pPr>
        <w:pStyle w:val="Bodytext20"/>
        <w:shd w:val="clear" w:color="auto" w:fill="auto"/>
        <w:spacing w:before="0"/>
        <w:ind w:firstLine="320"/>
      </w:pPr>
      <w:r>
        <w:t>Somit war Adam gemäß dieser Stelle von Anbeginn seiner Exi</w:t>
      </w:r>
      <w:r>
        <w:softHyphen/>
        <w:t xml:space="preserve">stenz an in der Lage, Gottes Sprechen zu verstehen, ohne dass </w:t>
      </w:r>
      <w:r>
        <w:t>er dies zuerst hätte lernen müssen.</w:t>
      </w:r>
    </w:p>
    <w:p w:rsidR="00BB7EDA" w:rsidRDefault="007D72B3">
      <w:pPr>
        <w:pStyle w:val="Bodytext20"/>
        <w:shd w:val="clear" w:color="auto" w:fill="auto"/>
        <w:spacing w:before="0" w:after="400"/>
        <w:ind w:firstLine="320"/>
      </w:pPr>
      <w:r>
        <w:t>Gottes Reden mit Adam am Tag seiner Erschaffung lässt uns den Schluss ziehen: Eine Langue, nämlich das Sprachsystem der in der Kommunikation mit Adam verwendeten Sprache Gottes, war be</w:t>
      </w:r>
      <w:r>
        <w:softHyphen/>
        <w:t>reits vorgegeben.</w:t>
      </w:r>
      <w:r>
        <w:rPr>
          <w:vertAlign w:val="superscript"/>
        </w:rPr>
        <w:footnoteReference w:id="159"/>
      </w:r>
      <w:r>
        <w:t xml:space="preserve"> Adam konnte Gott</w:t>
      </w:r>
      <w:r>
        <w:t>es Rede sofort verstehen, da sein sensibles Sprachzentrum, das Wernickesche Zentrum im Temporallappen, verbundenen mit allen weiteren interaktiv mitbe</w:t>
      </w:r>
      <w:r>
        <w:softHyphen/>
        <w:t>teiligten Gehirnregionen, offensichtlich von Anbeginn bereits vor</w:t>
      </w:r>
      <w:r>
        <w:softHyphen/>
        <w:t>programmiert und voll funktionsfähig wa</w:t>
      </w:r>
      <w:r>
        <w:t>r.</w:t>
      </w:r>
    </w:p>
    <w:p w:rsidR="00BB7EDA" w:rsidRDefault="007D72B3">
      <w:pPr>
        <w:pStyle w:val="Heading50"/>
        <w:keepNext/>
        <w:keepLines/>
        <w:numPr>
          <w:ilvl w:val="2"/>
          <w:numId w:val="87"/>
        </w:numPr>
        <w:shd w:val="clear" w:color="auto" w:fill="auto"/>
        <w:tabs>
          <w:tab w:val="left" w:pos="505"/>
        </w:tabs>
        <w:spacing w:after="43" w:line="180" w:lineRule="exact"/>
      </w:pPr>
      <w:bookmarkStart w:id="51" w:name="bookmark50"/>
      <w:r>
        <w:t>Sprechfähigkeit von allem Anfang an</w:t>
      </w:r>
      <w:bookmarkEnd w:id="51"/>
    </w:p>
    <w:p w:rsidR="00BB7EDA" w:rsidRDefault="007D72B3">
      <w:pPr>
        <w:pStyle w:val="Bodytext20"/>
        <w:shd w:val="clear" w:color="auto" w:fill="auto"/>
        <w:spacing w:before="0" w:after="157" w:line="226" w:lineRule="exact"/>
      </w:pPr>
      <w:r>
        <w:t>Gemäß Gen 2,23 war Adam von seiner Entstehung an auch fähig, sich durch eine artikulierte Sprache aktiv auszudrücken. Nach der Erschaffung Evas durch eine Art Cloning aus einer Rippe, artikulier</w:t>
      </w:r>
      <w:r>
        <w:softHyphen/>
        <w:t xml:space="preserve">te sich Adam in einem </w:t>
      </w:r>
      <w:r>
        <w:t>romantischen Sprachakt (Parole):</w:t>
      </w:r>
    </w:p>
    <w:p w:rsidR="00BB7EDA" w:rsidRDefault="007D72B3">
      <w:pPr>
        <w:pStyle w:val="Bodytext20"/>
        <w:shd w:val="clear" w:color="auto" w:fill="auto"/>
        <w:spacing w:before="0" w:line="180" w:lineRule="exact"/>
        <w:ind w:firstLine="320"/>
      </w:pPr>
      <w:r>
        <w:t>„Da sagte der Mensch:</w:t>
      </w:r>
    </w:p>
    <w:p w:rsidR="00BB7EDA" w:rsidRDefault="007D72B3">
      <w:pPr>
        <w:pStyle w:val="Bodytext20"/>
        <w:shd w:val="clear" w:color="auto" w:fill="auto"/>
        <w:spacing w:before="0" w:after="120" w:line="226" w:lineRule="exact"/>
        <w:ind w:left="320" w:right="1600"/>
        <w:jc w:val="left"/>
      </w:pPr>
      <w:r>
        <w:t>Diese endlich ist Gebein von meinem Gebein und Fleisch von meinem Fleisch; diese soll Männin heißen, denn vom Mann ist sie genommen."</w:t>
      </w:r>
    </w:p>
    <w:p w:rsidR="00BB7EDA" w:rsidRDefault="007D72B3">
      <w:pPr>
        <w:pStyle w:val="Bodytext20"/>
        <w:shd w:val="clear" w:color="auto" w:fill="auto"/>
        <w:spacing w:before="0" w:after="277" w:line="226" w:lineRule="exact"/>
        <w:ind w:firstLine="320"/>
      </w:pPr>
      <w:r>
        <w:t>Dies geschah noch am selben Tag, an dem Adam ins Dasein gekommen wa</w:t>
      </w:r>
      <w:r>
        <w:t>r (vgl. Gen 1,26-31).</w:t>
      </w:r>
      <w:r>
        <w:rPr>
          <w:vertAlign w:val="superscript"/>
        </w:rPr>
        <w:footnoteReference w:id="160"/>
      </w:r>
      <w:r>
        <w:t xml:space="preserve"> Daraus lässt sich schließen, dass auch das Brocasche Feld Adams, das motorische Sprachzen</w:t>
      </w:r>
      <w:r>
        <w:softHyphen/>
        <w:t>trum des ersten Menschen, verbundenen mit allen weiteren interak</w:t>
      </w:r>
      <w:r>
        <w:softHyphen/>
        <w:t>tiv mitbeteiligten Gehirnregionen, vorprogrammiert war und so ohne Lernprozess</w:t>
      </w:r>
      <w:r>
        <w:t xml:space="preserve"> Sprachakte produzieren konnte.</w:t>
      </w:r>
    </w:p>
    <w:p w:rsidR="00BB7EDA" w:rsidRDefault="007D72B3">
      <w:pPr>
        <w:pStyle w:val="Heading50"/>
        <w:keepNext/>
        <w:keepLines/>
        <w:numPr>
          <w:ilvl w:val="2"/>
          <w:numId w:val="87"/>
        </w:numPr>
        <w:shd w:val="clear" w:color="auto" w:fill="auto"/>
        <w:tabs>
          <w:tab w:val="left" w:pos="523"/>
        </w:tabs>
        <w:spacing w:after="159" w:line="180" w:lineRule="exact"/>
      </w:pPr>
      <w:bookmarkStart w:id="52" w:name="bookmark51"/>
      <w:r>
        <w:t>Befähigung zur Neubildung von Wörtern</w:t>
      </w:r>
      <w:bookmarkEnd w:id="52"/>
    </w:p>
    <w:p w:rsidR="00BB7EDA" w:rsidRDefault="007D72B3">
      <w:pPr>
        <w:pStyle w:val="Bodytext20"/>
        <w:shd w:val="clear" w:color="auto" w:fill="auto"/>
        <w:spacing w:before="0" w:after="120"/>
      </w:pPr>
      <w:r>
        <w:t xml:space="preserve">Aus Gen 2,19 bis 20 geht ebenso hervor, dass Adam vom Tag seiner Erschaffung an in der Lage war, neue Wörter zu erfinden und somit sein Vokabular durch so genannte </w:t>
      </w:r>
      <w:r>
        <w:rPr>
          <w:rStyle w:val="Bodytext2Italic0"/>
        </w:rPr>
        <w:t>Neologismen</w:t>
      </w:r>
      <w:r>
        <w:t xml:space="preserve"> zu erweitern und zu bereichern:</w:t>
      </w:r>
    </w:p>
    <w:p w:rsidR="00BB7EDA" w:rsidRDefault="007D72B3">
      <w:pPr>
        <w:pStyle w:val="Bodytext20"/>
        <w:shd w:val="clear" w:color="auto" w:fill="auto"/>
        <w:spacing w:before="0" w:after="124"/>
        <w:ind w:left="320" w:right="320"/>
      </w:pPr>
      <w:r>
        <w:t>„[19] Der HERR, Gott, hatte ja aus dem Erdboden alle Tiere des Feldes und alle Vögel des Himmels gebildet, und so brachte er sie nun zu dem Menschen, um zu sehen, wie er sie nennen würde. Und wie irgend der Mensch ein leben</w:t>
      </w:r>
      <w:r>
        <w:t>des Wesen nennen würde, so sollte sein Name sein. [20] Und der Mensch gab Namen allem Vieh und den Vögeln des Himmels und allen Tieren des Feldes."</w:t>
      </w:r>
    </w:p>
    <w:p w:rsidR="00BB7EDA" w:rsidRDefault="007D72B3">
      <w:pPr>
        <w:pStyle w:val="Bodytext20"/>
        <w:numPr>
          <w:ilvl w:val="3"/>
          <w:numId w:val="87"/>
        </w:numPr>
        <w:shd w:val="clear" w:color="auto" w:fill="auto"/>
        <w:tabs>
          <w:tab w:val="left" w:pos="644"/>
        </w:tabs>
        <w:spacing w:before="0" w:line="226" w:lineRule="exact"/>
        <w:jc w:val="left"/>
      </w:pPr>
      <w:r>
        <w:rPr>
          <w:rStyle w:val="Bodytext285ptBoldItalic"/>
        </w:rPr>
        <w:t xml:space="preserve">Auf kulturelle Entwicklung hin konzipierte Schöpfergabe </w:t>
      </w:r>
      <w:r>
        <w:t>Somit war der Mensch von Anfang an in die Lage verse</w:t>
      </w:r>
      <w:r>
        <w:t xml:space="preserve">tzt worden, im Bereich der </w:t>
      </w:r>
      <w:r>
        <w:rPr>
          <w:rStyle w:val="Bodytext2Italic0"/>
        </w:rPr>
        <w:t>Lexik</w:t>
      </w:r>
      <w:r>
        <w:t xml:space="preserve"> und der </w:t>
      </w:r>
      <w:r>
        <w:rPr>
          <w:rStyle w:val="Bodytext2Italic0"/>
        </w:rPr>
        <w:t>Semantik</w:t>
      </w:r>
      <w:r>
        <w:t xml:space="preserve"> kreativ zu wirken und die Sprache durch neu gebildete Wörter auszubauen.</w:t>
      </w:r>
    </w:p>
    <w:p w:rsidR="00BB7EDA" w:rsidRDefault="007D72B3">
      <w:pPr>
        <w:pStyle w:val="Bodytext20"/>
        <w:shd w:val="clear" w:color="auto" w:fill="auto"/>
        <w:spacing w:before="0" w:after="120" w:line="226" w:lineRule="exact"/>
        <w:ind w:firstLine="320"/>
      </w:pPr>
      <w:r>
        <w:t>An dieser Stelle begegnen wir einem wichtigen Charakteristi</w:t>
      </w:r>
      <w:r>
        <w:softHyphen/>
        <w:t>kum der menschlichen Sprache: Die Sprache durch artikulierte Lau</w:t>
      </w:r>
      <w:r>
        <w:softHyphen/>
        <w:t>te besit</w:t>
      </w:r>
      <w:r>
        <w:t xml:space="preserve">zt </w:t>
      </w:r>
      <w:r>
        <w:rPr>
          <w:rStyle w:val="Bodytext2Italic0"/>
        </w:rPr>
        <w:t>Offenheit,</w:t>
      </w:r>
      <w:r>
        <w:t xml:space="preserve"> die sich in der Modifizierbarkeit und freien Kombinierbarkeit manifestiert. In diesem Aspekt der Offenheit kommt </w:t>
      </w:r>
      <w:r>
        <w:rPr>
          <w:rStyle w:val="Bodytext2Italic0"/>
        </w:rPr>
        <w:t>ein kulturelles Element</w:t>
      </w:r>
      <w:r>
        <w:t xml:space="preserve"> in die Sprache hinein. </w:t>
      </w:r>
      <w:r>
        <w:rPr>
          <w:rStyle w:val="Bodytext2Italic0"/>
        </w:rPr>
        <w:t>Sprache ist nach der Bibel somit eine Kombination aus Schöpfergabe Gottes und kult</w:t>
      </w:r>
      <w:r>
        <w:rPr>
          <w:rStyle w:val="Bodytext2Italic0"/>
        </w:rPr>
        <w:t>ureller Entwicklungsmöglichkeit.</w:t>
      </w:r>
    </w:p>
    <w:p w:rsidR="00BB7EDA" w:rsidRDefault="007D72B3">
      <w:pPr>
        <w:pStyle w:val="Bodytext100"/>
        <w:numPr>
          <w:ilvl w:val="3"/>
          <w:numId w:val="87"/>
        </w:numPr>
        <w:shd w:val="clear" w:color="auto" w:fill="auto"/>
        <w:tabs>
          <w:tab w:val="left" w:pos="654"/>
        </w:tabs>
        <w:spacing w:before="0"/>
        <w:ind w:firstLine="0"/>
      </w:pPr>
      <w:r>
        <w:t>Sprachkultur-Auftrag</w:t>
      </w:r>
    </w:p>
    <w:p w:rsidR="00BB7EDA" w:rsidRDefault="007D72B3">
      <w:pPr>
        <w:pStyle w:val="Bodytext20"/>
        <w:shd w:val="clear" w:color="auto" w:fill="auto"/>
        <w:spacing w:before="0" w:line="226" w:lineRule="exact"/>
      </w:pPr>
      <w:r>
        <w:t xml:space="preserve">Aus Gen 2,19-20 kann sogar abgeleitet werden, dass der Schöpfer vom Menschen kulturelle Weiterentwicklung der Sprache erwartet. Man könnte somit theologisch-ethisch auch von einem von Gott erteilten </w:t>
      </w:r>
      <w:r>
        <w:rPr>
          <w:rStyle w:val="Bodytext2Italic0"/>
        </w:rPr>
        <w:t>kulturellen Sprachentwicklungs-Auftrag</w:t>
      </w:r>
      <w:r>
        <w:t xml:space="preserve"> reden.</w:t>
      </w:r>
    </w:p>
    <w:p w:rsidR="00BB7EDA" w:rsidRDefault="007D72B3">
      <w:pPr>
        <w:pStyle w:val="Bodytext20"/>
        <w:shd w:val="clear" w:color="auto" w:fill="auto"/>
        <w:spacing w:before="0" w:after="120" w:line="226" w:lineRule="exact"/>
        <w:ind w:firstLine="320"/>
      </w:pPr>
      <w:r>
        <w:t>Dies wird umso deutlicher, wenn man an dieser Stelle das umfas</w:t>
      </w:r>
      <w:r>
        <w:softHyphen/>
        <w:t xml:space="preserve">sende </w:t>
      </w:r>
      <w:r>
        <w:rPr>
          <w:rStyle w:val="Bodytext2Italic0"/>
        </w:rPr>
        <w:t>Mandat</w:t>
      </w:r>
      <w:r>
        <w:t xml:space="preserve"> an den Menschen, wie es in Gen 1,28 formuliert wird, mit im Auge hat:</w:t>
      </w:r>
    </w:p>
    <w:p w:rsidR="00BB7EDA" w:rsidRDefault="007D72B3">
      <w:pPr>
        <w:pStyle w:val="Bodytext20"/>
        <w:shd w:val="clear" w:color="auto" w:fill="auto"/>
        <w:spacing w:before="0" w:line="226" w:lineRule="exact"/>
        <w:ind w:left="320" w:right="320"/>
      </w:pPr>
      <w:r>
        <w:t>„Und Gott segnete sie, und Gott sprach zu ihnen: Seid frucht</w:t>
      </w:r>
      <w:r>
        <w:softHyphen/>
        <w:t>bar</w:t>
      </w:r>
      <w:r>
        <w:t xml:space="preserve"> und mehrt euch und füllt die Erde und macht sie euch untertan; und herrscht über die Fische des Meeres und über</w:t>
      </w:r>
    </w:p>
    <w:p w:rsidR="00BB7EDA" w:rsidRDefault="007D72B3">
      <w:pPr>
        <w:pStyle w:val="Bodytext20"/>
        <w:shd w:val="clear" w:color="auto" w:fill="auto"/>
        <w:spacing w:before="0" w:after="176" w:line="226" w:lineRule="exact"/>
        <w:ind w:left="320"/>
        <w:jc w:val="left"/>
      </w:pPr>
      <w:r>
        <w:t>die Vögel des Himmels und über alle Tiere, die sich auf der Erde regen!"</w:t>
      </w:r>
    </w:p>
    <w:p w:rsidR="00BB7EDA" w:rsidRDefault="007D72B3">
      <w:pPr>
        <w:pStyle w:val="Bodytext20"/>
        <w:shd w:val="clear" w:color="auto" w:fill="auto"/>
        <w:spacing w:before="0" w:after="340"/>
        <w:ind w:firstLine="320"/>
      </w:pPr>
      <w:r>
        <w:t>Die „Herrschaft" über die Tierwelt umfasst natürlich viele ver</w:t>
      </w:r>
      <w:r>
        <w:softHyphen/>
      </w:r>
      <w:r>
        <w:t>schiedene Aspekte. Im Zusammenhang mit dem Anliegen der vor</w:t>
      </w:r>
      <w:r>
        <w:softHyphen/>
        <w:t>liegenden Arbeit verdient ganz speziell die sprachkultureile Arbeit in der Erfassung der Tierwelt durch Namensgebung, wie sie in Gen 2,19-20 beschrieben wird, unsere besondere Aufmerksamkeit.</w:t>
      </w:r>
    </w:p>
    <w:p w:rsidR="00BB7EDA" w:rsidRDefault="007D72B3">
      <w:pPr>
        <w:pStyle w:val="Bodytext90"/>
        <w:numPr>
          <w:ilvl w:val="2"/>
          <w:numId w:val="87"/>
        </w:numPr>
        <w:shd w:val="clear" w:color="auto" w:fill="auto"/>
        <w:tabs>
          <w:tab w:val="left" w:pos="510"/>
        </w:tabs>
        <w:spacing w:after="94" w:line="180" w:lineRule="exact"/>
      </w:pPr>
      <w:r>
        <w:t>Dich</w:t>
      </w:r>
      <w:r>
        <w:t>terische Begabung</w:t>
      </w:r>
    </w:p>
    <w:p w:rsidR="00BB7EDA" w:rsidRDefault="007D72B3">
      <w:pPr>
        <w:pStyle w:val="Bodytext20"/>
        <w:shd w:val="clear" w:color="auto" w:fill="auto"/>
        <w:spacing w:before="0" w:after="180"/>
      </w:pPr>
      <w:r>
        <w:t>Gen 2,23 zufolge konnte Adam bereits am Tag, an dem er ins Dasein gekommen war, mit seiner Sprache sogar poetisch umgehen.</w:t>
      </w:r>
      <w:r>
        <w:rPr>
          <w:vertAlign w:val="superscript"/>
        </w:rPr>
        <w:footnoteReference w:id="161"/>
      </w:r>
      <w:r>
        <w:t xml:space="preserve"> Sei</w:t>
      </w:r>
      <w:r>
        <w:softHyphen/>
        <w:t xml:space="preserve">ne Frau gab ihm dazu Anlass. Als er sie zum ersten Mal sah - dies geschah, wie bereits darauf verwiesen, noch </w:t>
      </w:r>
      <w:r>
        <w:t>am sechsten Schöp</w:t>
      </w:r>
      <w:r>
        <w:softHyphen/>
        <w:t>fungstag (vgl. Gen 1,26-27) -, da war er dermaßen überwältigt von ihrem Anblick, dass er sich in romantischen Gefühlen wallend gar dichterisch auszudrücken begann:</w:t>
      </w:r>
    </w:p>
    <w:p w:rsidR="00BB7EDA" w:rsidRDefault="007D72B3">
      <w:pPr>
        <w:pStyle w:val="Bodytext20"/>
        <w:shd w:val="clear" w:color="auto" w:fill="auto"/>
        <w:spacing w:before="0"/>
        <w:ind w:left="320" w:right="1360"/>
        <w:jc w:val="left"/>
      </w:pPr>
      <w:r>
        <w:t>„Diese ist endlich Gebein von meinen Gebeinen und Fleisch von meinem Fleis</w:t>
      </w:r>
      <w:r>
        <w:t>ch.</w:t>
      </w:r>
    </w:p>
    <w:p w:rsidR="00BB7EDA" w:rsidRDefault="007D72B3">
      <w:pPr>
        <w:pStyle w:val="Bodytext20"/>
        <w:shd w:val="clear" w:color="auto" w:fill="auto"/>
        <w:spacing w:before="0" w:after="19" w:line="180" w:lineRule="exact"/>
        <w:ind w:firstLine="320"/>
      </w:pPr>
      <w:r>
        <w:t xml:space="preserve">Diese soll Männin (hebr. </w:t>
      </w:r>
      <w:r>
        <w:rPr>
          <w:rStyle w:val="Bodytext2Italic0"/>
        </w:rPr>
        <w:t>’isah)</w:t>
      </w:r>
      <w:r>
        <w:t xml:space="preserve"> heißen,</w:t>
      </w:r>
    </w:p>
    <w:p w:rsidR="00BB7EDA" w:rsidRDefault="007D72B3">
      <w:pPr>
        <w:pStyle w:val="Bodytext20"/>
        <w:shd w:val="clear" w:color="auto" w:fill="auto"/>
        <w:spacing w:before="0" w:after="134" w:line="180" w:lineRule="exact"/>
        <w:ind w:firstLine="320"/>
      </w:pPr>
      <w:r>
        <w:t xml:space="preserve">denn von dem Manne (hebr. </w:t>
      </w:r>
      <w:r>
        <w:rPr>
          <w:rStyle w:val="Bodytext2Italic0"/>
        </w:rPr>
        <w:t>’is)</w:t>
      </w:r>
      <w:r>
        <w:t xml:space="preserve"> ist diese genommen."</w:t>
      </w:r>
    </w:p>
    <w:p w:rsidR="00BB7EDA" w:rsidRDefault="007D72B3">
      <w:pPr>
        <w:pStyle w:val="Bodytext20"/>
        <w:shd w:val="clear" w:color="auto" w:fill="auto"/>
        <w:spacing w:before="0" w:after="98" w:line="180" w:lineRule="exact"/>
        <w:ind w:firstLine="320"/>
      </w:pPr>
      <w:r>
        <w:t>Im hebräischen Text lautet dieses Gedicht so:</w:t>
      </w:r>
    </w:p>
    <w:p w:rsidR="00BB7EDA" w:rsidRDefault="007D72B3">
      <w:pPr>
        <w:pStyle w:val="Bodytext20"/>
        <w:shd w:val="clear" w:color="auto" w:fill="auto"/>
        <w:spacing w:before="0" w:after="176" w:line="226" w:lineRule="exact"/>
        <w:ind w:left="320" w:right="2620"/>
        <w:jc w:val="left"/>
      </w:pPr>
      <w:r>
        <w:t>zoth hapa'am 'etsem me'atzamai uvasar mibesari lezoth jiqare' 'isah ki me'is luqochah zoth</w:t>
      </w:r>
    </w:p>
    <w:p w:rsidR="00BB7EDA" w:rsidRDefault="007D72B3">
      <w:pPr>
        <w:pStyle w:val="Bodytext20"/>
        <w:shd w:val="clear" w:color="auto" w:fill="auto"/>
        <w:spacing w:before="0"/>
        <w:ind w:firstLine="320"/>
      </w:pPr>
      <w:r>
        <w:t xml:space="preserve">Poesie äußert sich zu </w:t>
      </w:r>
      <w:r>
        <w:t>einem wesentlichen Teil durch einen künst</w:t>
      </w:r>
      <w:r>
        <w:softHyphen/>
        <w:t xml:space="preserve">lerisch-kreativen Umgang mit der </w:t>
      </w:r>
      <w:r>
        <w:rPr>
          <w:rStyle w:val="Bodytext2Italic0"/>
        </w:rPr>
        <w:t>Syntax.</w:t>
      </w:r>
      <w:r>
        <w:t xml:space="preserve"> Gerade in der alttesta- mentlichen Dichtung ist dies übrigens besonders augenscheinlich, da sich hier die Syntax bedeutend von derjenigen in der Alltagsspra</w:t>
      </w:r>
      <w:r>
        <w:softHyphen/>
        <w:t>che unterscheide</w:t>
      </w:r>
      <w:r>
        <w:t>t.</w:t>
      </w:r>
      <w:r>
        <w:rPr>
          <w:vertAlign w:val="superscript"/>
        </w:rPr>
        <w:footnoteReference w:id="162"/>
      </w:r>
    </w:p>
    <w:p w:rsidR="00BB7EDA" w:rsidRDefault="007D72B3">
      <w:pPr>
        <w:pStyle w:val="Bodytext20"/>
        <w:numPr>
          <w:ilvl w:val="3"/>
          <w:numId w:val="87"/>
        </w:numPr>
        <w:shd w:val="clear" w:color="auto" w:fill="auto"/>
        <w:tabs>
          <w:tab w:val="left" w:pos="649"/>
        </w:tabs>
        <w:spacing w:before="0" w:after="184"/>
      </w:pPr>
      <w:r>
        <w:rPr>
          <w:rStyle w:val="Bodytext285ptBoldItalic"/>
        </w:rPr>
        <w:t xml:space="preserve">Rekombinatorische Kreativität auf dem Gebiet der Syntax </w:t>
      </w:r>
      <w:r>
        <w:t>Die kreative Fähigkeit auf dem Gebiet der Syntax äußert sich natür</w:t>
      </w:r>
      <w:r>
        <w:softHyphen/>
        <w:t>lich nicht nur in der Poesie. Dort istsie allgemein sehr auffallend. Die äußerst vielfältige syntaktische Kreativität des Mensche</w:t>
      </w:r>
      <w:r>
        <w:t>n kommt sowohl in der Prosa als auch in der Poesie zur Geltung und beginnt eigentlich spätestens da, wo Kleinkinder plötzlich beginnen, Sätze zu sagen, die sie noch nie zuvor gehört haben. Diese Kreativität äußert sich ferner ausgesprochen in jeder Art der</w:t>
      </w:r>
      <w:r>
        <w:t xml:space="preserve"> Rhetorik und in all den vielfältigen stilistischen Möglichkeiten, wie sie z.B. in der Litera</w:t>
      </w:r>
      <w:r>
        <w:softHyphen/>
        <w:t>tur zum Ausdruck kommen. Es ist aber wichtig, zu beachten, dass die Sprachkreativität des Menschen wesentlich in einer phantasie</w:t>
      </w:r>
      <w:r>
        <w:softHyphen/>
        <w:t xml:space="preserve">vollen </w:t>
      </w:r>
      <w:r>
        <w:rPr>
          <w:rStyle w:val="Bodytext2Italic0"/>
        </w:rPr>
        <w:t>Rekombination</w:t>
      </w:r>
      <w:r>
        <w:t xml:space="preserve"> dessen, was </w:t>
      </w:r>
      <w:r>
        <w:t>in der Langue eigentlich schon vorgegeben ist, besteht. Sprachkreativität äußert sich praktisch nie in der Schaffung völlig neuer Sprachstrukturen.</w:t>
      </w:r>
    </w:p>
    <w:p w:rsidR="00BB7EDA" w:rsidRDefault="007D72B3">
      <w:pPr>
        <w:pStyle w:val="Bodytext20"/>
        <w:shd w:val="clear" w:color="auto" w:fill="auto"/>
        <w:spacing w:before="0" w:after="373" w:line="226" w:lineRule="exact"/>
      </w:pPr>
      <w:r>
        <w:rPr>
          <w:rStyle w:val="Bodytext285ptBoldItalic"/>
        </w:rPr>
        <w:t xml:space="preserve">4.2A.2 Auftrag und Impuls zur Ausübung von Sprachkreativität </w:t>
      </w:r>
      <w:r>
        <w:t>In Verbindung mit unseren Beobachtungen am Text</w:t>
      </w:r>
      <w:r>
        <w:t xml:space="preserve"> von Gen 2 wird auch klar, dass der Mensch von seinem Schöpfer sogar einen </w:t>
      </w:r>
      <w:r>
        <w:rPr>
          <w:rStyle w:val="Bodytext2Italic0"/>
        </w:rPr>
        <w:t>Impuls</w:t>
      </w:r>
      <w:r>
        <w:t xml:space="preserve"> zur Sprachkulturellen Arbeit erhalten hat. In Kombination mit dem im vorangegangenen Abschnitt Gesagten, kann biblisch</w:t>
      </w:r>
      <w:r>
        <w:softHyphen/>
        <w:t xml:space="preserve">theologisch berechtigt nun sowohl von einem </w:t>
      </w:r>
      <w:r>
        <w:rPr>
          <w:rStyle w:val="Bodytext2Italic0"/>
        </w:rPr>
        <w:t>Auftrag</w:t>
      </w:r>
      <w:r>
        <w:t xml:space="preserve"> als</w:t>
      </w:r>
      <w:r>
        <w:t xml:space="preserve"> auch von einem </w:t>
      </w:r>
      <w:r>
        <w:rPr>
          <w:rStyle w:val="Bodytext2Italic0"/>
        </w:rPr>
        <w:t>Impuls</w:t>
      </w:r>
      <w:r>
        <w:t xml:space="preserve"> zur Ausübung von Kreativität auf dem Gebiet der Sprache geredet werden.</w:t>
      </w:r>
    </w:p>
    <w:p w:rsidR="00BB7EDA" w:rsidRDefault="007D72B3">
      <w:pPr>
        <w:pStyle w:val="Heading40"/>
        <w:keepNext/>
        <w:keepLines/>
        <w:numPr>
          <w:ilvl w:val="1"/>
          <w:numId w:val="87"/>
        </w:numPr>
        <w:shd w:val="clear" w:color="auto" w:fill="auto"/>
        <w:tabs>
          <w:tab w:val="left" w:pos="399"/>
        </w:tabs>
        <w:spacing w:after="157" w:line="210" w:lineRule="exact"/>
      </w:pPr>
      <w:bookmarkStart w:id="53" w:name="bookmark52"/>
      <w:r>
        <w:t>Das Zeugnis der Turmbau-Erzählung (Genesis 11)</w:t>
      </w:r>
      <w:bookmarkEnd w:id="53"/>
    </w:p>
    <w:p w:rsidR="00BB7EDA" w:rsidRDefault="007D72B3">
      <w:pPr>
        <w:pStyle w:val="Bodytext20"/>
        <w:shd w:val="clear" w:color="auto" w:fill="auto"/>
        <w:spacing w:before="0" w:after="176" w:line="226" w:lineRule="exact"/>
      </w:pPr>
      <w:r>
        <w:t xml:space="preserve">Gen 2 zufolge gab Gott dem Menschen anfänglich </w:t>
      </w:r>
      <w:r>
        <w:rPr>
          <w:rStyle w:val="Bodytext2Italic0"/>
        </w:rPr>
        <w:t>eine</w:t>
      </w:r>
      <w:r>
        <w:t xml:space="preserve"> Sprache. Der Bericht, wie Gott der Menschheit weitere Sprachen</w:t>
      </w:r>
      <w:r>
        <w:t xml:space="preserve"> vermittelte, findet sich in Gen 11,1-9:</w:t>
      </w:r>
    </w:p>
    <w:p w:rsidR="00BB7EDA" w:rsidRDefault="007D72B3">
      <w:pPr>
        <w:pStyle w:val="Bodytext20"/>
        <w:shd w:val="clear" w:color="auto" w:fill="auto"/>
        <w:spacing w:before="0"/>
        <w:ind w:left="320"/>
        <w:jc w:val="left"/>
      </w:pPr>
      <w:r>
        <w:t>„[1] Und die ganze Erde hatte die gleiche Sprache und die gleichen Wörter.</w:t>
      </w:r>
      <w:r>
        <w:rPr>
          <w:vertAlign w:val="superscript"/>
        </w:rPr>
        <w:t>18</w:t>
      </w:r>
      <w:r>
        <w:t>' [2] Und es geschah, als sie nach Osten</w:t>
      </w:r>
      <w:r>
        <w:rPr>
          <w:vertAlign w:val="superscript"/>
        </w:rPr>
        <w:footnoteReference w:id="163"/>
      </w:r>
      <w:r>
        <w:rPr>
          <w:vertAlign w:val="superscript"/>
        </w:rPr>
        <w:t xml:space="preserve"> </w:t>
      </w:r>
      <w:r>
        <w:rPr>
          <w:vertAlign w:val="superscript"/>
        </w:rPr>
        <w:footnoteReference w:id="164"/>
      </w:r>
    </w:p>
    <w:p w:rsidR="00BB7EDA" w:rsidRDefault="007D72B3">
      <w:pPr>
        <w:pStyle w:val="Bodytext20"/>
        <w:shd w:val="clear" w:color="auto" w:fill="auto"/>
        <w:spacing w:before="0" w:after="400"/>
        <w:ind w:left="300" w:right="340"/>
      </w:pPr>
      <w:r>
        <w:t>zogen, da fanden sie eine Ebene im Land Sinear</w:t>
      </w:r>
      <w:r>
        <w:rPr>
          <w:vertAlign w:val="superscript"/>
        </w:rPr>
        <w:footnoteReference w:id="165"/>
      </w:r>
      <w:r>
        <w:t xml:space="preserve"> und wohn</w:t>
      </w:r>
      <w:r>
        <w:softHyphen/>
        <w:t>ten dort. [3] Da sprachen sie einer zu</w:t>
      </w:r>
      <w:r>
        <w:t>m andern: Auf,</w:t>
      </w:r>
      <w:r>
        <w:rPr>
          <w:vertAlign w:val="superscript"/>
        </w:rPr>
        <w:footnoteReference w:id="166"/>
      </w:r>
      <w:r>
        <w:t xml:space="preserve"> lasst uns Ziegel streichen und hart brennen! Der Ziegel diente ihnen als Stein, und der Asphalt diente ihnen als Mörtel. [4] Sie sprachen: Auf, bauen wir uns eine Stadt und einen Turm, dessen Spitze an den Himmel reiche, und machen wir uns </w:t>
      </w:r>
      <w:r>
        <w:t>einen Namen, dass wir nicht zerstreut werden</w:t>
      </w:r>
      <w:r>
        <w:rPr>
          <w:vertAlign w:val="superscript"/>
        </w:rPr>
        <w:footnoteReference w:id="167"/>
      </w:r>
      <w:r>
        <w:t xml:space="preserve"> über die ganze Erde! [5] Da fuhr der HERR herab, um die Stadt und den Turm zu besehen, welche die Menschensöhne bauten. [6] Darauf sprach der HERR: Siehe sie sind </w:t>
      </w:r>
      <w:r>
        <w:rPr>
          <w:rStyle w:val="Bodytext2Italic0"/>
        </w:rPr>
        <w:t>ein</w:t>
      </w:r>
      <w:r>
        <w:t xml:space="preserve"> Volk, und haben alle </w:t>
      </w:r>
      <w:r>
        <w:rPr>
          <w:rStyle w:val="Bodytext2Italic0"/>
        </w:rPr>
        <w:t>eine</w:t>
      </w:r>
      <w:r>
        <w:t xml:space="preserve"> Sprache, und dies haben sie angefangen zu tun; und nun wird ihnen nichts verwehrt werden, was sie zu tun ersinnen.</w:t>
      </w:r>
      <w:r>
        <w:rPr>
          <w:vertAlign w:val="superscript"/>
        </w:rPr>
        <w:footnoteReference w:id="168"/>
      </w:r>
      <w:r>
        <w:t xml:space="preserve"> [7] Auf, lasst uns hinabfahren und dort ihre Spra</w:t>
      </w:r>
      <w:r>
        <w:softHyphen/>
        <w:t>che verwirren, dass sie einer des andern Sprache nicht verste</w:t>
      </w:r>
      <w:r>
        <w:softHyphen/>
        <w:t xml:space="preserve">hen! [8] Da zerstreute sie </w:t>
      </w:r>
      <w:r>
        <w:t>der HERR von dort aus über die ganze Erde. So hörten sie auf, die Stadt zu bauen. [9] Darum gab man ihr den Namen Babel,</w:t>
      </w:r>
      <w:r>
        <w:rPr>
          <w:vertAlign w:val="superscript"/>
        </w:rPr>
        <w:footnoteReference w:id="169"/>
      </w:r>
      <w:r>
        <w:t xml:space="preserve"> weil der HERR dort die Sprache der ganzen Erde verwirrt hatte. Und von dort zer</w:t>
      </w:r>
      <w:r>
        <w:softHyphen/>
        <w:t>streute sie der HERR über die ganze Erde."</w:t>
      </w:r>
    </w:p>
    <w:p w:rsidR="00BB7EDA" w:rsidRDefault="007D72B3">
      <w:pPr>
        <w:pStyle w:val="Heading50"/>
        <w:keepNext/>
        <w:keepLines/>
        <w:numPr>
          <w:ilvl w:val="2"/>
          <w:numId w:val="87"/>
        </w:numPr>
        <w:shd w:val="clear" w:color="auto" w:fill="auto"/>
        <w:tabs>
          <w:tab w:val="left" w:pos="500"/>
        </w:tabs>
        <w:spacing w:after="223" w:line="180" w:lineRule="exact"/>
      </w:pPr>
      <w:bookmarkStart w:id="54" w:name="bookmark53"/>
      <w:r>
        <w:t>Nachsintflu</w:t>
      </w:r>
      <w:r>
        <w:t>tliche Kulturexplosion</w:t>
      </w:r>
      <w:bookmarkEnd w:id="54"/>
    </w:p>
    <w:p w:rsidR="00BB7EDA" w:rsidRDefault="007D72B3">
      <w:pPr>
        <w:pStyle w:val="Bodytext80"/>
        <w:numPr>
          <w:ilvl w:val="0"/>
          <w:numId w:val="89"/>
        </w:numPr>
        <w:shd w:val="clear" w:color="auto" w:fill="auto"/>
        <w:tabs>
          <w:tab w:val="left" w:pos="658"/>
        </w:tabs>
      </w:pPr>
      <w:r>
        <w:t>Die Völkertafel</w:t>
      </w:r>
    </w:p>
    <w:p w:rsidR="00BB7EDA" w:rsidRDefault="007D72B3">
      <w:pPr>
        <w:pStyle w:val="Bodytext20"/>
        <w:shd w:val="clear" w:color="auto" w:fill="auto"/>
        <w:spacing w:before="0" w:line="226" w:lineRule="exact"/>
      </w:pPr>
      <w:r>
        <w:t>Die Bibel datiert die Ereignisse von Gen 11,1-9 in die erste Zeit nach</w:t>
      </w:r>
    </w:p>
    <w:p w:rsidR="00BB7EDA" w:rsidRDefault="007D72B3">
      <w:pPr>
        <w:pStyle w:val="Bodytext20"/>
        <w:shd w:val="clear" w:color="auto" w:fill="auto"/>
        <w:spacing w:before="0" w:line="226" w:lineRule="exact"/>
      </w:pPr>
      <w:r>
        <w:t>der Sintflut.</w:t>
      </w:r>
      <w:r>
        <w:rPr>
          <w:vertAlign w:val="superscript"/>
        </w:rPr>
        <w:footnoteReference w:id="170"/>
      </w:r>
      <w:r>
        <w:t xml:space="preserve"> Die weltweite Katastrophe der großen Flut wird in</w:t>
      </w:r>
    </w:p>
    <w:p w:rsidR="00BB7EDA" w:rsidRDefault="007D72B3">
      <w:pPr>
        <w:pStyle w:val="Bodytext20"/>
        <w:shd w:val="clear" w:color="auto" w:fill="auto"/>
        <w:spacing w:before="0" w:line="226" w:lineRule="exact"/>
      </w:pPr>
      <w:r>
        <w:t>Gen 6-9 beschrieben. Gen 10 enthält eine Übersicht über die Nach</w:t>
      </w:r>
      <w:r>
        <w:softHyphen/>
        <w:t>kommen Noahs und</w:t>
      </w:r>
      <w:r>
        <w:t xml:space="preserve"> berichtet über deren Zerstreuung. In diesem</w:t>
      </w:r>
    </w:p>
    <w:p w:rsidR="00BB7EDA" w:rsidRDefault="007D72B3">
      <w:pPr>
        <w:pStyle w:val="Bodytext20"/>
        <w:shd w:val="clear" w:color="auto" w:fill="auto"/>
        <w:spacing w:before="0" w:after="180"/>
      </w:pPr>
      <w:r>
        <w:t>Kapitel, das man allgemein die „Völkertafel" nennt, werden insge</w:t>
      </w:r>
      <w:r>
        <w:softHyphen/>
        <w:t>samt 70 Namen aufgeführt.</w:t>
      </w:r>
      <w:r>
        <w:rPr>
          <w:vertAlign w:val="superscript"/>
        </w:rPr>
        <w:footnoteReference w:id="171"/>
      </w:r>
      <w:r>
        <w:t xml:space="preserve"> Durch die moderne Archäologie konn</w:t>
      </w:r>
      <w:r>
        <w:softHyphen/>
        <w:t>te die Zuverlässigkeit dieser Liste aufgezeigt werden.</w:t>
      </w:r>
      <w:r>
        <w:rPr>
          <w:vertAlign w:val="superscript"/>
        </w:rPr>
        <w:footnoteReference w:id="172"/>
      </w:r>
      <w:r>
        <w:t xml:space="preserve"> Kein Name daraus ist irgendw</w:t>
      </w:r>
      <w:r>
        <w:t>ie mythologisch. Unter der nahöstlichen Literatur gibt es weder hieroglyphisch noch keilinschriftlich literarische Par</w:t>
      </w:r>
      <w:r>
        <w:softHyphen/>
        <w:t>allelen zu Gen 10. Die „Völkertafel" stellt ein höchst erstaunliches Phänomen dar.</w:t>
      </w:r>
    </w:p>
    <w:p w:rsidR="00BB7EDA" w:rsidRDefault="007D72B3">
      <w:pPr>
        <w:pStyle w:val="Bodytext100"/>
        <w:numPr>
          <w:ilvl w:val="0"/>
          <w:numId w:val="89"/>
        </w:numPr>
        <w:shd w:val="clear" w:color="auto" w:fill="auto"/>
        <w:tabs>
          <w:tab w:val="left" w:pos="649"/>
        </w:tabs>
        <w:spacing w:before="0" w:line="230" w:lineRule="exact"/>
        <w:ind w:firstLine="0"/>
      </w:pPr>
      <w:r>
        <w:t>Zum Verhältnis zwischen Gen 10 und 11</w:t>
      </w:r>
    </w:p>
    <w:p w:rsidR="00BB7EDA" w:rsidRDefault="007D72B3">
      <w:pPr>
        <w:pStyle w:val="Bodytext20"/>
        <w:shd w:val="clear" w:color="auto" w:fill="auto"/>
        <w:spacing w:before="0"/>
      </w:pPr>
      <w:r>
        <w:t>In Gen 11,1-9 wi</w:t>
      </w:r>
      <w:r>
        <w:t>rd im Detail ausgeführt, wie es zu den in Gen 10 erwähnten Völkerwanderungen gekommen ist. Gen 10 greift damit gegenüber dem folgenden Kapitel chronologisch voraus.</w:t>
      </w:r>
      <w:r>
        <w:rPr>
          <w:vertAlign w:val="superscript"/>
        </w:rPr>
        <w:footnoteReference w:id="173"/>
      </w:r>
    </w:p>
    <w:p w:rsidR="00BB7EDA" w:rsidRDefault="007D72B3">
      <w:pPr>
        <w:pStyle w:val="Bodytext20"/>
        <w:shd w:val="clear" w:color="auto" w:fill="auto"/>
        <w:spacing w:before="0" w:after="220"/>
        <w:ind w:firstLine="320"/>
      </w:pPr>
      <w:r>
        <w:t>In Gen 9,1 wurde den Söhnen Noahs der Befehl, die Erde zu füllen, in Verbindung mit dem Se</w:t>
      </w:r>
      <w:r>
        <w:t>gen der Fruchtbarkeit erteilt:</w:t>
      </w:r>
    </w:p>
    <w:p w:rsidR="00BB7EDA" w:rsidRDefault="007D72B3">
      <w:pPr>
        <w:pStyle w:val="Bodytext20"/>
        <w:shd w:val="clear" w:color="auto" w:fill="auto"/>
        <w:spacing w:before="0" w:after="19" w:line="180" w:lineRule="exact"/>
        <w:ind w:firstLine="320"/>
      </w:pPr>
      <w:r>
        <w:t>„Und Gott segnete Noah und seine Söhne und sprach zu</w:t>
      </w:r>
    </w:p>
    <w:p w:rsidR="00BB7EDA" w:rsidRDefault="007D72B3">
      <w:pPr>
        <w:pStyle w:val="Bodytext20"/>
        <w:shd w:val="clear" w:color="auto" w:fill="auto"/>
        <w:spacing w:before="0" w:after="154" w:line="180" w:lineRule="exact"/>
        <w:ind w:firstLine="320"/>
      </w:pPr>
      <w:r>
        <w:t>ihnen: Seid fruchtbar und mehrt euch, und füllt die Erde..."</w:t>
      </w:r>
    </w:p>
    <w:p w:rsidR="00BB7EDA" w:rsidRDefault="007D72B3">
      <w:pPr>
        <w:pStyle w:val="Bodytext20"/>
        <w:shd w:val="clear" w:color="auto" w:fill="auto"/>
        <w:spacing w:before="0"/>
        <w:ind w:firstLine="320"/>
      </w:pPr>
      <w:r>
        <w:t xml:space="preserve">Das folgende Kapitel zeigt die Erfüllung davon auf. In diesem Text ist daher in Verbindung mit der Ausbreitung </w:t>
      </w:r>
      <w:r>
        <w:t>der Menschheit über den Globus hinweg das Verb „</w:t>
      </w:r>
      <w:r>
        <w:rPr>
          <w:rStyle w:val="Bodytext2Italic0"/>
        </w:rPr>
        <w:t>verteilen"</w:t>
      </w:r>
      <w:r>
        <w:t xml:space="preserve"> ein Schlüsselbegriff.</w:t>
      </w:r>
      <w:r>
        <w:rPr>
          <w:vertAlign w:val="superscript"/>
        </w:rPr>
        <w:footnoteReference w:id="174"/>
      </w:r>
    </w:p>
    <w:p w:rsidR="00BB7EDA" w:rsidRDefault="007D72B3">
      <w:pPr>
        <w:pStyle w:val="Bodytext20"/>
        <w:shd w:val="clear" w:color="auto" w:fill="auto"/>
        <w:spacing w:before="0" w:after="176" w:line="226" w:lineRule="exact"/>
        <w:ind w:firstLine="320"/>
      </w:pPr>
      <w:r>
        <w:t>In Gen 11,1-9 wird der anfängliche Ungehorsam gegen das Ge</w:t>
      </w:r>
      <w:r>
        <w:softHyphen/>
        <w:t>bot, die Erde zu füllen, beschrieben. Als Gericht über diese Rebellion zerstreute der Ewige die Menschen in alle We</w:t>
      </w:r>
      <w:r>
        <w:t xml:space="preserve">lt. Im Gegensatz zum vorangegangenen Kapitel ist in diesem Kontext daher das Verb </w:t>
      </w:r>
      <w:r>
        <w:rPr>
          <w:rStyle w:val="Bodytext2Italic0"/>
        </w:rPr>
        <w:t>„zerstreuen "</w:t>
      </w:r>
      <w:r>
        <w:t xml:space="preserve"> charakteristisch.</w:t>
      </w:r>
      <w:r>
        <w:rPr>
          <w:vertAlign w:val="superscript"/>
        </w:rPr>
        <w:footnoteReference w:id="175"/>
      </w:r>
    </w:p>
    <w:p w:rsidR="00BB7EDA" w:rsidRDefault="007D72B3">
      <w:pPr>
        <w:pStyle w:val="Bodytext20"/>
        <w:numPr>
          <w:ilvl w:val="0"/>
          <w:numId w:val="90"/>
        </w:numPr>
        <w:shd w:val="clear" w:color="auto" w:fill="auto"/>
        <w:tabs>
          <w:tab w:val="left" w:pos="649"/>
        </w:tabs>
        <w:spacing w:before="0"/>
        <w:jc w:val="left"/>
      </w:pPr>
      <w:r>
        <w:rPr>
          <w:rStyle w:val="Bodytext285ptBoldItalic"/>
        </w:rPr>
        <w:t>Sumer</w:t>
      </w:r>
      <w:r>
        <w:rPr>
          <w:rStyle w:val="Bodytext2Bold0"/>
        </w:rPr>
        <w:t xml:space="preserve"> - </w:t>
      </w:r>
      <w:r>
        <w:rPr>
          <w:rStyle w:val="Bodytext285ptBoldItalic"/>
        </w:rPr>
        <w:t xml:space="preserve">Wiege der ersten Hochkultur nach der Flut </w:t>
      </w:r>
      <w:r>
        <w:t>Der Bericht in Gen 11,1-9 will uns die erste nachsintflutliche Früh- und Hochkultur vorstel</w:t>
      </w:r>
      <w:r>
        <w:t>len. Beachtlich ist in diesem Zusammenhang</w:t>
      </w:r>
    </w:p>
    <w:p w:rsidR="00BB7EDA" w:rsidRDefault="007D72B3">
      <w:pPr>
        <w:pStyle w:val="Bodytext20"/>
        <w:shd w:val="clear" w:color="auto" w:fill="auto"/>
        <w:spacing w:before="0" w:after="327" w:line="226" w:lineRule="exact"/>
      </w:pPr>
      <w:r>
        <w:t>die Feststellung namhafter Archäologen, dass die frühe Hoch</w:t>
      </w:r>
      <w:r>
        <w:softHyphen/>
        <w:t>zivilisation im Zweistromland (4./3.Jahrtausend v. Chr.)</w:t>
      </w:r>
      <w:r>
        <w:rPr>
          <w:vertAlign w:val="superscript"/>
        </w:rPr>
        <w:t>194</w:t>
      </w:r>
      <w:r>
        <w:t xml:space="preserve"> </w:t>
      </w:r>
      <w:r>
        <w:rPr>
          <w:rStyle w:val="Bodytext2Italic0"/>
        </w:rPr>
        <w:t xml:space="preserve">plötzlich </w:t>
      </w:r>
      <w:r>
        <w:t xml:space="preserve">entstanden sei, </w:t>
      </w:r>
      <w:r>
        <w:rPr>
          <w:rStyle w:val="Bodytext2Italic0"/>
        </w:rPr>
        <w:t>ohne</w:t>
      </w:r>
      <w:r>
        <w:t xml:space="preserve"> fassbare Entwicklung aus primitivsten Anfän</w:t>
      </w:r>
      <w:r>
        <w:softHyphen/>
        <w:t>gen heraus. Man mu</w:t>
      </w:r>
      <w:r>
        <w:t>ss in diesem Zusammenhang wahrlich von dem Phänomen einer regelrechten „Kulturexplosion" sprechen.</w:t>
      </w:r>
      <w:r>
        <w:rPr>
          <w:vertAlign w:val="superscript"/>
        </w:rPr>
        <w:t>195</w:t>
      </w:r>
    </w:p>
    <w:p w:rsidR="00BB7EDA" w:rsidRDefault="007D72B3">
      <w:pPr>
        <w:pStyle w:val="Bodytext60"/>
        <w:numPr>
          <w:ilvl w:val="0"/>
          <w:numId w:val="91"/>
        </w:numPr>
        <w:shd w:val="clear" w:color="auto" w:fill="auto"/>
        <w:tabs>
          <w:tab w:val="left" w:pos="294"/>
        </w:tabs>
        <w:spacing w:line="192" w:lineRule="exact"/>
        <w:ind w:left="320" w:hanging="320"/>
        <w:jc w:val="both"/>
      </w:pPr>
      <w:r>
        <w:t>Wenn ich in der vorliegenden Ausarbeitung im Allgemeinen die zur Zeit etablierten Datierungen der Archäologie verwende, drücke ich damit nicht aus, dass i</w:t>
      </w:r>
      <w:r>
        <w:t>ch damit automatisch in allen Teilen auch einverstanden wäre. Dies gilt besonders bei Daten der Frühzeit bis 2000 v. Chr., aber auch, allerdings in viel kleinerem Rahmen, bei Zeitangaben bis 850 v. Chr. Wenn ich die gängigen Daten dennoch verwende, so gesc</w:t>
      </w:r>
      <w:r>
        <w:t>hieht dies im vollen Bewusstsein, dass auf dem Gebiet der Chronologie des Alten Orients noch lange nicht das letzte Wort gesprochen worden ist. Es würde viele Forscher überhaupt nicht erstaunen, wenn bezüglich der Datierungen der Periode zwischen der erste</w:t>
      </w:r>
      <w:r>
        <w:t>n Kulturexplosion im Zweistromland bis ca. 2000 v. Chr. (Zeit Abrahams) noch gewaltige Umbrüche stattfinden würden.</w:t>
      </w:r>
    </w:p>
    <w:p w:rsidR="00BB7EDA" w:rsidRDefault="007D72B3">
      <w:pPr>
        <w:pStyle w:val="Bodytext60"/>
        <w:shd w:val="clear" w:color="auto" w:fill="auto"/>
        <w:spacing w:line="192" w:lineRule="exact"/>
        <w:ind w:left="320"/>
        <w:jc w:val="both"/>
      </w:pPr>
      <w:r>
        <w:t xml:space="preserve">Vor einigen Jahren vermochte John </w:t>
      </w:r>
      <w:r>
        <w:rPr>
          <w:rStyle w:val="Bodytext67ptSmallCaps"/>
        </w:rPr>
        <w:t xml:space="preserve">Bimson </w:t>
      </w:r>
      <w:r>
        <w:t>mit seiner Arbeit über die Neuda</w:t>
      </w:r>
      <w:r>
        <w:softHyphen/>
        <w:t>tierung des Exodus und der Landnahme unter Josua, darzulegen, dass</w:t>
      </w:r>
      <w:r>
        <w:t xml:space="preserve"> notwendige und relativ einschneidende Datierungsrevisionen für das 2. Jahrtausend v. Chr. vorgenommen werden müssen </w:t>
      </w:r>
      <w:r>
        <w:rPr>
          <w:rStyle w:val="Bodytext67ptSmallCaps"/>
        </w:rPr>
        <w:t xml:space="preserve">(Bimson: </w:t>
      </w:r>
      <w:r>
        <w:t>Redating the Exodus and Conquest).</w:t>
      </w:r>
    </w:p>
    <w:p w:rsidR="00BB7EDA" w:rsidRDefault="007D72B3">
      <w:pPr>
        <w:pStyle w:val="Bodytext60"/>
        <w:shd w:val="clear" w:color="auto" w:fill="auto"/>
        <w:spacing w:line="192" w:lineRule="exact"/>
        <w:ind w:left="320"/>
        <w:jc w:val="both"/>
      </w:pPr>
      <w:r>
        <w:rPr>
          <w:rStyle w:val="Bodytext69ptItalic"/>
        </w:rPr>
        <w:t>Ab</w:t>
      </w:r>
      <w:r>
        <w:rPr>
          <w:rStyle w:val="Bodytext69pt"/>
        </w:rPr>
        <w:t xml:space="preserve"> </w:t>
      </w:r>
      <w:r>
        <w:t xml:space="preserve">ca. 850 v. Chr. basiert die biblische Archäologie auf der sehr zuverlässig überlieferten </w:t>
      </w:r>
      <w:r>
        <w:rPr>
          <w:rStyle w:val="Bodytext675ptItalic"/>
        </w:rPr>
        <w:t>assyrischen Chronologie.</w:t>
      </w:r>
      <w:r>
        <w:t xml:space="preserve"> Diese harmoniert in einem völlig verblüf</w:t>
      </w:r>
      <w:r>
        <w:softHyphen/>
        <w:t xml:space="preserve">fenden Maße mit den detaillierten biblischen Jahresangaben (vgl. </w:t>
      </w:r>
      <w:r>
        <w:rPr>
          <w:rStyle w:val="Bodytext67ptSmallCaps"/>
        </w:rPr>
        <w:t xml:space="preserve">Thiele: </w:t>
      </w:r>
      <w:r>
        <w:t>The Mysterious Numbers of the Hebrew Kings). Entsprechend verhält es sich für die gesamte nach-assyrische Zeit: Bibli</w:t>
      </w:r>
      <w:r>
        <w:t xml:space="preserve">sche und außerbiblische Chronologien passen sehr gut zusammen (vgl. </w:t>
      </w:r>
      <w:r>
        <w:rPr>
          <w:rStyle w:val="Bodytext67ptSmallCaps"/>
        </w:rPr>
        <w:t xml:space="preserve">Finegan: </w:t>
      </w:r>
      <w:r>
        <w:t xml:space="preserve">Flandbook of Biblical Chronology). In der Zeit </w:t>
      </w:r>
      <w:r>
        <w:rPr>
          <w:rStyle w:val="Bodytext675ptItalic"/>
        </w:rPr>
        <w:t>vor</w:t>
      </w:r>
      <w:r>
        <w:t xml:space="preserve"> ca. 850 v. Chr. basiert die traditionelle Archäologie auf der sehr bruchstückhaft überlieferten </w:t>
      </w:r>
      <w:r>
        <w:rPr>
          <w:rStyle w:val="Bodytext675ptItalic"/>
        </w:rPr>
        <w:t>ägyptischen Chronologie.</w:t>
      </w:r>
      <w:r>
        <w:t xml:space="preserve"> Wen ver</w:t>
      </w:r>
      <w:r>
        <w:t>wundert es daher, dass es genau in diesem Fall Schwierigkeiten zwischen biblischer und außerbiblischer Chronologie gibt? Somit war es zu erwarten, dass Korrektu</w:t>
      </w:r>
      <w:r>
        <w:softHyphen/>
        <w:t xml:space="preserve">ren vorgenommen werden müssen, wie </w:t>
      </w:r>
      <w:r>
        <w:rPr>
          <w:rStyle w:val="Bodytext67ptSmallCaps"/>
        </w:rPr>
        <w:t xml:space="preserve">Bimson </w:t>
      </w:r>
      <w:r>
        <w:t>sie nahegelegt hat. Die noch mehr ins Gewicht fallend</w:t>
      </w:r>
      <w:r>
        <w:t xml:space="preserve">en Revisionen durch den Ägyptologen David </w:t>
      </w:r>
      <w:r>
        <w:rPr>
          <w:rStyle w:val="Bodytext67ptSmallCaps"/>
        </w:rPr>
        <w:t xml:space="preserve">Rohl </w:t>
      </w:r>
      <w:r>
        <w:t xml:space="preserve">sind z.T. mit Recht kritisiert worden, doch enthalten sie auch dann noch viel Material, dem uneingeschränkte Aufmerksamkeit gewidmet werden sollte (vgl. </w:t>
      </w:r>
      <w:r>
        <w:rPr>
          <w:rStyle w:val="Bodytext67ptSmallCaps"/>
        </w:rPr>
        <w:t xml:space="preserve">Rohl: </w:t>
      </w:r>
      <w:r>
        <w:t xml:space="preserve">Pharaonen und Propheten; </w:t>
      </w:r>
      <w:r>
        <w:rPr>
          <w:rStyle w:val="Bodytext67ptSmallCaps"/>
        </w:rPr>
        <w:t xml:space="preserve">van der Veen, Zerbst: </w:t>
      </w:r>
      <w:r>
        <w:t>Bib</w:t>
      </w:r>
      <w:r>
        <w:t>lische Ar</w:t>
      </w:r>
      <w:r>
        <w:softHyphen/>
        <w:t>chäologie am Scheideweg).</w:t>
      </w:r>
    </w:p>
    <w:p w:rsidR="00BB7EDA" w:rsidRDefault="007D72B3">
      <w:pPr>
        <w:pStyle w:val="Bodytext60"/>
        <w:shd w:val="clear" w:color="auto" w:fill="auto"/>
        <w:spacing w:line="192" w:lineRule="exact"/>
        <w:ind w:left="320"/>
        <w:jc w:val="both"/>
      </w:pPr>
      <w:r>
        <w:t>Im Rahmen der vorliegenden Arbeit kann ich nicht auf die Frage eingehen, ob es bzw. inwieweit es biblisch-theologisch denkbar und verantwortbar wäre, dass es sich bei den in der Genesis genannten Generationen von Noah bi</w:t>
      </w:r>
      <w:r>
        <w:t xml:space="preserve">s Abraham um eine Auswahlauflistung mit Lücken handelt (wie z.B. in Mat 1) oder nicht (vgl. </w:t>
      </w:r>
      <w:r>
        <w:rPr>
          <w:rStyle w:val="Bodytext67ptSmallCaps"/>
        </w:rPr>
        <w:t xml:space="preserve">Whitcomb/Morris: </w:t>
      </w:r>
      <w:r>
        <w:t xml:space="preserve">Die Sintflut, </w:t>
      </w:r>
      <w:r>
        <w:rPr>
          <w:rStyle w:val="Bodytext67ptSmallCaps"/>
        </w:rPr>
        <w:t xml:space="preserve">S. 482-496; Wilder Smith: </w:t>
      </w:r>
      <w:r>
        <w:t xml:space="preserve">Her- kunft und Zukunft des Menschen, </w:t>
      </w:r>
      <w:r>
        <w:rPr>
          <w:rStyle w:val="Bodytext67ptSmallCaps"/>
        </w:rPr>
        <w:t xml:space="preserve">S. 97-104; Kulling: </w:t>
      </w:r>
      <w:r>
        <w:t xml:space="preserve">Sind die Genealogien in Gen Sund </w:t>
      </w:r>
      <w:r>
        <w:rPr>
          <w:rStyle w:val="Bodytext67pt"/>
        </w:rPr>
        <w:t xml:space="preserve">11 </w:t>
      </w:r>
      <w:r>
        <w:t>historisch und</w:t>
      </w:r>
      <w:r>
        <w:t xml:space="preserve"> lückenlos?; </w:t>
      </w:r>
      <w:r>
        <w:rPr>
          <w:rStyle w:val="Bodytext67ptSmallCaps"/>
        </w:rPr>
        <w:t xml:space="preserve">Wiskin: </w:t>
      </w:r>
      <w:r>
        <w:t>Die Bibel und das Alter der Erde).</w:t>
      </w:r>
    </w:p>
    <w:p w:rsidR="00BB7EDA" w:rsidRDefault="007D72B3">
      <w:pPr>
        <w:pStyle w:val="Bodytext60"/>
        <w:shd w:val="clear" w:color="auto" w:fill="auto"/>
        <w:spacing w:line="192" w:lineRule="exact"/>
        <w:ind w:left="320" w:hanging="320"/>
        <w:jc w:val="both"/>
      </w:pPr>
      <w:r>
        <w:rPr>
          <w:vertAlign w:val="superscript"/>
        </w:rPr>
        <w:t>19r</w:t>
      </w:r>
      <w:r>
        <w:t xml:space="preserve"> Vgl. </w:t>
      </w:r>
      <w:r>
        <w:rPr>
          <w:rStyle w:val="Bodytext67ptSmallCaps"/>
        </w:rPr>
        <w:t xml:space="preserve">Beck: </w:t>
      </w:r>
      <w:r>
        <w:t xml:space="preserve">Genesis, S. 51 ff.; </w:t>
      </w:r>
      <w:r>
        <w:rPr>
          <w:rStyle w:val="Bodytext67ptSmallCaps"/>
        </w:rPr>
        <w:t xml:space="preserve">Wiseman: </w:t>
      </w:r>
      <w:r>
        <w:t xml:space="preserve">Die Entstehung der Genesis, S. 31 und 33; </w:t>
      </w:r>
      <w:r>
        <w:rPr>
          <w:rStyle w:val="Bodytext67ptSmallCaps"/>
        </w:rPr>
        <w:t xml:space="preserve">Ouweneel: </w:t>
      </w:r>
      <w:r>
        <w:t>Evolution in der Zeitenwende, S. 206-210.</w:t>
      </w:r>
    </w:p>
    <w:p w:rsidR="00BB7EDA" w:rsidRDefault="007D72B3">
      <w:pPr>
        <w:pStyle w:val="Bodytext20"/>
        <w:shd w:val="clear" w:color="auto" w:fill="auto"/>
        <w:spacing w:before="0" w:after="187" w:line="226" w:lineRule="exact"/>
        <w:ind w:firstLine="320"/>
      </w:pPr>
      <w:r>
        <w:t>Die Nachkommen Noahs reisten vom Gebirge Ararat in Armeni</w:t>
      </w:r>
      <w:r>
        <w:softHyphen/>
        <w:t xml:space="preserve">en </w:t>
      </w:r>
      <w:r>
        <w:t>(Gen 8,4) nach Süden in die fruchtbare Ebene von Sumer bzw. Süd-Babylonien,</w:t>
      </w:r>
      <w:r>
        <w:rPr>
          <w:vertAlign w:val="superscript"/>
        </w:rPr>
        <w:t>196</w:t>
      </w:r>
      <w:r>
        <w:t xml:space="preserve"> zwischen Euphrat und Tigris (Gen 11,1).</w:t>
      </w:r>
      <w:r>
        <w:rPr>
          <w:vertAlign w:val="superscript"/>
        </w:rPr>
        <w:t>197</w:t>
      </w:r>
      <w:r>
        <w:t xml:space="preserve"> Diese Region wurde durch den fruchtbaren Schlamm, den diese beiden Flüsse während den Uberschwemmungszeiten in das Land hinein</w:t>
      </w:r>
      <w:r>
        <w:softHyphen/>
        <w:t>führten</w:t>
      </w:r>
      <w:r>
        <w:t>, zum geeigneten Siedlungsgebiet für die erste Hochkultur nach der großen Flut.</w:t>
      </w:r>
    </w:p>
    <w:p w:rsidR="00BB7EDA" w:rsidRDefault="007D72B3">
      <w:pPr>
        <w:pStyle w:val="Heading520"/>
        <w:keepNext/>
        <w:keepLines/>
        <w:numPr>
          <w:ilvl w:val="2"/>
          <w:numId w:val="87"/>
        </w:numPr>
        <w:shd w:val="clear" w:color="auto" w:fill="auto"/>
        <w:tabs>
          <w:tab w:val="left" w:pos="510"/>
        </w:tabs>
        <w:spacing w:before="0"/>
        <w:ind w:left="320"/>
      </w:pPr>
      <w:bookmarkStart w:id="55" w:name="bookmark54"/>
      <w:r>
        <w:t>Der Turm zu Babel</w:t>
      </w:r>
      <w:bookmarkEnd w:id="55"/>
    </w:p>
    <w:p w:rsidR="00BB7EDA" w:rsidRDefault="007D72B3">
      <w:pPr>
        <w:pStyle w:val="Bodytext100"/>
        <w:numPr>
          <w:ilvl w:val="0"/>
          <w:numId w:val="92"/>
        </w:numPr>
        <w:shd w:val="clear" w:color="auto" w:fill="auto"/>
        <w:tabs>
          <w:tab w:val="left" w:pos="644"/>
        </w:tabs>
        <w:spacing w:before="0" w:line="442" w:lineRule="exact"/>
        <w:ind w:left="320" w:hanging="320"/>
      </w:pPr>
      <w:r>
        <w:t>Nimrods Herrschaß</w:t>
      </w:r>
    </w:p>
    <w:p w:rsidR="00BB7EDA" w:rsidRDefault="007D72B3">
      <w:pPr>
        <w:pStyle w:val="Bodytext20"/>
        <w:shd w:val="clear" w:color="auto" w:fill="auto"/>
        <w:spacing w:before="0"/>
      </w:pPr>
      <w:r>
        <w:t>Der Ursprung der Stadt Babel und ihres gigantischen Turmes steht unzertrennlich in Verbindung mit dem Hamiten Nimrod, dem er</w:t>
      </w:r>
      <w:r>
        <w:softHyphen/>
        <w:t>sten nachsintfl</w:t>
      </w:r>
      <w:r>
        <w:t>utlichen Gewaltherrscher (Gen 10,8-10).</w:t>
      </w:r>
      <w:r>
        <w:rPr>
          <w:vertAlign w:val="superscript"/>
        </w:rPr>
        <w:t>198</w:t>
      </w:r>
    </w:p>
    <w:p w:rsidR="00BB7EDA" w:rsidRDefault="007D72B3">
      <w:pPr>
        <w:pStyle w:val="Bodytext20"/>
        <w:shd w:val="clear" w:color="auto" w:fill="auto"/>
        <w:spacing w:before="0" w:after="271"/>
        <w:ind w:firstLine="320"/>
      </w:pPr>
      <w:r>
        <w:t>Bei dem Turm</w:t>
      </w:r>
      <w:r>
        <w:rPr>
          <w:vertAlign w:val="superscript"/>
        </w:rPr>
        <w:t>199</w:t>
      </w:r>
      <w:r>
        <w:t xml:space="preserve"> handelte es sich um einen Bau, der im Zusam</w:t>
      </w:r>
      <w:r>
        <w:softHyphen/>
        <w:t>menhang mit Götzendienst und Okkultismus stand.</w:t>
      </w:r>
      <w:r>
        <w:rPr>
          <w:vertAlign w:val="superscript"/>
        </w:rPr>
        <w:t>200</w:t>
      </w:r>
      <w:r>
        <w:t xml:space="preserve"> Zudem war dieses Projekt Ausdruck des Hochmuts und der Rebellion gegen Gott (Gen 11,4).</w:t>
      </w:r>
      <w:r>
        <w:rPr>
          <w:vertAlign w:val="superscript"/>
        </w:rPr>
        <w:t>201</w:t>
      </w:r>
    </w:p>
    <w:p w:rsidR="00BB7EDA" w:rsidRDefault="007D72B3">
      <w:pPr>
        <w:pStyle w:val="Bodytext60"/>
        <w:numPr>
          <w:ilvl w:val="0"/>
          <w:numId w:val="93"/>
        </w:numPr>
        <w:shd w:val="clear" w:color="auto" w:fill="auto"/>
        <w:tabs>
          <w:tab w:val="left" w:pos="303"/>
        </w:tabs>
        <w:spacing w:line="192" w:lineRule="exact"/>
        <w:ind w:left="320" w:hanging="320"/>
        <w:jc w:val="both"/>
      </w:pPr>
      <w:r>
        <w:t>Es sei noch</w:t>
      </w:r>
      <w:r>
        <w:t xml:space="preserve"> einmal daran erinnert: Vom Ararat-Gebirge aus liegt Babylonien im Süden. Die geographische Angabe „nach Osten" in Gen 11,1 ist, wie oben schon einmal vermerkt, aus der Sicht von Mose zu verstehen. Er schrieb die Genesis in Ägypten und/oder in der Wüste Si</w:t>
      </w:r>
      <w:r>
        <w:t>nai.</w:t>
      </w:r>
    </w:p>
    <w:p w:rsidR="00BB7EDA" w:rsidRDefault="007D72B3">
      <w:pPr>
        <w:pStyle w:val="Bodytext60"/>
        <w:numPr>
          <w:ilvl w:val="0"/>
          <w:numId w:val="93"/>
        </w:numPr>
        <w:shd w:val="clear" w:color="auto" w:fill="auto"/>
        <w:tabs>
          <w:tab w:val="left" w:pos="303"/>
        </w:tabs>
        <w:spacing w:line="192" w:lineRule="exact"/>
        <w:ind w:left="320" w:hanging="320"/>
        <w:jc w:val="both"/>
      </w:pPr>
      <w:r>
        <w:t xml:space="preserve">Die Bezeichnung </w:t>
      </w:r>
      <w:r>
        <w:rPr>
          <w:rStyle w:val="Bodytext675ptItalic"/>
        </w:rPr>
        <w:t>Sinear</w:t>
      </w:r>
      <w:r>
        <w:t xml:space="preserve"> für den Süden Babyloniens wird in der Bibel an fol</w:t>
      </w:r>
      <w:r>
        <w:softHyphen/>
        <w:t>genden Stellen verwendet: Gen 10,10; 11,2; 14,1.9; Jes 11,11; Dan 1,2; Sach 5,11.</w:t>
      </w:r>
    </w:p>
    <w:p w:rsidR="00BB7EDA" w:rsidRDefault="007D72B3">
      <w:pPr>
        <w:pStyle w:val="Bodytext60"/>
        <w:numPr>
          <w:ilvl w:val="0"/>
          <w:numId w:val="93"/>
        </w:numPr>
        <w:shd w:val="clear" w:color="auto" w:fill="auto"/>
        <w:tabs>
          <w:tab w:val="left" w:pos="303"/>
        </w:tabs>
        <w:spacing w:line="192" w:lineRule="exact"/>
        <w:ind w:left="320" w:hanging="320"/>
        <w:jc w:val="both"/>
      </w:pPr>
      <w:r>
        <w:t xml:space="preserve">Der Name </w:t>
      </w:r>
      <w:r>
        <w:rPr>
          <w:rStyle w:val="Bodytext675ptItalic"/>
        </w:rPr>
        <w:t>Nimrod</w:t>
      </w:r>
      <w:r>
        <w:t xml:space="preserve"> bedeutet im Hebräischen, abgeleitet von der Wortwurzel </w:t>
      </w:r>
      <w:r>
        <w:rPr>
          <w:rStyle w:val="Bodytext675ptItalic"/>
        </w:rPr>
        <w:t>marad:</w:t>
      </w:r>
      <w:r>
        <w:t xml:space="preserve"> „Lasst uns rebell</w:t>
      </w:r>
      <w:r>
        <w:t>ieren!"</w:t>
      </w:r>
    </w:p>
    <w:p w:rsidR="00BB7EDA" w:rsidRDefault="007D72B3">
      <w:pPr>
        <w:pStyle w:val="Bodytext60"/>
        <w:numPr>
          <w:ilvl w:val="0"/>
          <w:numId w:val="93"/>
        </w:numPr>
        <w:shd w:val="clear" w:color="auto" w:fill="auto"/>
        <w:tabs>
          <w:tab w:val="left" w:pos="303"/>
        </w:tabs>
        <w:spacing w:line="192" w:lineRule="exact"/>
        <w:ind w:left="320" w:hanging="320"/>
        <w:jc w:val="both"/>
      </w:pPr>
      <w:r>
        <w:t xml:space="preserve">Das mit „Turm" übersetzte hebräische Wort </w:t>
      </w:r>
      <w:r>
        <w:rPr>
          <w:rStyle w:val="Bodytext675ptItalic"/>
        </w:rPr>
        <w:t>migdal</w:t>
      </w:r>
      <w:r>
        <w:t xml:space="preserve"> geht zurück auf die Wortwurzel </w:t>
      </w:r>
      <w:r>
        <w:rPr>
          <w:rStyle w:val="Bodytext675ptItalic"/>
        </w:rPr>
        <w:t>gadal</w:t>
      </w:r>
      <w:r>
        <w:t xml:space="preserve"> („groß sein"). Die im Hebräischen bei vielen Nomen anzu</w:t>
      </w:r>
      <w:r>
        <w:softHyphen/>
        <w:t xml:space="preserve">treffende Vorsilbe </w:t>
      </w:r>
      <w:r>
        <w:rPr>
          <w:rStyle w:val="Bodytext675ptItalic"/>
        </w:rPr>
        <w:t>mi-</w:t>
      </w:r>
      <w:r>
        <w:t xml:space="preserve"> oder </w:t>
      </w:r>
      <w:r>
        <w:rPr>
          <w:rStyle w:val="Bodytext675ptItalic"/>
        </w:rPr>
        <w:t>ma-</w:t>
      </w:r>
      <w:r>
        <w:t xml:space="preserve"> bezeichnet vielfach einen Standort.</w:t>
      </w:r>
    </w:p>
    <w:p w:rsidR="00BB7EDA" w:rsidRDefault="007D72B3">
      <w:pPr>
        <w:pStyle w:val="Bodytext60"/>
        <w:numPr>
          <w:ilvl w:val="0"/>
          <w:numId w:val="93"/>
        </w:numPr>
        <w:shd w:val="clear" w:color="auto" w:fill="auto"/>
        <w:tabs>
          <w:tab w:val="left" w:pos="308"/>
        </w:tabs>
        <w:spacing w:line="192" w:lineRule="exact"/>
        <w:ind w:left="320" w:hanging="320"/>
        <w:jc w:val="both"/>
      </w:pPr>
      <w:r>
        <w:t>j</w:t>
      </w:r>
      <w:r>
        <w:rPr>
          <w:vertAlign w:val="subscript"/>
        </w:rPr>
        <w:t>es</w:t>
      </w:r>
      <w:r>
        <w:t xml:space="preserve"> 47 i2 besagt, dass Babel „von Jugend an" Esoterik betrieben hat. Genauso wie in Jer 2,2 der Begriff „Jugend" die Entstehungszeit der Nation Israel ab dem Auszug aus Ägypten bezeichnet, so weist entsprechend dasselbe Wort (hebr. </w:t>
      </w:r>
      <w:r>
        <w:rPr>
          <w:rStyle w:val="Bodytext675ptItalic"/>
        </w:rPr>
        <w:t>ne'urim)</w:t>
      </w:r>
      <w:r>
        <w:t xml:space="preserve"> in Jes 47,12 auf d</w:t>
      </w:r>
      <w:r>
        <w:t>ie Entstehungszeit der Stadt Babel in der Frühgeschichte der Menschheit hin.</w:t>
      </w:r>
    </w:p>
    <w:p w:rsidR="00BB7EDA" w:rsidRDefault="007D72B3">
      <w:pPr>
        <w:pStyle w:val="Bodytext60"/>
        <w:numPr>
          <w:ilvl w:val="0"/>
          <w:numId w:val="93"/>
        </w:numPr>
        <w:shd w:val="clear" w:color="auto" w:fill="auto"/>
        <w:tabs>
          <w:tab w:val="left" w:pos="308"/>
        </w:tabs>
        <w:spacing w:line="192" w:lineRule="exact"/>
        <w:ind w:left="320" w:hanging="320"/>
        <w:jc w:val="both"/>
      </w:pPr>
      <w:r>
        <w:t xml:space="preserve">Gen 11,4a beschreibt den </w:t>
      </w:r>
      <w:r>
        <w:rPr>
          <w:rStyle w:val="Bodytext675ptItalic"/>
        </w:rPr>
        <w:t>Hochmut:</w:t>
      </w:r>
      <w:r>
        <w:t xml:space="preserve"> „Sie sprachen: Auf, bauen wir uns eine Stadt und einen Turm, dessen Spitze an den Himmel reiche..."</w:t>
      </w:r>
    </w:p>
    <w:p w:rsidR="00BB7EDA" w:rsidRDefault="007D72B3">
      <w:pPr>
        <w:pStyle w:val="Bodytext60"/>
        <w:shd w:val="clear" w:color="auto" w:fill="auto"/>
        <w:spacing w:line="192" w:lineRule="exact"/>
        <w:ind w:left="320"/>
        <w:jc w:val="both"/>
      </w:pPr>
      <w:r>
        <w:t>Die Aussage in Gen 11,4b „...und machen wir u</w:t>
      </w:r>
      <w:r>
        <w:t xml:space="preserve">ns einen Namen, dass wir nicht zerstreut werden über die ganze Erde!" kam aus der </w:t>
      </w:r>
      <w:r>
        <w:rPr>
          <w:rStyle w:val="Bodytext675ptItalic"/>
        </w:rPr>
        <w:t>Rebellion</w:t>
      </w:r>
      <w:r>
        <w:t xml:space="preserve"> gegen das göttliche Gebot in Gen 1,28 und 9,1 („...und füllet die Erde"). Durch urbane Konzentration an </w:t>
      </w:r>
      <w:r>
        <w:rPr>
          <w:rStyle w:val="Bodytext675ptItalic"/>
        </w:rPr>
        <w:t>einem</w:t>
      </w:r>
      <w:r>
        <w:t xml:space="preserve"> Ort sollte die von Gott gewollte Ausbreitung über die </w:t>
      </w:r>
      <w:r>
        <w:t xml:space="preserve">ganze Erde verhindert werden. Man beachte in diesem Zusammenhang noch einmal die Bedeutung des programmatischen Namens </w:t>
      </w:r>
      <w:r>
        <w:rPr>
          <w:rStyle w:val="Bodytext675ptItalic"/>
        </w:rPr>
        <w:t>Nimrod:</w:t>
      </w:r>
      <w:r>
        <w:t xml:space="preserve"> „Lasst uns rebellieren!"</w:t>
      </w:r>
    </w:p>
    <w:p w:rsidR="00BB7EDA" w:rsidRDefault="007D72B3">
      <w:pPr>
        <w:pStyle w:val="Bodytext100"/>
        <w:numPr>
          <w:ilvl w:val="0"/>
          <w:numId w:val="92"/>
        </w:numPr>
        <w:shd w:val="clear" w:color="auto" w:fill="auto"/>
        <w:tabs>
          <w:tab w:val="left" w:pos="658"/>
        </w:tabs>
        <w:spacing w:before="0" w:line="230" w:lineRule="exact"/>
        <w:ind w:firstLine="0"/>
      </w:pPr>
      <w:r>
        <w:t>Spätere Kopien des Turms von Babel</w:t>
      </w:r>
    </w:p>
    <w:p w:rsidR="00BB7EDA" w:rsidRDefault="007D72B3">
      <w:pPr>
        <w:pStyle w:val="Bodytext20"/>
        <w:shd w:val="clear" w:color="auto" w:fill="auto"/>
        <w:spacing w:before="0"/>
      </w:pPr>
      <w:r>
        <w:t xml:space="preserve">Im Zweistromland wurden später noch zahlreiche solche Türme nach dem </w:t>
      </w:r>
      <w:r>
        <w:t>Vorbild des Ersten errichtet. Bis heute sind dort weit über zwanzig solche Monumente ausgegraben worden,</w:t>
      </w:r>
      <w:r>
        <w:rPr>
          <w:vertAlign w:val="superscript"/>
        </w:rPr>
        <w:footnoteReference w:id="176"/>
      </w:r>
      <w:r>
        <w:t xml:space="preserve"> so z.B. in den ebenfalls in der Bibel erwähnten Städten Ur,</w:t>
      </w:r>
      <w:r>
        <w:rPr>
          <w:vertAlign w:val="superscript"/>
        </w:rPr>
        <w:footnoteReference w:id="177"/>
      </w:r>
      <w:r>
        <w:t xml:space="preserve"> Erek</w:t>
      </w:r>
      <w:r>
        <w:rPr>
          <w:vertAlign w:val="superscript"/>
        </w:rPr>
        <w:footnoteReference w:id="178"/>
      </w:r>
      <w:r>
        <w:t xml:space="preserve"> und Ninive.</w:t>
      </w:r>
      <w:r>
        <w:rPr>
          <w:vertAlign w:val="superscript"/>
        </w:rPr>
        <w:footnoteReference w:id="179"/>
      </w:r>
    </w:p>
    <w:p w:rsidR="00BB7EDA" w:rsidRDefault="007D72B3">
      <w:pPr>
        <w:pStyle w:val="Bodytext20"/>
        <w:shd w:val="clear" w:color="auto" w:fill="auto"/>
        <w:spacing w:before="0" w:after="124"/>
        <w:ind w:firstLine="320"/>
      </w:pPr>
      <w:r>
        <w:t>In keilschriftlichen Texten hat man die Erwähnung von über 30 verschie</w:t>
      </w:r>
      <w:r>
        <w:t>denen solchen kultischen „Bergen" gefunden.</w:t>
      </w:r>
      <w:r>
        <w:rPr>
          <w:vertAlign w:val="superscript"/>
        </w:rPr>
        <w:footnoteReference w:id="180"/>
      </w:r>
      <w:r>
        <w:t xml:space="preserve"> Typisch für diese Art von Türmen ist deren Bauweise in Absätzen, mit im Allgemeinen etwa drei bis sieben Stockwerken. Jeweils auf der obersten Etage befand sich gewöhnlich ein Schrein mit einer Götter</w:t>
      </w:r>
      <w:r>
        <w:softHyphen/>
        <w:t>figur. Der</w:t>
      </w:r>
      <w:r>
        <w:t xml:space="preserve"> Zugang von unten nach oben wurde durch gigantische, außen angebrachte Treppenaufgänge und Rampen türme ermög</w:t>
      </w:r>
      <w:r>
        <w:softHyphen/>
        <w:t>licht. Nach mesopotamischem Glauben stiegen die Götter, denen der Turm geweiht war, jeweils vom Himmel herab zu diesen Tempeln.</w:t>
      </w:r>
    </w:p>
    <w:p w:rsidR="00BB7EDA" w:rsidRDefault="007D72B3">
      <w:pPr>
        <w:pStyle w:val="Bodytext20"/>
        <w:numPr>
          <w:ilvl w:val="0"/>
          <w:numId w:val="94"/>
        </w:numPr>
        <w:shd w:val="clear" w:color="auto" w:fill="auto"/>
        <w:tabs>
          <w:tab w:val="left" w:pos="654"/>
        </w:tabs>
        <w:spacing w:before="0" w:after="116" w:line="226" w:lineRule="exact"/>
      </w:pPr>
      <w:r>
        <w:rPr>
          <w:rStyle w:val="Bodytext285ptBoldItalic"/>
        </w:rPr>
        <w:t>Zum Baumaterial de</w:t>
      </w:r>
      <w:r>
        <w:rPr>
          <w:rStyle w:val="Bodytext285ptBoldItalic"/>
        </w:rPr>
        <w:t xml:space="preserve">r tnesopotamischen Stufentürme </w:t>
      </w:r>
      <w:r>
        <w:t>Das typische Baumaterial dieser Stufentürme bestand aus Ton</w:t>
      </w:r>
      <w:r>
        <w:softHyphen/>
        <w:t xml:space="preserve">ziegeln und Asphalt, was genau den Angaben in Gen 11,3 entspricht. Das südliche Zweistromland ist eine flache berglose Region, die arm an Gestein ist. So musste man </w:t>
      </w:r>
      <w:r>
        <w:t>dort bei der Suche nach geeignetem Baumaterial eine Alternative zum Gestein suchen. Die Ölquellen in dieser Region waren schon damals von kosmopolitischer Bedeu</w:t>
      </w:r>
      <w:r>
        <w:softHyphen/>
        <w:t>tung: Das reiche Asphaltvorkommen deckte den Mörtelbedarf.</w:t>
      </w:r>
    </w:p>
    <w:p w:rsidR="00BB7EDA" w:rsidRDefault="007D72B3">
      <w:pPr>
        <w:pStyle w:val="Bodytext100"/>
        <w:numPr>
          <w:ilvl w:val="0"/>
          <w:numId w:val="95"/>
        </w:numPr>
        <w:shd w:val="clear" w:color="auto" w:fill="auto"/>
        <w:tabs>
          <w:tab w:val="left" w:pos="658"/>
        </w:tabs>
        <w:spacing w:before="0" w:line="230" w:lineRule="exact"/>
        <w:ind w:firstLine="0"/>
      </w:pPr>
      <w:r>
        <w:t>Künstliche Tempelberge</w:t>
      </w:r>
    </w:p>
    <w:p w:rsidR="00BB7EDA" w:rsidRDefault="007D72B3">
      <w:pPr>
        <w:pStyle w:val="Bodytext20"/>
        <w:shd w:val="clear" w:color="auto" w:fill="auto"/>
        <w:spacing w:before="0"/>
      </w:pPr>
      <w:r>
        <w:t>Im Akkadische</w:t>
      </w:r>
      <w:r>
        <w:t>n</w:t>
      </w:r>
      <w:r>
        <w:rPr>
          <w:vertAlign w:val="superscript"/>
        </w:rPr>
        <w:footnoteReference w:id="181"/>
      </w:r>
      <w:r>
        <w:t xml:space="preserve"> nannte man einen solchen Stufenturm </w:t>
      </w:r>
      <w:r>
        <w:rPr>
          <w:rStyle w:val="Bodytext2Italic0"/>
        </w:rPr>
        <w:t>ziqqura- tu(m),</w:t>
      </w:r>
      <w:r>
        <w:t xml:space="preserve"> was so viel wie „Bergspitze" oder „Gipfel" bedeutet.</w:t>
      </w:r>
      <w:r>
        <w:rPr>
          <w:vertAlign w:val="superscript"/>
        </w:rPr>
        <w:footnoteReference w:id="182"/>
      </w:r>
      <w:r>
        <w:t xml:space="preserve"> Süd</w:t>
      </w:r>
      <w:r>
        <w:softHyphen/>
        <w:t>mesopotamien bildet eine Tiefebene, ein krasser Gegensatz zum nachsintflutlichen Ursprungsgebiet der Patriarchen Noah, Sem, Ham und Japhet. Die</w:t>
      </w:r>
      <w:r>
        <w:t xml:space="preserve"> Arche war ja im Gebirge Ararat (Gen 8,4), dessen</w:t>
      </w:r>
    </w:p>
    <w:p w:rsidR="00BB7EDA" w:rsidRDefault="007D72B3">
      <w:pPr>
        <w:framePr w:h="3307" w:wrap="notBeside" w:vAnchor="text" w:hAnchor="text" w:xAlign="center" w:y="1"/>
        <w:jc w:val="center"/>
        <w:rPr>
          <w:sz w:val="2"/>
          <w:szCs w:val="2"/>
        </w:rPr>
      </w:pPr>
      <w:r>
        <w:fldChar w:fldCharType="begin"/>
      </w:r>
      <w:r>
        <w:instrText xml:space="preserve"> </w:instrText>
      </w:r>
      <w:r>
        <w:instrText>INCLUDEPICTURE  "X:\\sk\\NextUpload116\\Webserver\\german\\RogerLiebi\\media\\image9.jpeg" \* MERGEFORMATINET</w:instrText>
      </w:r>
      <w:r>
        <w:instrText xml:space="preserve"> </w:instrText>
      </w:r>
      <w:r>
        <w:fldChar w:fldCharType="separate"/>
      </w:r>
      <w:r>
        <w:pict>
          <v:shape id="_x0000_i1028" type="#_x0000_t75" style="width:281.25pt;height:165.75pt">
            <v:imagedata r:id="rId53" r:href="rId54"/>
          </v:shape>
        </w:pict>
      </w:r>
      <w:r>
        <w:fldChar w:fldCharType="end"/>
      </w:r>
    </w:p>
    <w:p w:rsidR="00BB7EDA" w:rsidRDefault="007D72B3">
      <w:pPr>
        <w:pStyle w:val="Picturecaption0"/>
        <w:framePr w:h="3307" w:wrap="notBeside" w:vAnchor="text" w:hAnchor="text" w:xAlign="center" w:y="1"/>
        <w:shd w:val="clear" w:color="auto" w:fill="auto"/>
        <w:spacing w:line="150" w:lineRule="exact"/>
      </w:pPr>
      <w:r>
        <w:t>Abb. 7 Beim Turm von Babel handelte es sich um eine Zikkurat.</w:t>
      </w:r>
    </w:p>
    <w:p w:rsidR="00BB7EDA" w:rsidRDefault="00BB7EDA">
      <w:pPr>
        <w:rPr>
          <w:sz w:val="2"/>
          <w:szCs w:val="2"/>
        </w:rPr>
      </w:pPr>
    </w:p>
    <w:p w:rsidR="00BB7EDA" w:rsidRDefault="007D72B3">
      <w:pPr>
        <w:pStyle w:val="Bodytext20"/>
        <w:shd w:val="clear" w:color="auto" w:fill="auto"/>
        <w:spacing w:before="379" w:after="120" w:line="226" w:lineRule="exact"/>
      </w:pPr>
      <w:r>
        <w:t xml:space="preserve">höchster Punkt heute auf </w:t>
      </w:r>
      <w:r>
        <w:t>5165 m liegt, gelandet. Die Stufentürme sollten gewissermaßen Ersatz sein für natürliche Berge. Es handelte sich um Tempelberge, auf deren Anhöhen jeweils das eigentliche Tempelhaus stand.</w:t>
      </w:r>
    </w:p>
    <w:p w:rsidR="00BB7EDA" w:rsidRDefault="007D72B3">
      <w:pPr>
        <w:pStyle w:val="Bodytext80"/>
        <w:numPr>
          <w:ilvl w:val="0"/>
          <w:numId w:val="96"/>
        </w:numPr>
        <w:shd w:val="clear" w:color="auto" w:fill="auto"/>
        <w:tabs>
          <w:tab w:val="left" w:pos="654"/>
        </w:tabs>
      </w:pPr>
      <w:r>
        <w:rPr>
          <w:rStyle w:val="Bodytext8NotItalic"/>
        </w:rPr>
        <w:t xml:space="preserve">Wo </w:t>
      </w:r>
      <w:r>
        <w:t>befand sich der Turm von Babel?</w:t>
      </w:r>
    </w:p>
    <w:p w:rsidR="00BB7EDA" w:rsidRDefault="007D72B3">
      <w:pPr>
        <w:pStyle w:val="Bodytext20"/>
        <w:shd w:val="clear" w:color="auto" w:fill="auto"/>
        <w:spacing w:before="0" w:line="226" w:lineRule="exact"/>
      </w:pPr>
      <w:r>
        <w:t>Der genaue Standort des ursprüng</w:t>
      </w:r>
      <w:r>
        <w:t xml:space="preserve">lichen Turmes von Babel konnte wohl durch die von dem deutschen Architekten Robert </w:t>
      </w:r>
      <w:r>
        <w:rPr>
          <w:rStyle w:val="Bodytext28ptSmallCaps"/>
        </w:rPr>
        <w:t xml:space="preserve">Koldeway </w:t>
      </w:r>
      <w:r>
        <w:t xml:space="preserve">durchgeführten Ausgrabungen um 1899-1917 exakt identifiziert werden. Ei muss an derselben Steile gesucht werden, wo unter Nebukadnezar II. (605-562 v. Chr.) die </w:t>
      </w:r>
      <w:r>
        <w:rPr>
          <w:rStyle w:val="Bodytext285ptBoldItalic"/>
        </w:rPr>
        <w:t>e-t</w:t>
      </w:r>
      <w:r>
        <w:rPr>
          <w:rStyle w:val="Bodytext285ptBoldItalic"/>
        </w:rPr>
        <w:t>emen-an-ki</w:t>
      </w:r>
      <w:r>
        <w:rPr>
          <w:rStyle w:val="Bodytext2Bold0"/>
        </w:rPr>
        <w:t xml:space="preserve"> </w:t>
      </w:r>
      <w:r>
        <w:t>genannte Zikkurat gestanden hat.</w:t>
      </w:r>
    </w:p>
    <w:p w:rsidR="00BB7EDA" w:rsidRDefault="007D72B3">
      <w:pPr>
        <w:pStyle w:val="Bodytext20"/>
        <w:shd w:val="clear" w:color="auto" w:fill="auto"/>
        <w:spacing w:before="0" w:after="124" w:line="226" w:lineRule="exact"/>
        <w:ind w:firstLine="320"/>
      </w:pPr>
      <w:r>
        <w:t xml:space="preserve">Die sumerische Bezeichnung </w:t>
      </w:r>
      <w:r>
        <w:rPr>
          <w:rStyle w:val="Bodytext2Italic0"/>
        </w:rPr>
        <w:t>e-temen-an-ki</w:t>
      </w:r>
      <w:r>
        <w:t xml:space="preserve"> bedeutet „Fundament- Haus von Himmel und Erde" und erinnert an den Aufruf zum Bau der ersten Zikkurat (Gen 11,4):</w:t>
      </w:r>
    </w:p>
    <w:p w:rsidR="00BB7EDA" w:rsidRDefault="007D72B3">
      <w:pPr>
        <w:pStyle w:val="Bodytext20"/>
        <w:shd w:val="clear" w:color="auto" w:fill="auto"/>
        <w:spacing w:before="0" w:line="221" w:lineRule="exact"/>
        <w:ind w:left="320"/>
        <w:jc w:val="left"/>
      </w:pPr>
      <w:r>
        <w:t>„Auf, bauen wir uns... einen Turm, dessen Spitze an den H</w:t>
      </w:r>
      <w:r>
        <w:t>immel reiche. .."</w:t>
      </w:r>
      <w:r>
        <w:rPr>
          <w:vertAlign w:val="superscript"/>
        </w:rPr>
        <w:t xml:space="preserve">2M </w:t>
      </w:r>
      <w:r>
        <w:rPr>
          <w:vertAlign w:val="superscript"/>
        </w:rPr>
        <w:footnoteReference w:id="183"/>
      </w:r>
      <w:r>
        <w:br w:type="page"/>
      </w:r>
    </w:p>
    <w:p w:rsidR="00BB7EDA" w:rsidRDefault="007D72B3">
      <w:pPr>
        <w:pStyle w:val="Bodytext100"/>
        <w:numPr>
          <w:ilvl w:val="0"/>
          <w:numId w:val="97"/>
        </w:numPr>
        <w:shd w:val="clear" w:color="auto" w:fill="auto"/>
        <w:tabs>
          <w:tab w:val="left" w:pos="663"/>
        </w:tabs>
        <w:spacing w:before="0"/>
        <w:ind w:firstLine="0"/>
      </w:pPr>
      <w:r>
        <w:t>Zur Geschichte des Turmes von Babel</w:t>
      </w:r>
    </w:p>
    <w:p w:rsidR="00BB7EDA" w:rsidRDefault="007D72B3">
      <w:pPr>
        <w:pStyle w:val="Bodytext20"/>
        <w:shd w:val="clear" w:color="auto" w:fill="auto"/>
        <w:spacing w:before="0" w:line="226" w:lineRule="exact"/>
      </w:pPr>
      <w:r>
        <w:t>Die Geschichte des Turmes von Babel lässt sich etwa so zusammen</w:t>
      </w:r>
      <w:r>
        <w:softHyphen/>
        <w:t>fassen:</w:t>
      </w:r>
      <w:r>
        <w:rPr>
          <w:vertAlign w:val="superscript"/>
        </w:rPr>
        <w:t>2</w:t>
      </w:r>
      <w:r>
        <w:t>'</w:t>
      </w:r>
      <w:r>
        <w:rPr>
          <w:vertAlign w:val="superscript"/>
        </w:rPr>
        <w:t>0</w:t>
      </w:r>
      <w:r>
        <w:t xml:space="preserve"> Während die ursprüngliche Zikkurat zunächst unvollen</w:t>
      </w:r>
      <w:r>
        <w:softHyphen/>
        <w:t xml:space="preserve">det geblieben war (Gen 11,1-9), wurde sie später unter Sargon I. von </w:t>
      </w:r>
      <w:r>
        <w:t>Akkad (um 2300 v. Chr.) und seinem Nachfolger Shar-kali-sharri (um 2250 v. Chr.) dennoch weiter ausgebaut. Aus einem aufgefun</w:t>
      </w:r>
      <w:r>
        <w:softHyphen/>
        <w:t>denen Keilschrifttext des letztgenannten Herrschers geht hervor, dass am Standort dieses Turmes ursprünglich bereits eine „heilige</w:t>
      </w:r>
      <w:r>
        <w:t xml:space="preserve"> Stadt" existiert habe.</w:t>
      </w:r>
      <w:r>
        <w:rPr>
          <w:vertAlign w:val="superscript"/>
        </w:rPr>
        <w:footnoteReference w:id="184"/>
      </w:r>
      <w:r>
        <w:rPr>
          <w:vertAlign w:val="superscript"/>
        </w:rPr>
        <w:t xml:space="preserve"> </w:t>
      </w:r>
      <w:r>
        <w:rPr>
          <w:vertAlign w:val="superscript"/>
        </w:rPr>
        <w:footnoteReference w:id="185"/>
      </w:r>
    </w:p>
    <w:p w:rsidR="00BB7EDA" w:rsidRDefault="007D72B3">
      <w:pPr>
        <w:pStyle w:val="Bodytext20"/>
        <w:shd w:val="clear" w:color="auto" w:fill="auto"/>
        <w:spacing w:before="0" w:line="226" w:lineRule="exact"/>
        <w:ind w:firstLine="320"/>
      </w:pPr>
      <w:r>
        <w:t>Um 689 v. Chr. zerstörte der assyrische König Sanherib</w:t>
      </w:r>
      <w:r>
        <w:rPr>
          <w:vertAlign w:val="superscript"/>
        </w:rPr>
        <w:footnoteReference w:id="186"/>
      </w:r>
      <w:r>
        <w:t xml:space="preserve"> die Zik</w:t>
      </w:r>
      <w:r>
        <w:softHyphen/>
        <w:t xml:space="preserve">kurat von Babylon. Asarhaddon (681-669 v. Chr.) begann sie wieder aufzubauen. Durch den Krieg von 652-648 v. Chr. wurde der Turm schwer beschädigt. Unter </w:t>
      </w:r>
      <w:r>
        <w:t>Nabopolassar (626-605 v. Chr.) und seinem Sohn Nebukadnezar II. (605-562 v. Chr.)</w:t>
      </w:r>
      <w:r>
        <w:rPr>
          <w:vertAlign w:val="superscript"/>
        </w:rPr>
        <w:footnoteReference w:id="187"/>
      </w:r>
      <w:r>
        <w:t xml:space="preserve"> wurde er wiederhergestellt.</w:t>
      </w:r>
    </w:p>
    <w:p w:rsidR="00BB7EDA" w:rsidRDefault="007D72B3">
      <w:pPr>
        <w:pStyle w:val="Bodytext20"/>
        <w:shd w:val="clear" w:color="auto" w:fill="auto"/>
        <w:spacing w:before="0" w:line="226" w:lineRule="exact"/>
        <w:ind w:firstLine="320"/>
      </w:pPr>
      <w:r>
        <w:t>Der griechische Geschichtsschreiber Herodot besuchte Babylon und beschrieb dieses Bauwerk um 460 v. Chr.</w:t>
      </w:r>
    </w:p>
    <w:p w:rsidR="00BB7EDA" w:rsidRDefault="007D72B3">
      <w:pPr>
        <w:pStyle w:val="Bodytext20"/>
        <w:shd w:val="clear" w:color="auto" w:fill="auto"/>
        <w:spacing w:before="0" w:line="226" w:lineRule="exact"/>
        <w:ind w:firstLine="320"/>
      </w:pPr>
      <w:r>
        <w:t>Es gibt zudem eine Tontafel aus dem Jahr</w:t>
      </w:r>
      <w:r>
        <w:t xml:space="preserve"> 229 v. Chr.,</w:t>
      </w:r>
      <w:r>
        <w:rPr>
          <w:vertAlign w:val="superscript"/>
        </w:rPr>
        <w:footnoteReference w:id="188"/>
      </w:r>
      <w:r>
        <w:t xml:space="preserve"> welche wohl auf einen älteren Text zurückgeht und die genauen Maßanga</w:t>
      </w:r>
      <w:r>
        <w:softHyphen/>
        <w:t>ben dieses gigantischen Bauwerks enthält: Es besaß einen Grundriss von ca. 90 x 90 m und eine Gesamthöhe von ebenfalls 90 m.</w:t>
      </w:r>
    </w:p>
    <w:p w:rsidR="00BB7EDA" w:rsidRDefault="007D72B3">
      <w:pPr>
        <w:pStyle w:val="Bodytext20"/>
        <w:shd w:val="clear" w:color="auto" w:fill="auto"/>
        <w:spacing w:before="0" w:after="120" w:line="226" w:lineRule="exact"/>
        <w:ind w:firstLine="320"/>
      </w:pPr>
      <w:r>
        <w:t>Das erste Stockwerk von 90 x 90 m besaß eine H</w:t>
      </w:r>
      <w:r>
        <w:t>öhe von 33 m. Darauf folgten sechs weitere terrsassenförmig nach innen abgesetz</w:t>
      </w:r>
      <w:r>
        <w:softHyphen/>
        <w:t>te Stockwerke mit folgenden Maßen:</w:t>
      </w:r>
    </w:p>
    <w:p w:rsidR="00BB7EDA" w:rsidRDefault="007D72B3">
      <w:pPr>
        <w:pStyle w:val="Bodytext20"/>
        <w:framePr w:w="946" w:h="1430" w:hSpace="86" w:wrap="around" w:vAnchor="text" w:hAnchor="margin" w:x="2059" w:y="-40"/>
        <w:shd w:val="clear" w:color="auto" w:fill="auto"/>
        <w:spacing w:before="0" w:line="226" w:lineRule="exact"/>
      </w:pPr>
      <w:r>
        <w:rPr>
          <w:rStyle w:val="Bodytext2Exact"/>
        </w:rPr>
        <w:t xml:space="preserve">h = 18 m h = </w:t>
      </w:r>
      <w:r>
        <w:rPr>
          <w:rStyle w:val="Bodytext2Arial85ptExact"/>
        </w:rPr>
        <w:t>6</w:t>
      </w:r>
      <w:r>
        <w:rPr>
          <w:rStyle w:val="Bodytext210ptExact"/>
        </w:rPr>
        <w:t xml:space="preserve"> </w:t>
      </w:r>
      <w:r>
        <w:rPr>
          <w:rStyle w:val="Bodytext2Exact"/>
        </w:rPr>
        <w:t xml:space="preserve">m h = </w:t>
      </w:r>
      <w:r>
        <w:rPr>
          <w:rStyle w:val="Bodytext2AngsanaUPC14ptExact"/>
        </w:rPr>
        <w:t>6</w:t>
      </w:r>
      <w:r>
        <w:rPr>
          <w:rStyle w:val="Bodytext210ptExact"/>
        </w:rPr>
        <w:t xml:space="preserve"> </w:t>
      </w:r>
      <w:r>
        <w:rPr>
          <w:rStyle w:val="Bodytext2Exact"/>
        </w:rPr>
        <w:t xml:space="preserve">m h = </w:t>
      </w:r>
      <w:r>
        <w:rPr>
          <w:rStyle w:val="Bodytext2ArialExact"/>
        </w:rPr>
        <w:t>6</w:t>
      </w:r>
      <w:r>
        <w:rPr>
          <w:rStyle w:val="Bodytext210ptExact"/>
        </w:rPr>
        <w:t xml:space="preserve"> </w:t>
      </w:r>
      <w:r>
        <w:rPr>
          <w:rStyle w:val="Bodytext2Exact"/>
        </w:rPr>
        <w:t xml:space="preserve">m h = </w:t>
      </w:r>
      <w:r>
        <w:rPr>
          <w:rStyle w:val="Bodytext2ArialExact"/>
        </w:rPr>
        <w:t>6</w:t>
      </w:r>
      <w:r>
        <w:rPr>
          <w:rStyle w:val="Bodytext210ptExact"/>
        </w:rPr>
        <w:t xml:space="preserve"> </w:t>
      </w:r>
      <w:r>
        <w:rPr>
          <w:rStyle w:val="Bodytext2Exact"/>
        </w:rPr>
        <w:t>m</w:t>
      </w:r>
      <w:r>
        <w:rPr>
          <w:rStyle w:val="Bodytext2Exact"/>
          <w:vertAlign w:val="superscript"/>
        </w:rPr>
        <w:footnoteReference w:id="189"/>
      </w:r>
      <w:r>
        <w:rPr>
          <w:rStyle w:val="Bodytext2Exact"/>
          <w:vertAlign w:val="superscript"/>
        </w:rPr>
        <w:t xml:space="preserve"> </w:t>
      </w:r>
      <w:r>
        <w:rPr>
          <w:rStyle w:val="Bodytext2Exact"/>
        </w:rPr>
        <w:t>h = 15 m</w:t>
      </w:r>
    </w:p>
    <w:p w:rsidR="00BB7EDA" w:rsidRDefault="007D72B3">
      <w:pPr>
        <w:pStyle w:val="Bodytext20"/>
        <w:numPr>
          <w:ilvl w:val="0"/>
          <w:numId w:val="98"/>
        </w:numPr>
        <w:shd w:val="clear" w:color="auto" w:fill="auto"/>
        <w:tabs>
          <w:tab w:val="left" w:pos="260"/>
        </w:tabs>
        <w:spacing w:before="0" w:line="226" w:lineRule="exact"/>
      </w:pPr>
      <w:r>
        <w:t>Stockwerk: 78 x 78 m;</w:t>
      </w:r>
    </w:p>
    <w:p w:rsidR="00BB7EDA" w:rsidRDefault="007D72B3">
      <w:pPr>
        <w:pStyle w:val="Bodytext20"/>
        <w:numPr>
          <w:ilvl w:val="0"/>
          <w:numId w:val="98"/>
        </w:numPr>
        <w:shd w:val="clear" w:color="auto" w:fill="auto"/>
        <w:tabs>
          <w:tab w:val="left" w:pos="260"/>
        </w:tabs>
        <w:spacing w:before="0" w:line="226" w:lineRule="exact"/>
      </w:pPr>
      <w:r>
        <w:t>Stockwerk: 60 x 60 m;</w:t>
      </w:r>
    </w:p>
    <w:p w:rsidR="00BB7EDA" w:rsidRDefault="007D72B3">
      <w:pPr>
        <w:pStyle w:val="Bodytext20"/>
        <w:numPr>
          <w:ilvl w:val="0"/>
          <w:numId w:val="98"/>
        </w:numPr>
        <w:shd w:val="clear" w:color="auto" w:fill="auto"/>
        <w:tabs>
          <w:tab w:val="left" w:pos="260"/>
        </w:tabs>
        <w:spacing w:before="0" w:line="226" w:lineRule="exact"/>
      </w:pPr>
      <w:r>
        <w:t>Stockwerk: 51 x 51 m;</w:t>
      </w:r>
    </w:p>
    <w:p w:rsidR="00BB7EDA" w:rsidRDefault="007D72B3">
      <w:pPr>
        <w:pStyle w:val="Bodytext20"/>
        <w:numPr>
          <w:ilvl w:val="0"/>
          <w:numId w:val="98"/>
        </w:numPr>
        <w:shd w:val="clear" w:color="auto" w:fill="auto"/>
        <w:tabs>
          <w:tab w:val="left" w:pos="265"/>
        </w:tabs>
        <w:spacing w:before="0" w:line="226" w:lineRule="exact"/>
      </w:pPr>
      <w:r>
        <w:t>Stockwerk: 42 x 42 m;</w:t>
      </w:r>
    </w:p>
    <w:p w:rsidR="00BB7EDA" w:rsidRDefault="007D72B3">
      <w:pPr>
        <w:pStyle w:val="Bodytext20"/>
        <w:numPr>
          <w:ilvl w:val="0"/>
          <w:numId w:val="98"/>
        </w:numPr>
        <w:shd w:val="clear" w:color="auto" w:fill="auto"/>
        <w:tabs>
          <w:tab w:val="left" w:pos="265"/>
        </w:tabs>
        <w:spacing w:before="0" w:line="226" w:lineRule="exact"/>
      </w:pPr>
      <w:r>
        <w:t>Stockwerk 33 x 33 m;</w:t>
      </w:r>
    </w:p>
    <w:p w:rsidR="00BB7EDA" w:rsidRDefault="007D72B3">
      <w:pPr>
        <w:pStyle w:val="Bodytext20"/>
        <w:numPr>
          <w:ilvl w:val="0"/>
          <w:numId w:val="98"/>
        </w:numPr>
        <w:shd w:val="clear" w:color="auto" w:fill="auto"/>
        <w:tabs>
          <w:tab w:val="left" w:pos="265"/>
        </w:tabs>
        <w:spacing w:before="0" w:line="226" w:lineRule="exact"/>
      </w:pPr>
      <w:r>
        <w:t>Stockwerk: 24 x 24 m;</w:t>
      </w:r>
      <w:r>
        <w:br w:type="page"/>
      </w:r>
    </w:p>
    <w:p w:rsidR="00BB7EDA" w:rsidRDefault="007D72B3">
      <w:pPr>
        <w:pStyle w:val="Bodytext20"/>
        <w:shd w:val="clear" w:color="auto" w:fill="auto"/>
        <w:spacing w:before="0" w:line="226" w:lineRule="exact"/>
        <w:ind w:firstLine="340"/>
      </w:pPr>
      <w:r>
        <w:t>Zuoberst, auf dem siebten Stockwerk, bildete ein Tempelhaus den krönenden Abschluss.</w:t>
      </w:r>
    </w:p>
    <w:p w:rsidR="00BB7EDA" w:rsidRDefault="007D72B3">
      <w:pPr>
        <w:pStyle w:val="Bodytext20"/>
        <w:shd w:val="clear" w:color="auto" w:fill="auto"/>
        <w:spacing w:before="0" w:after="457" w:line="226" w:lineRule="exact"/>
        <w:ind w:firstLine="340"/>
      </w:pPr>
      <w:r>
        <w:t>Um 472 v. Chr. wurde der Turm von Babel durch den Perser</w:t>
      </w:r>
      <w:r>
        <w:softHyphen/>
        <w:t xml:space="preserve">könig Xerxes zerstört. Als später Alexander der Große ihn um 323 v. </w:t>
      </w:r>
      <w:r>
        <w:t>Chr. wieder aufbauen wollte und dazu die Trümmermassen beiseite schaffen ließ, da bekam er Malaria und verstarb. Von den Bewoh</w:t>
      </w:r>
      <w:r>
        <w:softHyphen/>
        <w:t>nern der Umgebung wurden die Ziegel in der folgenden Zeit für andere Bauzwecke nach und nach weggetragen, sodass aus der einstige</w:t>
      </w:r>
      <w:r>
        <w:t>n Stätte der Empörung gegen Gott eine Grube wurde. 1971 erklärte die irakische Regierung unter Saddam Hussein die Absicht, den Turm von Babel zu restaurieren. Bis heute ist dies allerdings, im Gegensatz zu manch anderen Bauwerken in Babel, noch nicht reali</w:t>
      </w:r>
      <w:r>
        <w:softHyphen/>
        <w:t>siertworden. Der Ort, an dem einst der Turm von Babel stand, ist zur Zeit nach wie vor ein abgrundtiefer Schlamm, was geradezu symbo</w:t>
      </w:r>
      <w:r>
        <w:softHyphen/>
        <w:t>lische Aussagekraft enthält.</w:t>
      </w:r>
    </w:p>
    <w:p w:rsidR="00BB7EDA" w:rsidRDefault="007D72B3">
      <w:pPr>
        <w:pStyle w:val="Heading50"/>
        <w:keepNext/>
        <w:keepLines/>
        <w:numPr>
          <w:ilvl w:val="2"/>
          <w:numId w:val="87"/>
        </w:numPr>
        <w:shd w:val="clear" w:color="auto" w:fill="auto"/>
        <w:tabs>
          <w:tab w:val="left" w:pos="505"/>
        </w:tabs>
        <w:spacing w:after="218" w:line="180" w:lineRule="exact"/>
      </w:pPr>
      <w:bookmarkStart w:id="56" w:name="bookmark55"/>
      <w:r>
        <w:t>Zur Bedeutung und Etymologie des Namens „Babel"</w:t>
      </w:r>
      <w:bookmarkEnd w:id="56"/>
    </w:p>
    <w:p w:rsidR="00BB7EDA" w:rsidRDefault="007D72B3">
      <w:pPr>
        <w:pStyle w:val="Bodytext20"/>
        <w:numPr>
          <w:ilvl w:val="3"/>
          <w:numId w:val="87"/>
        </w:numPr>
        <w:shd w:val="clear" w:color="auto" w:fill="auto"/>
        <w:tabs>
          <w:tab w:val="left" w:pos="654"/>
        </w:tabs>
        <w:spacing w:before="0" w:line="226" w:lineRule="exact"/>
      </w:pPr>
      <w:r>
        <w:rPr>
          <w:rStyle w:val="Bodytext2Italic0"/>
        </w:rPr>
        <w:t xml:space="preserve">„Babel" - iveder sumerisch noch akkadisch </w:t>
      </w:r>
      <w:r>
        <w:t>Der</w:t>
      </w:r>
      <w:r>
        <w:t xml:space="preserve"> Städtename „Babel" findet sich bereits in sumerischen In</w:t>
      </w:r>
      <w:r>
        <w:softHyphen/>
        <w:t xml:space="preserve">schriften als </w:t>
      </w:r>
      <w:r>
        <w:rPr>
          <w:rStyle w:val="Bodytext2Italic0"/>
        </w:rPr>
        <w:t>babillum</w:t>
      </w:r>
      <w:r>
        <w:t xml:space="preserve"> bzw. </w:t>
      </w:r>
      <w:r>
        <w:rPr>
          <w:rStyle w:val="Bodytext2Italic0"/>
        </w:rPr>
        <w:t>babilla</w:t>
      </w:r>
      <w:r>
        <w:t>,</w:t>
      </w:r>
      <w:r>
        <w:rPr>
          <w:vertAlign w:val="superscript"/>
        </w:rPr>
        <w:footnoteReference w:id="190"/>
      </w:r>
      <w:r>
        <w:t xml:space="preserve"> Doch bereits die Sumerer kann</w:t>
      </w:r>
      <w:r>
        <w:softHyphen/>
        <w:t xml:space="preserve">ten die Herkunft und Bedeutung dieses Wortes nicht mehr. Der Name </w:t>
      </w:r>
      <w:r>
        <w:rPr>
          <w:rStyle w:val="Bodytext2Italic0"/>
        </w:rPr>
        <w:t>Babel</w:t>
      </w:r>
      <w:r>
        <w:t xml:space="preserve"> ist nämlich weder ein sumerisches noch ein akkadisches Wor</w:t>
      </w:r>
      <w:r>
        <w:t>t.</w:t>
      </w:r>
      <w:r>
        <w:rPr>
          <w:vertAlign w:val="superscript"/>
        </w:rPr>
        <w:footnoteReference w:id="191"/>
      </w:r>
      <w:r>
        <w:t xml:space="preserve"> Die semitischen Babylonier haben später diese nicht- akkadische Vokabel aus ihrer Sprache heraus erklären wollen, und zwar als </w:t>
      </w:r>
      <w:r>
        <w:rPr>
          <w:rStyle w:val="Bodytext2Italic0"/>
        </w:rPr>
        <w:t>bab-ili</w:t>
      </w:r>
      <w:r>
        <w:t xml:space="preserve"> (akkadisch = „Tor Gottes")</w:t>
      </w:r>
      <w:r>
        <w:rPr>
          <w:vertAlign w:val="superscript"/>
        </w:rPr>
        <w:footnoteReference w:id="192"/>
      </w:r>
      <w:r>
        <w:t xml:space="preserve"> oder später in neu</w:t>
      </w:r>
      <w:r>
        <w:softHyphen/>
        <w:t xml:space="preserve">babylonischer Zeit als </w:t>
      </w:r>
      <w:r>
        <w:rPr>
          <w:rStyle w:val="Bodytext2Italic0"/>
        </w:rPr>
        <w:t>bab-ilani</w:t>
      </w:r>
      <w:r>
        <w:t xml:space="preserve"> („Tor der Götter").</w:t>
      </w:r>
      <w:r>
        <w:rPr>
          <w:vertAlign w:val="superscript"/>
        </w:rPr>
        <w:footnoteReference w:id="193"/>
      </w:r>
      <w:r>
        <w:t xml:space="preserve"> Bei der akkadisc</w:t>
      </w:r>
      <w:r>
        <w:t>hen Deutung des Namens „Babel" handelte es sich also um reine Volksetymologie.</w:t>
      </w:r>
      <w:r>
        <w:rPr>
          <w:vertAlign w:val="superscript"/>
        </w:rPr>
        <w:footnoteReference w:id="194"/>
      </w:r>
    </w:p>
    <w:p w:rsidR="00BB7EDA" w:rsidRDefault="007D72B3">
      <w:pPr>
        <w:pStyle w:val="Bodytext20"/>
        <w:shd w:val="clear" w:color="auto" w:fill="auto"/>
        <w:spacing w:before="0" w:after="225" w:line="226" w:lineRule="exact"/>
        <w:ind w:firstLine="320"/>
      </w:pPr>
      <w:r>
        <w:t xml:space="preserve">Aus </w:t>
      </w:r>
      <w:r>
        <w:rPr>
          <w:rStyle w:val="Bodytext2Italic0"/>
        </w:rPr>
        <w:t>bab-ilani</w:t>
      </w:r>
      <w:r>
        <w:t xml:space="preserve"> hat sich übrigens bei den Griechen die uns sehr vertraute Namensform </w:t>
      </w:r>
      <w:r>
        <w:rPr>
          <w:rStyle w:val="Bodytext2Italic0"/>
        </w:rPr>
        <w:t>babylön</w:t>
      </w:r>
      <w:r>
        <w:t xml:space="preserve"> (Babylon) ergeben.</w:t>
      </w:r>
      <w:r>
        <w:rPr>
          <w:vertAlign w:val="superscript"/>
        </w:rPr>
        <w:footnoteReference w:id="195"/>
      </w:r>
    </w:p>
    <w:p w:rsidR="00BB7EDA" w:rsidRDefault="007D72B3">
      <w:pPr>
        <w:pStyle w:val="Bodytext100"/>
        <w:numPr>
          <w:ilvl w:val="0"/>
          <w:numId w:val="99"/>
        </w:numPr>
        <w:shd w:val="clear" w:color="auto" w:fill="auto"/>
        <w:tabs>
          <w:tab w:val="left" w:pos="663"/>
        </w:tabs>
        <w:spacing w:before="0" w:after="36" w:line="170" w:lineRule="exact"/>
        <w:ind w:firstLine="0"/>
      </w:pPr>
      <w:r>
        <w:t>Die Deutung in der Genesis</w:t>
      </w:r>
    </w:p>
    <w:p w:rsidR="00BB7EDA" w:rsidRDefault="007D72B3">
      <w:pPr>
        <w:pStyle w:val="Bodytext20"/>
        <w:shd w:val="clear" w:color="auto" w:fill="auto"/>
        <w:spacing w:before="0" w:after="120"/>
      </w:pPr>
      <w:r>
        <w:t xml:space="preserve">Der von Mose verfasste biblische Text </w:t>
      </w:r>
      <w:r>
        <w:t xml:space="preserve">gibt dem Namen </w:t>
      </w:r>
      <w:r>
        <w:rPr>
          <w:rStyle w:val="Bodytext2Italic0"/>
        </w:rPr>
        <w:t>Babel</w:t>
      </w:r>
      <w:r>
        <w:t xml:space="preserve"> anhand der hebräischen bzw. allgemein-semitischen Wortwurzel </w:t>
      </w:r>
      <w:r>
        <w:rPr>
          <w:rStyle w:val="Bodytext2Italic0"/>
        </w:rPr>
        <w:t>bll</w:t>
      </w:r>
      <w:r>
        <w:rPr>
          <w:rStyle w:val="Bodytext2Italic0"/>
          <w:vertAlign w:val="superscript"/>
        </w:rPr>
        <w:footnoteReference w:id="196"/>
      </w:r>
      <w:r>
        <w:t xml:space="preserve"> („ver</w:t>
      </w:r>
      <w:r>
        <w:softHyphen/>
        <w:t>wirren") die Bedeutung „Verwirrung" (Gen 11,9):</w:t>
      </w:r>
    </w:p>
    <w:p w:rsidR="00BB7EDA" w:rsidRDefault="007D72B3">
      <w:pPr>
        <w:pStyle w:val="Bodytext20"/>
        <w:shd w:val="clear" w:color="auto" w:fill="auto"/>
        <w:spacing w:before="0" w:after="124"/>
        <w:ind w:left="320" w:right="340"/>
      </w:pPr>
      <w:r>
        <w:t>„Darum gab man ihr den Namen Babel,</w:t>
      </w:r>
      <w:r>
        <w:rPr>
          <w:vertAlign w:val="superscript"/>
        </w:rPr>
        <w:footnoteReference w:id="197"/>
      </w:r>
      <w:r>
        <w:t xml:space="preserve"> weil der HERR dort die Sprache der ganzen Erde verwirrt hatte </w:t>
      </w:r>
      <w:r>
        <w:rPr>
          <w:rStyle w:val="Bodytext2Italic0"/>
        </w:rPr>
        <w:t>[balal].</w:t>
      </w:r>
      <w:r>
        <w:t xml:space="preserve"> Und von</w:t>
      </w:r>
      <w:r>
        <w:t xml:space="preserve"> dort zerstreute sie der HERR über die ganze Erde."</w:t>
      </w:r>
    </w:p>
    <w:p w:rsidR="00BB7EDA" w:rsidRDefault="007D72B3">
      <w:pPr>
        <w:pStyle w:val="Bodytext20"/>
        <w:shd w:val="clear" w:color="auto" w:fill="auto"/>
        <w:spacing w:before="0" w:line="226" w:lineRule="exact"/>
        <w:ind w:firstLine="320"/>
      </w:pPr>
      <w:r>
        <w:t xml:space="preserve">Diese Namensdeutung wurde von liberalen Forschern mit dem Hinweis, dass </w:t>
      </w:r>
      <w:r>
        <w:rPr>
          <w:rStyle w:val="Bodytext2Italic0"/>
        </w:rPr>
        <w:t>Babel</w:t>
      </w:r>
      <w:r>
        <w:t xml:space="preserve"> ja selbstverständlich ein akkadischer Name sei, der „Tor Gottes" oder „Tor der Götter" bedeute, als volksetymo-logische, d.h. </w:t>
      </w:r>
      <w:r>
        <w:t>nicht ernst zu nehmende nachträgliche Interpretation, abgetan.</w:t>
      </w:r>
      <w:r>
        <w:rPr>
          <w:vertAlign w:val="superscript"/>
        </w:rPr>
        <w:footnoteReference w:id="198"/>
      </w:r>
      <w:r>
        <w:t xml:space="preserve"> Diese bibelkritische Auffassung sollte nun endgültig der Vergangenheit übergeben werden. Seitdem bekannt geworden ist, dass </w:t>
      </w:r>
      <w:r>
        <w:rPr>
          <w:rStyle w:val="Bodytext2Italic0"/>
        </w:rPr>
        <w:t>Babel</w:t>
      </w:r>
      <w:r>
        <w:t xml:space="preserve"> weder sumerisch noch akkadisch ist, muss die Deutung in Gen 11</w:t>
      </w:r>
      <w:r>
        <w:t>,9 in einem völlig neuen Licht gesehen werden.</w:t>
      </w:r>
    </w:p>
    <w:p w:rsidR="00BB7EDA" w:rsidRDefault="007D72B3">
      <w:pPr>
        <w:pStyle w:val="Bodytext20"/>
        <w:shd w:val="clear" w:color="auto" w:fill="auto"/>
        <w:spacing w:before="0" w:after="176" w:line="226" w:lineRule="exact"/>
        <w:ind w:firstLine="320"/>
      </w:pPr>
      <w:r>
        <w:t xml:space="preserve">In diesem Zusammenhang stellt sich auch die Frage nach der Ursprache der Menschheit. Wenn das altmesopotamische Wort </w:t>
      </w:r>
      <w:r>
        <w:rPr>
          <w:rStyle w:val="Bodytext2Italic0"/>
        </w:rPr>
        <w:t xml:space="preserve">Babel </w:t>
      </w:r>
      <w:r>
        <w:t xml:space="preserve">nicht sumerisch ist, gemäß der Heiligen Schrift aber durch eine semitische Wortwurzel gedeutet werden muss, kann man nun davon ableiten, dass es sich bei der Ur-Sprache vor der babylonischen Verwirrung um eine </w:t>
      </w:r>
      <w:r>
        <w:rPr>
          <w:rStyle w:val="Bodytext2Italic0"/>
        </w:rPr>
        <w:t>semitische Sprache</w:t>
      </w:r>
      <w:r>
        <w:t xml:space="preserve"> gehandelt hat? Ich komme au</w:t>
      </w:r>
      <w:r>
        <w:t>f diese Frage gleich nochmals zurück.</w:t>
      </w:r>
    </w:p>
    <w:p w:rsidR="00BB7EDA" w:rsidRDefault="007D72B3">
      <w:pPr>
        <w:pStyle w:val="Bodytext100"/>
        <w:numPr>
          <w:ilvl w:val="0"/>
          <w:numId w:val="100"/>
        </w:numPr>
        <w:shd w:val="clear" w:color="auto" w:fill="auto"/>
        <w:tabs>
          <w:tab w:val="left" w:pos="663"/>
        </w:tabs>
        <w:spacing w:before="0" w:line="230" w:lineRule="exact"/>
        <w:ind w:firstLine="0"/>
      </w:pPr>
      <w:r>
        <w:t>Die Wortwurzel „balal"</w:t>
      </w:r>
    </w:p>
    <w:p w:rsidR="00BB7EDA" w:rsidRDefault="007D72B3">
      <w:pPr>
        <w:pStyle w:val="Bodytext20"/>
        <w:shd w:val="clear" w:color="auto" w:fill="auto"/>
        <w:spacing w:before="0"/>
      </w:pPr>
      <w:r>
        <w:t>Eine nähere Untersuchung der mit „verwirren" übersetzten hebräi</w:t>
      </w:r>
      <w:r>
        <w:softHyphen/>
        <w:t xml:space="preserve">schen bzw. allgemein-semitischen Wortwurzel </w:t>
      </w:r>
      <w:r>
        <w:rPr>
          <w:rStyle w:val="Bodytext2Italic0"/>
        </w:rPr>
        <w:t>balal</w:t>
      </w:r>
      <w:r>
        <w:rPr>
          <w:rStyle w:val="Bodytext2Italic0"/>
          <w:vertAlign w:val="superscript"/>
        </w:rPr>
        <w:footnoteReference w:id="199"/>
      </w:r>
      <w:r>
        <w:t xml:space="preserve"> kann die bi</w:t>
      </w:r>
      <w:r>
        <w:softHyphen/>
        <w:t>blische Aussage bezüglich des Wesens der Sprachenverwirrung um einig</w:t>
      </w:r>
      <w:r>
        <w:t>es aufhellen:</w:t>
      </w:r>
      <w:r>
        <w:rPr>
          <w:vertAlign w:val="superscript"/>
        </w:rPr>
        <w:t>226</w:t>
      </w:r>
    </w:p>
    <w:p w:rsidR="00BB7EDA" w:rsidRDefault="007D72B3">
      <w:pPr>
        <w:pStyle w:val="Bodytext20"/>
        <w:shd w:val="clear" w:color="auto" w:fill="auto"/>
        <w:spacing w:before="0"/>
        <w:ind w:firstLine="320"/>
      </w:pPr>
      <w:r>
        <w:t xml:space="preserve">Bei der Wortwurzel </w:t>
      </w:r>
      <w:r>
        <w:rPr>
          <w:rStyle w:val="Bodytext2Italic0"/>
        </w:rPr>
        <w:t>bll</w:t>
      </w:r>
      <w:r>
        <w:t xml:space="preserve"> handelt es sich eigentlich um eine zweiradikalige Wurzel, nämlich </w:t>
      </w:r>
      <w:r>
        <w:rPr>
          <w:rStyle w:val="Bodytext2Italic0"/>
        </w:rPr>
        <w:t>bl,</w:t>
      </w:r>
      <w:r>
        <w:t xml:space="preserve"> deren zweiter Konsonant ver</w:t>
      </w:r>
      <w:r>
        <w:softHyphen/>
        <w:t>doppelt ist.</w:t>
      </w:r>
      <w:r>
        <w:rPr>
          <w:vertAlign w:val="superscript"/>
        </w:rPr>
        <w:t>227</w:t>
      </w:r>
      <w:r>
        <w:t xml:space="preserve"> Der Städtename </w:t>
      </w:r>
      <w:r>
        <w:rPr>
          <w:rStyle w:val="Bodytext2Italic0"/>
        </w:rPr>
        <w:t>Babel</w:t>
      </w:r>
      <w:r>
        <w:t xml:space="preserve"> (in der hebräischen Konsonan- ten-Schrift </w:t>
      </w:r>
      <w:r>
        <w:rPr>
          <w:rStyle w:val="Bodytext2Italic0"/>
        </w:rPr>
        <w:t>bbl</w:t>
      </w:r>
      <w:r>
        <w:t xml:space="preserve"> geschrieben) ergibt sich durch Verd</w:t>
      </w:r>
      <w:r>
        <w:t>opplung des er</w:t>
      </w:r>
      <w:r>
        <w:softHyphen/>
        <w:t>sten Wurzelkonsonanten.</w:t>
      </w:r>
      <w:r>
        <w:rPr>
          <w:vertAlign w:val="superscript"/>
        </w:rPr>
        <w:t>228</w:t>
      </w:r>
    </w:p>
    <w:p w:rsidR="00BB7EDA" w:rsidRDefault="007D72B3">
      <w:pPr>
        <w:pStyle w:val="Bodytext20"/>
        <w:shd w:val="clear" w:color="auto" w:fill="auto"/>
        <w:spacing w:before="0" w:after="331"/>
        <w:ind w:firstLine="320"/>
      </w:pPr>
      <w:r>
        <w:rPr>
          <w:rStyle w:val="Bodytext2Italic0"/>
        </w:rPr>
        <w:t>balal</w:t>
      </w:r>
      <w:r>
        <w:t xml:space="preserve"> hat im Hebräischen die Grundbedeutung „(mit Öl) anfeuch</w:t>
      </w:r>
      <w:r>
        <w:softHyphen/>
        <w:t>ten", „(mit Öl) übergießen", „vermengen", „verrühren" oder „ver</w:t>
      </w:r>
      <w:r>
        <w:softHyphen/>
        <w:t>mischen".</w:t>
      </w:r>
      <w:r>
        <w:rPr>
          <w:vertAlign w:val="superscript"/>
        </w:rPr>
        <w:t>229</w:t>
      </w:r>
      <w:r>
        <w:t xml:space="preserve"> Dieses Wort wird im Alten Testament in den meisten Stellen dann verwendet, </w:t>
      </w:r>
      <w:r>
        <w:t xml:space="preserve">wenn es spezifisch um </w:t>
      </w:r>
      <w:r>
        <w:rPr>
          <w:rStyle w:val="Bodytext2Italic0"/>
        </w:rPr>
        <w:t>Vermengung von Öl mit Mehl</w:t>
      </w:r>
      <w:r>
        <w:t xml:space="preserve"> geht.</w:t>
      </w:r>
      <w:r>
        <w:rPr>
          <w:vertAlign w:val="superscript"/>
        </w:rPr>
        <w:t>230</w:t>
      </w:r>
      <w:r>
        <w:t xml:space="preserve"> Eine solche Vermischung von Öl mit Mehl führt bekanntlich zu einem völlig unentwirrbaren Ergebnis. Daraus er</w:t>
      </w:r>
      <w:r>
        <w:softHyphen/>
        <w:t>klärt sich die im Kontext von Gen 11 geforderte sekundäre Bedeu</w:t>
      </w:r>
      <w:r>
        <w:softHyphen/>
        <w:t xml:space="preserve">tung von </w:t>
      </w:r>
      <w:r>
        <w:rPr>
          <w:rStyle w:val="Bodytext2Italic0"/>
        </w:rPr>
        <w:t>balal</w:t>
      </w:r>
      <w:r>
        <w:t xml:space="preserve"> im Sinn vo</w:t>
      </w:r>
      <w:r>
        <w:t>n „verwirren".</w:t>
      </w:r>
      <w:r>
        <w:rPr>
          <w:vertAlign w:val="superscript"/>
        </w:rPr>
        <w:t>231</w:t>
      </w:r>
    </w:p>
    <w:p w:rsidR="00BB7EDA" w:rsidRDefault="007D72B3">
      <w:pPr>
        <w:pStyle w:val="Bodytext60"/>
        <w:shd w:val="clear" w:color="auto" w:fill="auto"/>
        <w:spacing w:line="192" w:lineRule="exact"/>
        <w:ind w:left="320"/>
        <w:jc w:val="both"/>
      </w:pPr>
      <w:r>
        <w:t xml:space="preserve">feuchten"), </w:t>
      </w:r>
      <w:r>
        <w:rPr>
          <w:rStyle w:val="Bodytext675ptItalic"/>
        </w:rPr>
        <w:t>balbala</w:t>
      </w:r>
      <w:r>
        <w:t xml:space="preserve"> („durcheinanderbringen''), tigrisch: </w:t>
      </w:r>
      <w:r>
        <w:rPr>
          <w:rStyle w:val="Bodytext675ptItalic"/>
        </w:rPr>
        <w:t>balbala</w:t>
      </w:r>
      <w:r>
        <w:t xml:space="preserve"> („schütteln"), jüdisch-aramäisch: </w:t>
      </w:r>
      <w:r>
        <w:rPr>
          <w:rStyle w:val="Bodytext675ptItalic"/>
        </w:rPr>
        <w:t>balbel</w:t>
      </w:r>
      <w:r>
        <w:t xml:space="preserve"> („vermischen", „verwirren"), syrisch: </w:t>
      </w:r>
      <w:r>
        <w:rPr>
          <w:rStyle w:val="Bodytext675ptItalic"/>
        </w:rPr>
        <w:t>bal</w:t>
      </w:r>
      <w:r>
        <w:t xml:space="preserve"> („mi</w:t>
      </w:r>
      <w:r>
        <w:softHyphen/>
        <w:t>schen").</w:t>
      </w:r>
    </w:p>
    <w:p w:rsidR="00BB7EDA" w:rsidRDefault="007D72B3">
      <w:pPr>
        <w:pStyle w:val="Bodytext60"/>
        <w:shd w:val="clear" w:color="auto" w:fill="auto"/>
        <w:spacing w:line="192" w:lineRule="exact"/>
        <w:ind w:left="320"/>
        <w:jc w:val="both"/>
      </w:pPr>
      <w:r>
        <w:t>Beim Vergleich der verschiedenen semitischen Sprachen fällt auf, dass die Gr</w:t>
      </w:r>
      <w:r>
        <w:t xml:space="preserve">undbedeutung von </w:t>
      </w:r>
      <w:r>
        <w:rPr>
          <w:rStyle w:val="Bodytext675ptItalic"/>
        </w:rPr>
        <w:t>bll</w:t>
      </w:r>
      <w:r>
        <w:t xml:space="preserve"> offensichtlich in dem Konzept „mischen" besteht.</w:t>
      </w:r>
    </w:p>
    <w:p w:rsidR="00BB7EDA" w:rsidRDefault="007D72B3">
      <w:pPr>
        <w:pStyle w:val="Bodytext60"/>
        <w:numPr>
          <w:ilvl w:val="0"/>
          <w:numId w:val="101"/>
        </w:numPr>
        <w:shd w:val="clear" w:color="auto" w:fill="auto"/>
        <w:tabs>
          <w:tab w:val="left" w:pos="308"/>
        </w:tabs>
        <w:spacing w:line="192" w:lineRule="exact"/>
        <w:ind w:left="320" w:hanging="320"/>
        <w:jc w:val="both"/>
      </w:pPr>
      <w:r>
        <w:t xml:space="preserve">Alle Stellen, wo die Wurzel </w:t>
      </w:r>
      <w:r>
        <w:rPr>
          <w:rStyle w:val="Bodytext675ptItalic"/>
        </w:rPr>
        <w:t>balal</w:t>
      </w:r>
      <w:r>
        <w:t xml:space="preserve"> im AT in der Form des Grundstammes (Kal) vorkommt: Gen 11,7.9; Ex 29,2.40; Lev 2,4.5; 7,10.12; 9,4; 14,10.21; 23,13; Num 6,15; 7,13.19.25.31.37.43.49.55</w:t>
      </w:r>
      <w:r>
        <w:t xml:space="preserve">.61.67.73.79; 8,8; 15,4.6.9; 28,5.9.12.13.20.28; 29,3.9.14; Ri 19,21 (hier als Ableitung von </w:t>
      </w:r>
      <w:r>
        <w:rPr>
          <w:rStyle w:val="Bodytext675ptItalic"/>
        </w:rPr>
        <w:t>belil</w:t>
      </w:r>
      <w:r>
        <w:t xml:space="preserve"> [„Mengfutter"] mit der Bedeu</w:t>
      </w:r>
      <w:r>
        <w:softHyphen/>
        <w:t>tung „Mengfutter vorschütten"); Ps 92,11. Ferner im reflexiven Hithpolal- Stamm: Hos 7,8 (in der Bedeutung: „sich [mit den nicht</w:t>
      </w:r>
      <w:r>
        <w:t>-israelitischen Völ</w:t>
      </w:r>
      <w:r>
        <w:softHyphen/>
        <w:t>kern] vermischen".</w:t>
      </w:r>
    </w:p>
    <w:p w:rsidR="00BB7EDA" w:rsidRDefault="007D72B3">
      <w:pPr>
        <w:pStyle w:val="Bodytext60"/>
        <w:shd w:val="clear" w:color="auto" w:fill="auto"/>
        <w:spacing w:line="192" w:lineRule="exact"/>
        <w:ind w:left="320"/>
        <w:jc w:val="both"/>
      </w:pPr>
      <w:r>
        <w:t xml:space="preserve">Wörter, die im Hebräischen von </w:t>
      </w:r>
      <w:r>
        <w:rPr>
          <w:rStyle w:val="Bodytext675ptItalic"/>
        </w:rPr>
        <w:t>balal</w:t>
      </w:r>
      <w:r>
        <w:t xml:space="preserve"> abgeleitet werden können: </w:t>
      </w:r>
      <w:r>
        <w:rPr>
          <w:rStyle w:val="Bodytext675ptItalic"/>
        </w:rPr>
        <w:t>belil</w:t>
      </w:r>
      <w:r>
        <w:t xml:space="preserve"> („Misch</w:t>
      </w:r>
      <w:r>
        <w:softHyphen/>
        <w:t xml:space="preserve">futter", Hi 6,5; 24,6; Jes 30,24); </w:t>
      </w:r>
      <w:r>
        <w:rPr>
          <w:rStyle w:val="Bodytext675ptItalic"/>
        </w:rPr>
        <w:t>savlul</w:t>
      </w:r>
      <w:r>
        <w:t xml:space="preserve"> („Schnecke", vom Anfeuchten des Weges, Ps 58,9): </w:t>
      </w:r>
      <w:r>
        <w:rPr>
          <w:rStyle w:val="Bodytext675ptItalic"/>
        </w:rPr>
        <w:t>tevallul</w:t>
      </w:r>
      <w:r>
        <w:t xml:space="preserve"> („Ineinandermisrhung"/,.Unordnung [im Au</w:t>
      </w:r>
      <w:r>
        <w:t xml:space="preserve">ge]", d.h. möglicherweise: „[weißer] Fleck [auf der schwarzen Pupille]", Lev </w:t>
      </w:r>
      <w:r>
        <w:rPr>
          <w:rStyle w:val="Bodytext675pt"/>
        </w:rPr>
        <w:t>21</w:t>
      </w:r>
      <w:r>
        <w:rPr>
          <w:rStyle w:val="Bodytext6Arial5ptBoldSpacing0pt"/>
        </w:rPr>
        <w:t>,</w:t>
      </w:r>
      <w:r>
        <w:rPr>
          <w:rStyle w:val="Bodytext675pt"/>
        </w:rPr>
        <w:t>20</w:t>
      </w:r>
      <w:r>
        <w:rPr>
          <w:rStyle w:val="Bodytext6Arial5ptBoldSpacing0pt"/>
        </w:rPr>
        <w:t>).</w:t>
      </w:r>
    </w:p>
    <w:p w:rsidR="00BB7EDA" w:rsidRDefault="007D72B3">
      <w:pPr>
        <w:pStyle w:val="Bodytext60"/>
        <w:numPr>
          <w:ilvl w:val="0"/>
          <w:numId w:val="101"/>
        </w:numPr>
        <w:shd w:val="clear" w:color="auto" w:fill="auto"/>
        <w:tabs>
          <w:tab w:val="left" w:pos="313"/>
        </w:tabs>
        <w:spacing w:line="192" w:lineRule="exact"/>
        <w:ind w:left="320" w:hanging="320"/>
        <w:jc w:val="both"/>
      </w:pPr>
      <w:r w:rsidRPr="007D72B3">
        <w:rPr>
          <w:lang w:val="en-US"/>
        </w:rPr>
        <w:t xml:space="preserve">Vgl. </w:t>
      </w:r>
      <w:r w:rsidRPr="007D72B3">
        <w:rPr>
          <w:rStyle w:val="Bodytext67ptSmallCaps"/>
          <w:lang w:val="en-US"/>
        </w:rPr>
        <w:t xml:space="preserve">Joüon/Muraoka: </w:t>
      </w:r>
      <w:r w:rsidRPr="007D72B3">
        <w:rPr>
          <w:lang w:val="en-US"/>
        </w:rPr>
        <w:t xml:space="preserve">A Grammar </w:t>
      </w:r>
      <w:r w:rsidRPr="007D72B3">
        <w:rPr>
          <w:rStyle w:val="Bodytext67pt"/>
          <w:lang w:val="en-US"/>
        </w:rPr>
        <w:t xml:space="preserve">of </w:t>
      </w:r>
      <w:r w:rsidRPr="007D72B3">
        <w:rPr>
          <w:lang w:val="en-US"/>
        </w:rPr>
        <w:t xml:space="preserve">Biblical Hebrew, Bd. </w:t>
      </w:r>
      <w:r>
        <w:rPr>
          <w:rStyle w:val="Bodytext67pt"/>
        </w:rPr>
        <w:t xml:space="preserve">I, </w:t>
      </w:r>
      <w:r>
        <w:t xml:space="preserve">§ </w:t>
      </w:r>
      <w:r>
        <w:rPr>
          <w:rStyle w:val="Bodytext67pt"/>
        </w:rPr>
        <w:t>82.</w:t>
      </w:r>
    </w:p>
    <w:p w:rsidR="00BB7EDA" w:rsidRDefault="007D72B3">
      <w:pPr>
        <w:pStyle w:val="Bodytext60"/>
        <w:numPr>
          <w:ilvl w:val="0"/>
          <w:numId w:val="101"/>
        </w:numPr>
        <w:shd w:val="clear" w:color="auto" w:fill="auto"/>
        <w:tabs>
          <w:tab w:val="left" w:pos="313"/>
        </w:tabs>
        <w:spacing w:line="192" w:lineRule="exact"/>
        <w:ind w:left="320" w:hanging="320"/>
        <w:jc w:val="both"/>
      </w:pPr>
      <w:r>
        <w:rPr>
          <w:rStyle w:val="Bodytext67ptSmallCaps"/>
        </w:rPr>
        <w:t xml:space="preserve">Davidson </w:t>
      </w:r>
      <w:r>
        <w:t xml:space="preserve">erklärt die Namensform </w:t>
      </w:r>
      <w:r>
        <w:rPr>
          <w:rStyle w:val="Bodytext675ptItalic"/>
        </w:rPr>
        <w:t>bavel</w:t>
      </w:r>
      <w:r>
        <w:t xml:space="preserve"> als Nebenform von </w:t>
      </w:r>
      <w:r>
        <w:rPr>
          <w:rStyle w:val="Bodytext675ptItalic"/>
        </w:rPr>
        <w:t>balbel</w:t>
      </w:r>
      <w:r>
        <w:t xml:space="preserve"> (= Redupli</w:t>
      </w:r>
      <w:r>
        <w:softHyphen/>
      </w:r>
      <w:r>
        <w:t xml:space="preserve">kation der gesamten zweiradikaligen Wurzel; </w:t>
      </w:r>
      <w:r>
        <w:rPr>
          <w:rStyle w:val="Bodytext67ptSmallCaps"/>
        </w:rPr>
        <w:t xml:space="preserve">Davidson: </w:t>
      </w:r>
      <w:r>
        <w:t xml:space="preserve">Analytical Hebrew and Chaldee Lexicon, S. 87; ebenso: </w:t>
      </w:r>
      <w:r>
        <w:rPr>
          <w:rStyle w:val="Bodytext67ptSmallCaps"/>
        </w:rPr>
        <w:t xml:space="preserve">Vilmar: </w:t>
      </w:r>
      <w:r>
        <w:t>Collegium Biblicum, S. 98).</w:t>
      </w:r>
    </w:p>
    <w:p w:rsidR="00BB7EDA" w:rsidRDefault="007D72B3">
      <w:pPr>
        <w:pStyle w:val="Bodytext60"/>
        <w:numPr>
          <w:ilvl w:val="0"/>
          <w:numId w:val="101"/>
        </w:numPr>
        <w:shd w:val="clear" w:color="auto" w:fill="auto"/>
        <w:tabs>
          <w:tab w:val="left" w:pos="313"/>
        </w:tabs>
        <w:spacing w:line="192" w:lineRule="exact"/>
        <w:ind w:left="320" w:hanging="320"/>
        <w:jc w:val="both"/>
      </w:pPr>
      <w:r>
        <w:rPr>
          <w:rStyle w:val="Bodytext67ptSmallCaps"/>
        </w:rPr>
        <w:t xml:space="preserve">Gesenius/Meyer/Donner: </w:t>
      </w:r>
      <w:r>
        <w:t xml:space="preserve">Hebräisches und aramäisches Handwörterbuch über das Alte Testament, S. 153; </w:t>
      </w:r>
      <w:r>
        <w:rPr>
          <w:rStyle w:val="Bodytext67ptSmallCaps"/>
        </w:rPr>
        <w:t>Köhler/Baumca</w:t>
      </w:r>
      <w:r>
        <w:rPr>
          <w:rStyle w:val="Bodytext67ptSmallCaps"/>
        </w:rPr>
        <w:t xml:space="preserve">rtner: </w:t>
      </w:r>
      <w:r>
        <w:t xml:space="preserve">Hebräisches und aramäisches Lexikon zum Alten Testament, Bd. I, S. 128; </w:t>
      </w:r>
      <w:r>
        <w:rPr>
          <w:rStyle w:val="Bodytext67ptSmallCaps"/>
        </w:rPr>
        <w:t xml:space="preserve">König: </w:t>
      </w:r>
      <w:r>
        <w:t>Hebräisches und aramäisches Wörterbuch zum Alten Testament, S. 41.</w:t>
      </w:r>
    </w:p>
    <w:p w:rsidR="00BB7EDA" w:rsidRDefault="007D72B3">
      <w:pPr>
        <w:pStyle w:val="Bodytext60"/>
        <w:numPr>
          <w:ilvl w:val="0"/>
          <w:numId w:val="101"/>
        </w:numPr>
        <w:shd w:val="clear" w:color="auto" w:fill="auto"/>
        <w:tabs>
          <w:tab w:val="left" w:pos="313"/>
        </w:tabs>
        <w:spacing w:line="192" w:lineRule="exact"/>
        <w:ind w:left="320" w:hanging="320"/>
        <w:jc w:val="both"/>
      </w:pPr>
      <w:r>
        <w:t xml:space="preserve">Z.B. Ex 29,2 </w:t>
      </w:r>
      <w:r>
        <w:rPr>
          <w:rStyle w:val="Bodytext675ptItalic"/>
        </w:rPr>
        <w:t>(matztzoth challoth =</w:t>
      </w:r>
      <w:r>
        <w:t xml:space="preserve"> „durchlöcherte Mazzen"); Ex 29,40 </w:t>
      </w:r>
      <w:r>
        <w:rPr>
          <w:rStyle w:val="Bodytext675ptItalic"/>
        </w:rPr>
        <w:t xml:space="preserve">(soleth = </w:t>
      </w:r>
      <w:r>
        <w:t xml:space="preserve">„Feinmehl"); Lev 7,10 </w:t>
      </w:r>
      <w:r>
        <w:rPr>
          <w:rStyle w:val="Bodytext675ptItalic"/>
        </w:rPr>
        <w:t>(m</w:t>
      </w:r>
      <w:r>
        <w:rPr>
          <w:rStyle w:val="Bodytext675ptItalic"/>
        </w:rPr>
        <w:t>inchah</w:t>
      </w:r>
      <w:r>
        <w:t xml:space="preserve"> = „Speisopfer").</w:t>
      </w:r>
    </w:p>
    <w:p w:rsidR="00BB7EDA" w:rsidRDefault="007D72B3">
      <w:pPr>
        <w:pStyle w:val="Bodytext60"/>
        <w:numPr>
          <w:ilvl w:val="0"/>
          <w:numId w:val="101"/>
        </w:numPr>
        <w:shd w:val="clear" w:color="auto" w:fill="auto"/>
        <w:tabs>
          <w:tab w:val="left" w:pos="313"/>
        </w:tabs>
        <w:spacing w:line="192" w:lineRule="exact"/>
        <w:ind w:left="320" w:hanging="320"/>
        <w:jc w:val="both"/>
        <w:sectPr w:rsidR="00BB7EDA">
          <w:pgSz w:w="7266" w:h="11422"/>
          <w:pgMar w:top="754" w:right="877" w:bottom="1157" w:left="719" w:header="0" w:footer="3" w:gutter="0"/>
          <w:cols w:space="720"/>
          <w:noEndnote/>
          <w:docGrid w:linePitch="360"/>
        </w:sectPr>
      </w:pPr>
      <w:r>
        <w:t xml:space="preserve">Vgl. z.B. </w:t>
      </w:r>
      <w:r>
        <w:rPr>
          <w:rStyle w:val="Bodytext67ptSmallCaps"/>
        </w:rPr>
        <w:t xml:space="preserve">Gesenius/Buhl: </w:t>
      </w:r>
      <w:r>
        <w:t xml:space="preserve">Hebräisches und aramäisches Handwörterbuch über das Alte Testament, S. 101 </w:t>
      </w:r>
      <w:r>
        <w:rPr>
          <w:rStyle w:val="Bodytext675ptItalic"/>
        </w:rPr>
        <w:t>(bll).</w:t>
      </w:r>
    </w:p>
    <w:p w:rsidR="00BB7EDA" w:rsidRDefault="00BB7EDA">
      <w:pPr>
        <w:spacing w:line="138" w:lineRule="exact"/>
        <w:rPr>
          <w:sz w:val="11"/>
          <w:szCs w:val="11"/>
        </w:rPr>
      </w:pPr>
    </w:p>
    <w:p w:rsidR="00BB7EDA" w:rsidRDefault="00BB7EDA">
      <w:pPr>
        <w:rPr>
          <w:sz w:val="2"/>
          <w:szCs w:val="2"/>
        </w:rPr>
        <w:sectPr w:rsidR="00BB7EDA">
          <w:footerReference w:type="even" r:id="rId55"/>
          <w:footerReference w:type="default" r:id="rId56"/>
          <w:headerReference w:type="first" r:id="rId57"/>
          <w:footerReference w:type="first" r:id="rId58"/>
          <w:pgSz w:w="7266" w:h="11422"/>
          <w:pgMar w:top="906" w:right="0" w:bottom="1055" w:left="0" w:header="0" w:footer="3" w:gutter="0"/>
          <w:cols w:space="720"/>
          <w:noEndnote/>
          <w:titlePg/>
          <w:docGrid w:linePitch="360"/>
        </w:sectPr>
      </w:pPr>
    </w:p>
    <w:p w:rsidR="00BB7EDA" w:rsidRDefault="007D72B3">
      <w:pPr>
        <w:pStyle w:val="Bodytext100"/>
        <w:numPr>
          <w:ilvl w:val="0"/>
          <w:numId w:val="102"/>
        </w:numPr>
        <w:shd w:val="clear" w:color="auto" w:fill="auto"/>
        <w:tabs>
          <w:tab w:val="left" w:pos="654"/>
        </w:tabs>
        <w:spacing w:before="0" w:line="230" w:lineRule="exact"/>
        <w:ind w:firstLine="0"/>
      </w:pPr>
      <w:r>
        <w:t>Zur polyphyletischen Entstehung der Sprachen</w:t>
      </w:r>
    </w:p>
    <w:p w:rsidR="00BB7EDA" w:rsidRDefault="007D72B3">
      <w:pPr>
        <w:pStyle w:val="Bodytext20"/>
        <w:shd w:val="clear" w:color="auto" w:fill="auto"/>
        <w:spacing w:before="0"/>
      </w:pPr>
      <w:r>
        <w:t xml:space="preserve">Die biblische Aussage, dass in Babel die eine Ursprache verwirrt worden sei, bedeutet mit anderen Worten gesagt dies: Gott, der Schöpfer, zerstörte durch </w:t>
      </w:r>
      <w:r>
        <w:t>die Gabe verschiedener neuer Sprachen die ursprüngliche Einheit und führte eine Situation der totalen Verwirrung herbei. Dieses Ereignis hatte eine Aufteilung in ver</w:t>
      </w:r>
      <w:r>
        <w:softHyphen/>
        <w:t>schiedene Populations-Gruppen zu Folge.</w:t>
      </w:r>
    </w:p>
    <w:p w:rsidR="00BB7EDA" w:rsidRDefault="007D72B3">
      <w:pPr>
        <w:pStyle w:val="Bodytext20"/>
        <w:shd w:val="clear" w:color="auto" w:fill="auto"/>
        <w:spacing w:before="0" w:after="124"/>
        <w:ind w:firstLine="340"/>
      </w:pPr>
      <w:r>
        <w:t>Man kann aus dem biblischen Bericht von Gen 11 abl</w:t>
      </w:r>
      <w:r>
        <w:t xml:space="preserve">eiten, dass die heute existierenden Sprachen nicht auf </w:t>
      </w:r>
      <w:r>
        <w:rPr>
          <w:rStyle w:val="Bodytext2Italic0"/>
        </w:rPr>
        <w:t>eine</w:t>
      </w:r>
      <w:r>
        <w:t xml:space="preserve"> Ursprache, sondern auf eine </w:t>
      </w:r>
      <w:r>
        <w:rPr>
          <w:rStyle w:val="Bodytext2Italic0"/>
        </w:rPr>
        <w:t>Vielzahl</w:t>
      </w:r>
      <w:r>
        <w:t xml:space="preserve"> von sprachlichen Grundtypen zurückgehen. Dies stimmt genau mit der linguistischen Beobachtung zusammen, dass man die über 6.800 heute gesprochenen Sprachen in </w:t>
      </w:r>
      <w:r>
        <w:t>eine ganze Reihe von verschiedenen Sprachstämmen einteilen muss, wobei man unter den Sprachstämmen jeweils keine genealogische Ver</w:t>
      </w:r>
      <w:r>
        <w:softHyphen/>
        <w:t xml:space="preserve">wandtschaft nachweisen kann. Die Heilige Schrift liefert damit den Rahmen und die Ausgangslage für die Sicht einer </w:t>
      </w:r>
      <w:r>
        <w:rPr>
          <w:rStyle w:val="Bodytext2Italic0"/>
        </w:rPr>
        <w:t>polyphylet</w:t>
      </w:r>
      <w:r>
        <w:rPr>
          <w:rStyle w:val="Bodytext2Italic0"/>
        </w:rPr>
        <w:t>ischen Entstehung</w:t>
      </w:r>
      <w:r>
        <w:rPr>
          <w:vertAlign w:val="superscript"/>
        </w:rPr>
        <w:footnoteReference w:id="200"/>
      </w:r>
      <w:r>
        <w:t xml:space="preserve"> der menschlichen Sprachen.</w:t>
      </w:r>
      <w:r>
        <w:rPr>
          <w:vertAlign w:val="superscript"/>
        </w:rPr>
        <w:footnoteReference w:id="201"/>
      </w:r>
    </w:p>
    <w:p w:rsidR="00BB7EDA" w:rsidRDefault="007D72B3">
      <w:pPr>
        <w:pStyle w:val="Bodytext100"/>
        <w:numPr>
          <w:ilvl w:val="0"/>
          <w:numId w:val="102"/>
        </w:numPr>
        <w:shd w:val="clear" w:color="auto" w:fill="auto"/>
        <w:tabs>
          <w:tab w:val="left" w:pos="663"/>
        </w:tabs>
        <w:spacing w:before="0"/>
        <w:ind w:firstLine="0"/>
      </w:pPr>
      <w:r>
        <w:t>Die Sprachen im Querstand</w:t>
      </w:r>
    </w:p>
    <w:p w:rsidR="00BB7EDA" w:rsidRDefault="007D72B3">
      <w:pPr>
        <w:pStyle w:val="Bodytext20"/>
        <w:shd w:val="clear" w:color="auto" w:fill="auto"/>
        <w:spacing w:before="0" w:line="226" w:lineRule="exact"/>
      </w:pPr>
      <w:r>
        <w:t>Im Zusammenhang mit dem Begriff „Sprachenverwirrung" ist die Feststellung, dass keine einzige Sprache zur anderen in einem Ver</w:t>
      </w:r>
      <w:r>
        <w:softHyphen/>
        <w:t>hältnis von 1:1 steht, sehr bemerkenswert und interessan</w:t>
      </w:r>
      <w:r>
        <w:t>t. Ständen sie in einem Verhältnis von 1:1 zueinander, so wäre es kein Problem, wirklich gute Computer-Übersetzungen zu realisieren. Die Wirk</w:t>
      </w:r>
      <w:r>
        <w:softHyphen/>
        <w:t xml:space="preserve">lichkeit sieht jedoch verwirrend problematisch aus. Wer sich schon mit Hingabe dem Übersetzen aus verschiedensten </w:t>
      </w:r>
      <w:r>
        <w:t>Sprachen gewid</w:t>
      </w:r>
      <w:r>
        <w:softHyphen/>
        <w:t>met hat, weiss wie notvoll diese Tatsache ist. Die ganzen Code- Systeme der Sprachen stehen zueinander in einem „verwirrten" Verhältnis, und dies gilt für alle Ebenen der Langues.</w:t>
      </w:r>
    </w:p>
    <w:p w:rsidR="00BB7EDA" w:rsidRDefault="007D72B3">
      <w:pPr>
        <w:pStyle w:val="Bodytext20"/>
        <w:shd w:val="clear" w:color="auto" w:fill="auto"/>
        <w:spacing w:before="0" w:line="226" w:lineRule="exact"/>
        <w:ind w:firstLine="360"/>
      </w:pPr>
      <w:r>
        <w:t>So hat z.B. jedes Wort einer bestimmten Sprache ein ihm eigen</w:t>
      </w:r>
      <w:r>
        <w:t>es Bedeutungsfeld und befindet sich zusammen mit anderen Wörtern und Begriffen innerhalb einer hierarchischen Ordnung. Ferner ste</w:t>
      </w:r>
      <w:r>
        <w:softHyphen/>
        <w:t>hen Wörter in einem bestimmten Assoziationsverhältnis zu anderen Wörtern, bedingt durch Klang, Etymologie (sozial, religiös, p</w:t>
      </w:r>
      <w:r>
        <w:t>oli</w:t>
      </w:r>
      <w:r>
        <w:softHyphen/>
        <w:t>tisch, wissenschaftlich etc.).</w:t>
      </w:r>
      <w:r>
        <w:rPr>
          <w:vertAlign w:val="superscript"/>
        </w:rPr>
        <w:footnoteReference w:id="202"/>
      </w:r>
      <w:r>
        <w:t xml:space="preserve"> Sucht man in zwei Sprachen Wörter, die genau das gleiche Bedeutungsfeld haben, stößt man bei diesem nicht gerade hoffnungsvollen Unterfangen auf die allergrößten Schwierigkeiten. Es ist kaum möglich, 100%ig deckungsgleic</w:t>
      </w:r>
      <w:r>
        <w:t>he Wörter zu finden. Selbst wenn man Fälle von weitgehender seman</w:t>
      </w:r>
      <w:r>
        <w:softHyphen/>
        <w:t>tischer Deckungsgleichheit gefunden hat, so überrascht es anderer</w:t>
      </w:r>
      <w:r>
        <w:softHyphen/>
        <w:t>seits nicht, wenn man feststellen muss, dass diese Wörter innerhalb der betreffenden Sprachen in einer anderen hierarchische</w:t>
      </w:r>
      <w:r>
        <w:t>n Ord</w:t>
      </w:r>
      <w:r>
        <w:softHyphen/>
        <w:t>nung stehen. Normalerweise überschneiden sich die semantischen Felder. Genau hier liegt ja eines der großen Probleme, wenn jemand mechanisch anhand eines Wörterbuches von einer Sprache in die andere übersetzen will.</w:t>
      </w:r>
    </w:p>
    <w:p w:rsidR="00BB7EDA" w:rsidRDefault="007D72B3">
      <w:pPr>
        <w:pStyle w:val="Bodytext20"/>
        <w:shd w:val="clear" w:color="auto" w:fill="auto"/>
        <w:spacing w:before="0" w:line="226" w:lineRule="exact"/>
        <w:ind w:firstLine="360"/>
      </w:pPr>
      <w:r>
        <w:t xml:space="preserve">Lasst uns von dem Satz </w:t>
      </w:r>
      <w:r>
        <w:rPr>
          <w:rStyle w:val="Bodytext2Italic0"/>
        </w:rPr>
        <w:t>Der Fährman</w:t>
      </w:r>
      <w:r>
        <w:rPr>
          <w:rStyle w:val="Bodytext2Italic0"/>
        </w:rPr>
        <w:t>n hat uns übergesetzt</w:t>
      </w:r>
      <w:r>
        <w:t xml:space="preserve"> ausge</w:t>
      </w:r>
      <w:r>
        <w:softHyphen/>
        <w:t xml:space="preserve">hen. Nun wollen wir ihn auf Französisch übertragen. Nehmen wir an, wir wüssten nicht was </w:t>
      </w:r>
      <w:r>
        <w:rPr>
          <w:rStyle w:val="Bodytext2Italic0"/>
        </w:rPr>
        <w:t>übersetzen</w:t>
      </w:r>
      <w:r>
        <w:t xml:space="preserve"> in der Zielsprache bedeutet. Wir schlagen dieses Wort in einem Wörterbuch nach und finden den Begriff </w:t>
      </w:r>
      <w:r>
        <w:rPr>
          <w:rStyle w:val="Bodytext2Italic0"/>
        </w:rPr>
        <w:t>traduire.</w:t>
      </w:r>
      <w:r>
        <w:t xml:space="preserve"> Doch hier geht d</w:t>
      </w:r>
      <w:r>
        <w:t xml:space="preserve">ie mechanische Übertragung schief. </w:t>
      </w:r>
      <w:r>
        <w:rPr>
          <w:rStyle w:val="Bodytext2Italic0"/>
        </w:rPr>
        <w:t>Traduire</w:t>
      </w:r>
      <w:r>
        <w:t xml:space="preserve"> können wir verwenden, wenn es beispielsweise ums Übersetzen eines Textes von einer Sprache in die andere geht, aber niemals im Zusammenhang mit dem Hinüberfahren von ei</w:t>
      </w:r>
      <w:r>
        <w:softHyphen/>
        <w:t>nem Ufer zum anderen. Den oben genannten Sa</w:t>
      </w:r>
      <w:r>
        <w:t xml:space="preserve">tz muss man unter Verwendung des Verbs </w:t>
      </w:r>
      <w:r>
        <w:rPr>
          <w:rStyle w:val="Bodytext2Italic0"/>
        </w:rPr>
        <w:t>franchir</w:t>
      </w:r>
      <w:r>
        <w:t xml:space="preserve"> übertragen: </w:t>
      </w:r>
      <w:r>
        <w:rPr>
          <w:rStyle w:val="Bodytext2Italic0"/>
        </w:rPr>
        <w:t>Le passeur nous a fait franchir le fleuve.</w:t>
      </w:r>
    </w:p>
    <w:p w:rsidR="00BB7EDA" w:rsidRDefault="007D72B3">
      <w:pPr>
        <w:pStyle w:val="Bodytext20"/>
        <w:shd w:val="clear" w:color="auto" w:fill="auto"/>
        <w:spacing w:before="0" w:line="226" w:lineRule="exact"/>
        <w:ind w:firstLine="360"/>
        <w:sectPr w:rsidR="00BB7EDA">
          <w:type w:val="continuous"/>
          <w:pgSz w:w="7266" w:h="11422"/>
          <w:pgMar w:top="906" w:right="933" w:bottom="1055" w:left="635" w:header="0" w:footer="3" w:gutter="0"/>
          <w:cols w:space="720"/>
          <w:noEndnote/>
          <w:docGrid w:linePitch="360"/>
        </w:sectPr>
      </w:pPr>
      <w:r>
        <w:t>Vielfach findet man in einer anderen Sprache gar kein entspre</w:t>
      </w:r>
      <w:r>
        <w:softHyphen/>
        <w:t>chendes Wort. Trotzdem ist es möglich, alles, was man will, zu überse</w:t>
      </w:r>
      <w:r>
        <w:t>tzen. Auf Französisch gibt es z.B. kein Wort für „über-</w:t>
      </w:r>
    </w:p>
    <w:p w:rsidR="00BB7EDA" w:rsidRDefault="007D72B3">
      <w:pPr>
        <w:pStyle w:val="Bodytext20"/>
        <w:shd w:val="clear" w:color="auto" w:fill="auto"/>
        <w:spacing w:before="0" w:line="226" w:lineRule="exact"/>
      </w:pPr>
      <w:r>
        <w:t>salzen". Es besteht aber die Möglichkeit dieses deutsche Ein-Wort- Konzept gallizistisch</w:t>
      </w:r>
      <w:r>
        <w:rPr>
          <w:vertAlign w:val="superscript"/>
        </w:rPr>
        <w:footnoteReference w:id="203"/>
      </w:r>
      <w:r>
        <w:t xml:space="preserve"> mit drei bis vier Wörtern zu umschreiben: </w:t>
      </w:r>
      <w:r>
        <w:rPr>
          <w:rStyle w:val="Bodytext2Italic0"/>
        </w:rPr>
        <w:t>mettre trop de sei</w:t>
      </w:r>
      <w:r>
        <w:t xml:space="preserve"> oder s</w:t>
      </w:r>
      <w:r>
        <w:rPr>
          <w:rStyle w:val="Bodytext2Italic0"/>
        </w:rPr>
        <w:t>aupoudrer de sei.</w:t>
      </w:r>
    </w:p>
    <w:p w:rsidR="00BB7EDA" w:rsidRDefault="007D72B3">
      <w:pPr>
        <w:pStyle w:val="Bodytext20"/>
        <w:shd w:val="clear" w:color="auto" w:fill="auto"/>
        <w:spacing w:before="0" w:after="116" w:line="226" w:lineRule="exact"/>
        <w:ind w:firstLine="320"/>
      </w:pPr>
      <w:r>
        <w:t xml:space="preserve">Charles F. </w:t>
      </w:r>
      <w:r>
        <w:rPr>
          <w:rStyle w:val="Bodytext28ptSmallCaps"/>
        </w:rPr>
        <w:t xml:space="preserve">Hocket </w:t>
      </w:r>
      <w:r>
        <w:t xml:space="preserve">hat es </w:t>
      </w:r>
      <w:r>
        <w:t>sehr prägnant formuliert:</w:t>
      </w:r>
    </w:p>
    <w:p w:rsidR="00BB7EDA" w:rsidRDefault="007D72B3">
      <w:pPr>
        <w:pStyle w:val="Bodytext20"/>
        <w:shd w:val="clear" w:color="auto" w:fill="auto"/>
        <w:spacing w:before="0" w:after="120"/>
        <w:ind w:left="320" w:right="320"/>
      </w:pPr>
      <w:r>
        <w:t>„Die Sprachen unterscheiden sich weniger in dem, was in ihnen gesagt werden kann, sondern darin, wie leicht es gesagt werden kann."</w:t>
      </w:r>
      <w:r>
        <w:rPr>
          <w:vertAlign w:val="superscript"/>
        </w:rPr>
        <w:footnoteReference w:id="204"/>
      </w:r>
    </w:p>
    <w:p w:rsidR="00BB7EDA" w:rsidRDefault="007D72B3">
      <w:pPr>
        <w:pStyle w:val="Bodytext20"/>
        <w:shd w:val="clear" w:color="auto" w:fill="auto"/>
        <w:spacing w:before="0"/>
        <w:ind w:firstLine="320"/>
      </w:pPr>
      <w:r>
        <w:t>Wir sehen: Das Vokabular der Sprachen ist im Vergleich mitein</w:t>
      </w:r>
      <w:r>
        <w:softHyphen/>
        <w:t xml:space="preserve">ander „verwirrt". Die in den </w:t>
      </w:r>
      <w:r>
        <w:t>Wörtern ausgedrückten Konzepte und Bedeutungen sind „vermischt", wie Öl und Mehl im Teig. Wenn dies schon für Sprachen innerhalb eines bestimmten Sprachstammes der Fall ist, wie am Beispiel der indogermanischen Sprachen Franzö</w:t>
      </w:r>
      <w:r>
        <w:softHyphen/>
        <w:t>sisch und Deutsch soeben etwa</w:t>
      </w:r>
      <w:r>
        <w:t>s illustriert worden ist, wie viel mehr gilt dies doch beim Vergleich von Sprachen aus verschiedenen Sprachstämmen!</w:t>
      </w:r>
    </w:p>
    <w:p w:rsidR="00BB7EDA" w:rsidRDefault="007D72B3">
      <w:pPr>
        <w:pStyle w:val="Bodytext20"/>
        <w:shd w:val="clear" w:color="auto" w:fill="auto"/>
        <w:spacing w:before="0" w:after="165" w:line="226" w:lineRule="exact"/>
        <w:ind w:firstLine="320"/>
      </w:pPr>
      <w:r>
        <w:t>Dieser Querstand der Sprachen untereinander gilt aber nicht nur für den Bereich des Vokabulars, sondern genauso für alle anderen Aspekte der</w:t>
      </w:r>
      <w:r>
        <w:t xml:space="preserve"> Langues, und zwar auf allen Ebenen. Wenn wir z.B. das deutsche Verbalsystem mit dem klassischen Hebräi</w:t>
      </w:r>
      <w:r>
        <w:softHyphen/>
        <w:t>schen vergleichen wollen, so liegen hier Welten dazwischen. Im Deutschen ist man an die Tatsache der verschiedenen Zeitstufen wie Präteritum, Plusquampe</w:t>
      </w:r>
      <w:r>
        <w:t>rfekt, Perfekt, Präsens sowie Futur I und II gewöhnt. Im Bibel-Hebräischen ist das Tempussystem - falls man hier überhaupt diesen selben Ausdruck verwenden darf -völlig anders aufgebaut. Der Querstand geht so weit, dass z.B. ein und dieselbe hebräische Wor</w:t>
      </w:r>
      <w:r>
        <w:t>tform ins Deutsche übertragen in einem bestimmten Fall mit Futur I, in einem anderen aber bei</w:t>
      </w:r>
      <w:r>
        <w:softHyphen/>
        <w:t xml:space="preserve">spielsweise mit Präteritum übersetzt werden muss. Obwohl das eine Verbalsystem sich total von dem anderen unterscheidet, kann dennoch jeder beliebig Text korrekt </w:t>
      </w:r>
      <w:r>
        <w:t>von der einen in die andere Sprache übertragen werden. Die „Oberflächenstruktur" der Spra</w:t>
      </w:r>
      <w:r>
        <w:softHyphen/>
        <w:t>chen unterscheidet sich in gewaltigem Maße voneinander. Doch die „Tiefenstruktur" ist weltweit bei allen Völkern und Stämmen gleich.</w:t>
      </w:r>
    </w:p>
    <w:p w:rsidR="00BB7EDA" w:rsidRDefault="007D72B3">
      <w:pPr>
        <w:pStyle w:val="Bodytext100"/>
        <w:shd w:val="clear" w:color="auto" w:fill="auto"/>
        <w:spacing w:before="0" w:after="76" w:line="170" w:lineRule="exact"/>
        <w:ind w:firstLine="0"/>
      </w:pPr>
      <w:r>
        <w:t>4.3.43 „Oberflächenstruktur" verw</w:t>
      </w:r>
      <w:r>
        <w:t>irrt - „Tiefenstruktur" intakt</w:t>
      </w:r>
    </w:p>
    <w:p w:rsidR="00BB7EDA" w:rsidRDefault="007D72B3">
      <w:pPr>
        <w:pStyle w:val="Bodytext20"/>
        <w:shd w:val="clear" w:color="auto" w:fill="auto"/>
        <w:spacing w:before="0" w:line="180" w:lineRule="exact"/>
      </w:pPr>
      <w:r>
        <w:t xml:space="preserve">Das Ereignis der Sprachenverwirrung von Gen 11 können wir nun mit Hilfe von Begriffen aus der „generativen Schule" von </w:t>
      </w:r>
      <w:r>
        <w:rPr>
          <w:rStyle w:val="Bodytext28ptSmallCaps"/>
        </w:rPr>
        <w:t xml:space="preserve">Chomsky </w:t>
      </w:r>
      <w:r>
        <w:t>wie folgt umschreiben:</w:t>
      </w:r>
      <w:r>
        <w:rPr>
          <w:vertAlign w:val="superscript"/>
        </w:rPr>
        <w:footnoteReference w:id="205"/>
      </w:r>
    </w:p>
    <w:p w:rsidR="00BB7EDA" w:rsidRDefault="007D72B3">
      <w:pPr>
        <w:pStyle w:val="Bodytext20"/>
        <w:shd w:val="clear" w:color="auto" w:fill="auto"/>
        <w:spacing w:before="0" w:after="457" w:line="226" w:lineRule="exact"/>
        <w:ind w:firstLine="320"/>
      </w:pPr>
      <w:r>
        <w:t>Gott verwirrte die sprachliche „Oberflächenstruktur" der mensch</w:t>
      </w:r>
      <w:r>
        <w:softHyphen/>
        <w:t>lichen Urg</w:t>
      </w:r>
      <w:r>
        <w:t>esellschaft in Babel solcherart, dass die verschiedenen Stammesgruppen je völlig verschiedene Code-Systeme (Langues) erhielten, die untereinander auf allen Ebenen im Querstand lagen. Die „Tiefenstruktur" blieb jedoch intakt. Dank der Tatsache, dass die „Ti</w:t>
      </w:r>
      <w:r>
        <w:t>efenstruktur" aller Menschen unverändert blieb, war und ist es möglich, von jeder Sprache aus in jede beliebige andere Sprache korrekt und angemessen zu übersetzen. Jedes x-beliebige Konzept in der „Tiefenstruktur" kann in jede existierende „Oberflächen</w:t>
      </w:r>
      <w:r>
        <w:softHyphen/>
        <w:t>st</w:t>
      </w:r>
      <w:r>
        <w:t>ruktur" transformiert werden.</w:t>
      </w:r>
    </w:p>
    <w:p w:rsidR="00BB7EDA" w:rsidRDefault="007D72B3">
      <w:pPr>
        <w:pStyle w:val="Bodytext20"/>
        <w:numPr>
          <w:ilvl w:val="0"/>
          <w:numId w:val="103"/>
        </w:numPr>
        <w:shd w:val="clear" w:color="auto" w:fill="auto"/>
        <w:tabs>
          <w:tab w:val="left" w:pos="510"/>
        </w:tabs>
        <w:spacing w:before="0" w:after="218" w:line="180" w:lineRule="exact"/>
        <w:ind w:left="320" w:hanging="320"/>
      </w:pPr>
      <w:r>
        <w:t>Welche Sprache wurde vor der Verwirrung gesprochen?</w:t>
      </w:r>
    </w:p>
    <w:p w:rsidR="00BB7EDA" w:rsidRDefault="007D72B3">
      <w:pPr>
        <w:pStyle w:val="Bodytext100"/>
        <w:numPr>
          <w:ilvl w:val="0"/>
          <w:numId w:val="104"/>
        </w:numPr>
        <w:shd w:val="clear" w:color="auto" w:fill="auto"/>
        <w:tabs>
          <w:tab w:val="left" w:pos="644"/>
        </w:tabs>
        <w:spacing w:before="0"/>
        <w:ind w:left="320" w:hanging="320"/>
      </w:pPr>
      <w:r>
        <w:t>Semitische Eigennamen</w:t>
      </w:r>
    </w:p>
    <w:p w:rsidR="00BB7EDA" w:rsidRDefault="007D72B3">
      <w:pPr>
        <w:pStyle w:val="Bodytext20"/>
        <w:shd w:val="clear" w:color="auto" w:fill="auto"/>
        <w:spacing w:before="0" w:after="176" w:line="226" w:lineRule="exact"/>
      </w:pPr>
      <w:r>
        <w:t>Die Sprache vor der babylonischen Verwirrung wird nirgends in der Bibel namentlich bezeichnet. Dennoch gibt es einige Hinweise dar</w:t>
      </w:r>
      <w:r>
        <w:softHyphen/>
        <w:t xml:space="preserve">auf, dass es sich um </w:t>
      </w:r>
      <w:r>
        <w:t>eine semitische Sprache gehandelt haben muss. Bei den zahlreichen in den ersten Kapiteln der Genesis genannten Eigennamen von Menschen aus der Zeit vor der Flut, handelt es sich offensichtlich um semitische Namen. Dasselbe gilt auch für die vielen geograph</w:t>
      </w:r>
      <w:r>
        <w:t>ischen Bezeichnungen in diesem Bibelteil. In den meisten Fällen ist es sogar sehr einfach möglich, diese Namen ety</w:t>
      </w:r>
      <w:r>
        <w:softHyphen/>
        <w:t>mologisch auf semitische Wortwurzeln zurückzuführen und sie in ihrer Bedeutung dem Kontext angemessen überzeugend zu klären.</w:t>
      </w:r>
    </w:p>
    <w:p w:rsidR="00BB7EDA" w:rsidRDefault="007D72B3">
      <w:pPr>
        <w:pStyle w:val="Bodytext100"/>
        <w:numPr>
          <w:ilvl w:val="0"/>
          <w:numId w:val="104"/>
        </w:numPr>
        <w:shd w:val="clear" w:color="auto" w:fill="auto"/>
        <w:tabs>
          <w:tab w:val="left" w:pos="654"/>
        </w:tabs>
        <w:spacing w:before="0" w:line="230" w:lineRule="exact"/>
        <w:ind w:left="320" w:hanging="320"/>
      </w:pPr>
      <w:r>
        <w:t>Die Namen der ze</w:t>
      </w:r>
      <w:r>
        <w:t>hn Patriarchen vor der Flut</w:t>
      </w:r>
    </w:p>
    <w:p w:rsidR="00BB7EDA" w:rsidRDefault="007D72B3">
      <w:pPr>
        <w:pStyle w:val="Bodytext20"/>
        <w:shd w:val="clear" w:color="auto" w:fill="auto"/>
        <w:spacing w:before="0"/>
      </w:pPr>
      <w:r>
        <w:t>Nachfolgend wollen wir anhand von Gen 5 als Beispiel die Eigenna</w:t>
      </w:r>
      <w:r>
        <w:softHyphen/>
        <w:t>men der Patriarchen etymologisch untersuchen:</w:t>
      </w:r>
    </w:p>
    <w:p w:rsidR="00BB7EDA" w:rsidRDefault="007D72B3">
      <w:pPr>
        <w:pStyle w:val="Bodytext20"/>
        <w:numPr>
          <w:ilvl w:val="0"/>
          <w:numId w:val="105"/>
        </w:numPr>
        <w:shd w:val="clear" w:color="auto" w:fill="auto"/>
        <w:tabs>
          <w:tab w:val="left" w:pos="274"/>
        </w:tabs>
        <w:spacing w:before="0" w:line="226" w:lineRule="exact"/>
        <w:ind w:left="320" w:hanging="320"/>
      </w:pPr>
      <w:r>
        <w:t xml:space="preserve">Der Name </w:t>
      </w:r>
      <w:r>
        <w:rPr>
          <w:rStyle w:val="Bodytext2Italic0"/>
        </w:rPr>
        <w:t>’adam</w:t>
      </w:r>
      <w:r>
        <w:t xml:space="preserve"> (Gen 5,1) ist verwandt mit dem Wort </w:t>
      </w:r>
      <w:r>
        <w:rPr>
          <w:rStyle w:val="Bodytext2Italic0"/>
        </w:rPr>
        <w:t xml:space="preserve">'adamah </w:t>
      </w:r>
      <w:r>
        <w:t>(„roter Erdboden", „rote Ackererde"; vgl. Gen 2,7). Sowohl</w:t>
      </w:r>
      <w:r>
        <w:t xml:space="preserve"> </w:t>
      </w:r>
      <w:r>
        <w:rPr>
          <w:rStyle w:val="Bodytext2Italic0"/>
        </w:rPr>
        <w:t xml:space="preserve">’adam </w:t>
      </w:r>
      <w:r>
        <w:t xml:space="preserve">wie auch </w:t>
      </w:r>
      <w:r>
        <w:rPr>
          <w:rStyle w:val="Bodytext2Italic0"/>
        </w:rPr>
        <w:t>'adamah</w:t>
      </w:r>
      <w:r>
        <w:t xml:space="preserve"> gehen etymologisch zurück auf die Verbal</w:t>
      </w:r>
      <w:r>
        <w:softHyphen/>
        <w:t xml:space="preserve">wurzel </w:t>
      </w:r>
      <w:r>
        <w:rPr>
          <w:rStyle w:val="Bodytext2Italic0"/>
        </w:rPr>
        <w:t>’adam</w:t>
      </w:r>
      <w:r>
        <w:t xml:space="preserve"> („rot sein"). Der erste Mensch wurde von Gott aus</w:t>
      </w:r>
    </w:p>
    <w:p w:rsidR="00BB7EDA" w:rsidRDefault="007D72B3">
      <w:pPr>
        <w:pStyle w:val="Bodytext20"/>
        <w:shd w:val="clear" w:color="auto" w:fill="auto"/>
        <w:spacing w:before="0" w:after="56" w:line="226" w:lineRule="exact"/>
        <w:ind w:left="320"/>
      </w:pPr>
      <w:r>
        <w:t xml:space="preserve">Erde gebildet. Man könnte daher </w:t>
      </w:r>
      <w:r>
        <w:rPr>
          <w:rStyle w:val="Bodytext2Italic0"/>
        </w:rPr>
        <w:t>Adam</w:t>
      </w:r>
      <w:r>
        <w:t xml:space="preserve"> treffend als „Erdling" wiedergeben. </w:t>
      </w:r>
      <w:r>
        <w:rPr>
          <w:rStyle w:val="Bodytext2Italic0"/>
        </w:rPr>
        <w:t>Adam</w:t>
      </w:r>
      <w:r>
        <w:t xml:space="preserve"> ist im Hebräischen sowohl ein Eigenname als auch e</w:t>
      </w:r>
      <w:r>
        <w:t>in gewöhnliches Substantiv, letzteres mit der Bedeu</w:t>
      </w:r>
      <w:r>
        <w:softHyphen/>
        <w:t>tung „Mensch". Somit bezeichnet der Name „Adam" den Men</w:t>
      </w:r>
      <w:r>
        <w:softHyphen/>
        <w:t>schen als das Wesen, das einst moralisch gut und perfekt aus der Hand Gottes vorgegangen ist (vgl. Pred 7,29a).</w:t>
      </w:r>
    </w:p>
    <w:p w:rsidR="00BB7EDA" w:rsidRDefault="007D72B3">
      <w:pPr>
        <w:pStyle w:val="Bodytext20"/>
        <w:numPr>
          <w:ilvl w:val="0"/>
          <w:numId w:val="105"/>
        </w:numPr>
        <w:shd w:val="clear" w:color="auto" w:fill="auto"/>
        <w:tabs>
          <w:tab w:val="left" w:pos="282"/>
        </w:tabs>
        <w:spacing w:before="0" w:after="60"/>
        <w:ind w:left="320" w:hanging="320"/>
      </w:pPr>
      <w:r>
        <w:rPr>
          <w:rStyle w:val="Bodytext2Italic0"/>
        </w:rPr>
        <w:t>set</w:t>
      </w:r>
      <w:r>
        <w:rPr>
          <w:rStyle w:val="Bodytext2Italic0"/>
          <w:vertAlign w:val="superscript"/>
        </w:rPr>
        <w:t>m</w:t>
      </w:r>
      <w:r>
        <w:t xml:space="preserve"> (Gen 5,3; 4,25) bedeutet „Ersat</w:t>
      </w:r>
      <w:r>
        <w:t xml:space="preserve">z". Dieser Name hängt mit der Wortwurzel </w:t>
      </w:r>
      <w:r>
        <w:rPr>
          <w:rStyle w:val="Bodytext2Italic0"/>
        </w:rPr>
        <w:t>sit</w:t>
      </w:r>
      <w:r>
        <w:t xml:space="preserve"> („setzen", „stellen", „legen") zusammen. Seth war ja ein Ersatz für den ermordeten Abel, indem er an seine Stelle als Träger der Verheißung gesetzt wurde (Gen 4,25).</w:t>
      </w:r>
    </w:p>
    <w:p w:rsidR="00BB7EDA" w:rsidRDefault="007D72B3">
      <w:pPr>
        <w:pStyle w:val="Bodytext20"/>
        <w:numPr>
          <w:ilvl w:val="0"/>
          <w:numId w:val="105"/>
        </w:numPr>
        <w:shd w:val="clear" w:color="auto" w:fill="auto"/>
        <w:tabs>
          <w:tab w:val="left" w:pos="282"/>
        </w:tabs>
        <w:spacing w:before="0" w:after="64"/>
        <w:ind w:left="320" w:hanging="320"/>
      </w:pPr>
      <w:r>
        <w:rPr>
          <w:rStyle w:val="Bodytext2Italic0"/>
        </w:rPr>
        <w:t>’enos</w:t>
      </w:r>
      <w:r>
        <w:t xml:space="preserve"> (Gen 5,6; 4,26) ist von der Wortwurzel </w:t>
      </w:r>
      <w:r>
        <w:rPr>
          <w:rStyle w:val="Bodytext2Italic0"/>
        </w:rPr>
        <w:t>’anas</w:t>
      </w:r>
      <w:r>
        <w:t xml:space="preserve"> („sterblich", „sündig", „verderbt", „böse sein"; vgl. Jer. 17,9: </w:t>
      </w:r>
      <w:r>
        <w:rPr>
          <w:rStyle w:val="Bodytext2Italic0"/>
        </w:rPr>
        <w:t>'anus</w:t>
      </w:r>
      <w:r>
        <w:t xml:space="preserve"> = „ver</w:t>
      </w:r>
      <w:r>
        <w:softHyphen/>
        <w:t>derbt", „bösartig") ableitbar. Dieser Name entspricht daher unse</w:t>
      </w:r>
      <w:r>
        <w:softHyphen/>
        <w:t>rer deutsch-poetischen Bezeichnung des Menschen als „Sterbli</w:t>
      </w:r>
      <w:r>
        <w:softHyphen/>
        <w:t>cher", allerdings mit dem Nebenbegriff des Bös</w:t>
      </w:r>
      <w:r>
        <w:t>en und Sündigen.</w:t>
      </w:r>
    </w:p>
    <w:p w:rsidR="00BB7EDA" w:rsidRDefault="007D72B3">
      <w:pPr>
        <w:pStyle w:val="Bodytext20"/>
        <w:numPr>
          <w:ilvl w:val="0"/>
          <w:numId w:val="105"/>
        </w:numPr>
        <w:shd w:val="clear" w:color="auto" w:fill="auto"/>
        <w:tabs>
          <w:tab w:val="left" w:pos="282"/>
        </w:tabs>
        <w:spacing w:before="0" w:after="60" w:line="226" w:lineRule="exact"/>
        <w:ind w:left="320" w:hanging="320"/>
      </w:pPr>
      <w:r>
        <w:rPr>
          <w:rStyle w:val="Bodytext2Italic0"/>
        </w:rPr>
        <w:t>qenan</w:t>
      </w:r>
      <w:r>
        <w:t xml:space="preserve"> (Gen 5,9) leitet sich von einer </w:t>
      </w:r>
      <w:r>
        <w:rPr>
          <w:rStyle w:val="Bodytext2Italic0"/>
        </w:rPr>
        <w:t>qun</w:t>
      </w:r>
      <w:r>
        <w:t xml:space="preserve"> lautenden hohlen Wort</w:t>
      </w:r>
      <w:r>
        <w:softHyphen/>
        <w:t>wurzel</w:t>
      </w:r>
      <w:r>
        <w:rPr>
          <w:vertAlign w:val="superscript"/>
        </w:rPr>
        <w:footnoteReference w:id="206"/>
      </w:r>
      <w:r>
        <w:rPr>
          <w:vertAlign w:val="superscript"/>
        </w:rPr>
        <w:t xml:space="preserve"> </w:t>
      </w:r>
      <w:r>
        <w:rPr>
          <w:vertAlign w:val="superscript"/>
        </w:rPr>
        <w:footnoteReference w:id="207"/>
      </w:r>
      <w:r>
        <w:t xml:space="preserve"> her. In den semitischen Sprachen gibt es aber öfter mehrere gleichklingende Wortwurzeln. So ist es auch in diesem Fall. Je nachdem von welcher Wurzel </w:t>
      </w:r>
      <w:r>
        <w:rPr>
          <w:rStyle w:val="Bodytext2Italic0"/>
        </w:rPr>
        <w:t>qun</w:t>
      </w:r>
      <w:r>
        <w:t xml:space="preserve"> man diesen Namen herleitet, kann man </w:t>
      </w:r>
      <w:r>
        <w:rPr>
          <w:rStyle w:val="Bodytext2Italic0"/>
        </w:rPr>
        <w:t>qenan</w:t>
      </w:r>
      <w:r>
        <w:t xml:space="preserve"> entweder mit „Schmied", „Metall</w:t>
      </w:r>
      <w:r>
        <w:softHyphen/>
        <w:t>handwerker" oder mit „Klagender" übersetzen (</w:t>
      </w:r>
      <w:r>
        <w:rPr>
          <w:rStyle w:val="Bodytext2Italic0"/>
        </w:rPr>
        <w:t>qun l =</w:t>
      </w:r>
      <w:r>
        <w:t xml:space="preserve"> in der Pilel-Form: „klagen"; </w:t>
      </w:r>
      <w:r>
        <w:rPr>
          <w:rStyle w:val="Bodytext2Italic0"/>
        </w:rPr>
        <w:t>qun</w:t>
      </w:r>
      <w:r>
        <w:t xml:space="preserve"> II = „formen", „schmieden").</w:t>
      </w:r>
    </w:p>
    <w:p w:rsidR="00BB7EDA" w:rsidRDefault="007D72B3">
      <w:pPr>
        <w:pStyle w:val="Bodytext20"/>
        <w:numPr>
          <w:ilvl w:val="0"/>
          <w:numId w:val="105"/>
        </w:numPr>
        <w:shd w:val="clear" w:color="auto" w:fill="auto"/>
        <w:tabs>
          <w:tab w:val="left" w:pos="282"/>
        </w:tabs>
        <w:spacing w:before="0" w:after="56" w:line="226" w:lineRule="exact"/>
        <w:ind w:left="320" w:hanging="320"/>
      </w:pPr>
      <w:r>
        <w:rPr>
          <w:rStyle w:val="Bodytext2Italic0"/>
        </w:rPr>
        <w:t>mahalal'el</w:t>
      </w:r>
      <w:r>
        <w:t xml:space="preserve"> (Gen 5,12) bedeutet „Gott ist lobenswürdig" (</w:t>
      </w:r>
      <w:r>
        <w:rPr>
          <w:rStyle w:val="Bodytext2Italic0"/>
        </w:rPr>
        <w:t>mahalal</w:t>
      </w:r>
      <w:r>
        <w:t xml:space="preserve"> =</w:t>
      </w:r>
      <w:r>
        <w:t xml:space="preserve"> lobenswürdig, von der Wurzel </w:t>
      </w:r>
      <w:r>
        <w:rPr>
          <w:rStyle w:val="Bodytext2Italic0"/>
        </w:rPr>
        <w:t>halal,</w:t>
      </w:r>
      <w:r>
        <w:t xml:space="preserve"> die im Pi'el-Stamm „loben" bedeutet, </w:t>
      </w:r>
      <w:r>
        <w:rPr>
          <w:rStyle w:val="Bodytext2Italic0"/>
        </w:rPr>
        <w:t>'el</w:t>
      </w:r>
      <w:r>
        <w:t xml:space="preserve"> = Gott).</w:t>
      </w:r>
    </w:p>
    <w:p w:rsidR="00BB7EDA" w:rsidRDefault="007D72B3">
      <w:pPr>
        <w:pStyle w:val="Bodytext20"/>
        <w:numPr>
          <w:ilvl w:val="0"/>
          <w:numId w:val="105"/>
        </w:numPr>
        <w:shd w:val="clear" w:color="auto" w:fill="auto"/>
        <w:tabs>
          <w:tab w:val="left" w:pos="282"/>
        </w:tabs>
        <w:spacing w:before="0" w:after="64"/>
        <w:ind w:left="320" w:hanging="320"/>
      </w:pPr>
      <w:r>
        <w:rPr>
          <w:rStyle w:val="Bodytext2Italic0"/>
        </w:rPr>
        <w:t>jered</w:t>
      </w:r>
      <w:r>
        <w:t xml:space="preserve"> (Gen 5,15) bedeutet „Abstieg", „Herniederkunft" und ist auf die Verbalwurzel </w:t>
      </w:r>
      <w:r>
        <w:rPr>
          <w:rStyle w:val="Bodytext2Italic0"/>
        </w:rPr>
        <w:t>jarad</w:t>
      </w:r>
      <w:r>
        <w:t xml:space="preserve"> („herabsteigen") zurückzuführen.</w:t>
      </w:r>
    </w:p>
    <w:p w:rsidR="00BB7EDA" w:rsidRDefault="007D72B3">
      <w:pPr>
        <w:pStyle w:val="Bodytext20"/>
        <w:numPr>
          <w:ilvl w:val="0"/>
          <w:numId w:val="105"/>
        </w:numPr>
        <w:shd w:val="clear" w:color="auto" w:fill="auto"/>
        <w:tabs>
          <w:tab w:val="left" w:pos="282"/>
        </w:tabs>
        <w:spacing w:before="0" w:after="60" w:line="226" w:lineRule="exact"/>
        <w:ind w:left="320" w:hanging="320"/>
      </w:pPr>
      <w:r>
        <w:rPr>
          <w:rStyle w:val="Bodytext2Italic0"/>
        </w:rPr>
        <w:t>chanokh</w:t>
      </w:r>
      <w:r>
        <w:t xml:space="preserve"> (Gen 5,18) heißt „Geweihter" oder „Eing</w:t>
      </w:r>
      <w:r>
        <w:t xml:space="preserve">eweihter" (von der Wurzel </w:t>
      </w:r>
      <w:r>
        <w:rPr>
          <w:rStyle w:val="Bodytext2Italic0"/>
        </w:rPr>
        <w:t>chanakh</w:t>
      </w:r>
      <w:r>
        <w:t xml:space="preserve"> = „weihen", „einweihen").</w:t>
      </w:r>
    </w:p>
    <w:p w:rsidR="00BB7EDA" w:rsidRDefault="007D72B3">
      <w:pPr>
        <w:pStyle w:val="Bodytext20"/>
        <w:numPr>
          <w:ilvl w:val="0"/>
          <w:numId w:val="105"/>
        </w:numPr>
        <w:shd w:val="clear" w:color="auto" w:fill="auto"/>
        <w:tabs>
          <w:tab w:val="left" w:pos="282"/>
        </w:tabs>
        <w:spacing w:before="0" w:line="226" w:lineRule="exact"/>
        <w:ind w:left="320" w:hanging="320"/>
      </w:pPr>
      <w:r>
        <w:rPr>
          <w:rStyle w:val="Bodytext2Italic0"/>
        </w:rPr>
        <w:t>methuselach</w:t>
      </w:r>
      <w:r>
        <w:t xml:space="preserve"> (Gen 5,21) könnte man als „Mann des Wurfgeschos</w:t>
      </w:r>
      <w:r>
        <w:softHyphen/>
        <w:t xml:space="preserve">ses" übersetzen. Der Wortteil </w:t>
      </w:r>
      <w:r>
        <w:rPr>
          <w:rStyle w:val="Bodytext2Italic0"/>
        </w:rPr>
        <w:t>methu</w:t>
      </w:r>
      <w:r>
        <w:t xml:space="preserve"> bedeutet „Mann". Es han</w:t>
      </w:r>
      <w:r>
        <w:softHyphen/>
      </w:r>
      <w:r>
        <w:t xml:space="preserve">delt sich um einen Wortteil, der öfter in semitischen Eigennamen vorkommt. Der zweite Teil geht auf die Wurzel </w:t>
      </w:r>
      <w:r>
        <w:rPr>
          <w:rStyle w:val="Bodytext2Italic0"/>
        </w:rPr>
        <w:t>salach</w:t>
      </w:r>
      <w:r>
        <w:t xml:space="preserve"> („werfen") zurück. Wenn man den Namen anders aufteilt, nämlich in </w:t>
      </w:r>
      <w:r>
        <w:rPr>
          <w:rStyle w:val="Bodytext2Italic0"/>
        </w:rPr>
        <w:t xml:space="preserve">meth </w:t>
      </w:r>
      <w:r>
        <w:t xml:space="preserve">und </w:t>
      </w:r>
      <w:r>
        <w:rPr>
          <w:rStyle w:val="Bodytext2Italic0"/>
        </w:rPr>
        <w:t>u-selach,</w:t>
      </w:r>
      <w:r>
        <w:t xml:space="preserve"> so bedetet er: „Ist er tot, so wird er es senden" (</w:t>
      </w:r>
      <w:r>
        <w:rPr>
          <w:rStyle w:val="Bodytext2Italic0"/>
        </w:rPr>
        <w:t>me</w:t>
      </w:r>
      <w:r>
        <w:rPr>
          <w:rStyle w:val="Bodytext2Italic0"/>
        </w:rPr>
        <w:t xml:space="preserve">th </w:t>
      </w:r>
      <w:r>
        <w:t xml:space="preserve">= „tot", </w:t>
      </w:r>
      <w:r>
        <w:rPr>
          <w:rStyle w:val="Bodytext2Italic0"/>
        </w:rPr>
        <w:t>u-salach =</w:t>
      </w:r>
      <w:r>
        <w:t xml:space="preserve"> „und/so wird er senden"). Übrigens: Wenn man die Chronologie in Gen 5 durchrechnet, so stellt man fest, dass die Sintflut exakt im Todesjahr Methusalahs einsetzte und die ganze Welt vernichtete!</w:t>
      </w:r>
    </w:p>
    <w:p w:rsidR="00BB7EDA" w:rsidRDefault="007D72B3">
      <w:pPr>
        <w:pStyle w:val="Bodytext20"/>
        <w:numPr>
          <w:ilvl w:val="0"/>
          <w:numId w:val="105"/>
        </w:numPr>
        <w:shd w:val="clear" w:color="auto" w:fill="auto"/>
        <w:tabs>
          <w:tab w:val="left" w:pos="281"/>
        </w:tabs>
        <w:spacing w:before="0"/>
        <w:ind w:left="320" w:hanging="320"/>
      </w:pPr>
      <w:r>
        <w:rPr>
          <w:rStyle w:val="Bodytext2Italic0"/>
        </w:rPr>
        <w:t>lamekh</w:t>
      </w:r>
      <w:r>
        <w:t xml:space="preserve"> (Gen 5,25) ist ein sei tener Na</w:t>
      </w:r>
      <w:r>
        <w:t xml:space="preserve">me. Man kennt ihn nur von den zwei vorsintflutlichen Personen aus Gen 4,19 und 5,25. Auch in den unzähligen Inschriften des Nahen Ostens hat man bis heute keine Parallele dazu gefunden. Nicht einmal die Wortwurzel </w:t>
      </w:r>
      <w:r>
        <w:rPr>
          <w:rStyle w:val="Bodytext2Italic0"/>
        </w:rPr>
        <w:t>lamakh</w:t>
      </w:r>
      <w:r>
        <w:t xml:space="preserve"> hat man in irgendeiner semitischen </w:t>
      </w:r>
      <w:r>
        <w:t xml:space="preserve">Sprache gefunden. Die Übersetzung dieses Namens ist daher schwierig. Man könnte jedoch einen Zusammenhang mit dem arabischen Wort </w:t>
      </w:r>
      <w:r>
        <w:rPr>
          <w:rStyle w:val="Bodytext2Italic0"/>
        </w:rPr>
        <w:t xml:space="preserve">jilinak </w:t>
      </w:r>
      <w:r>
        <w:t xml:space="preserve">(beachte die Konsonanten </w:t>
      </w:r>
      <w:r>
        <w:rPr>
          <w:rStyle w:val="Bodytext2Italic0"/>
        </w:rPr>
        <w:t>1, m, k)</w:t>
      </w:r>
      <w:r>
        <w:t xml:space="preserve"> sehen. So kommen wir zur Übersetzung „gewalttätiger Mensch" oder „starker junger Man</w:t>
      </w:r>
      <w:r>
        <w:t>n".</w:t>
      </w:r>
    </w:p>
    <w:p w:rsidR="00BB7EDA" w:rsidRDefault="007D72B3">
      <w:pPr>
        <w:pStyle w:val="Bodytext20"/>
        <w:numPr>
          <w:ilvl w:val="0"/>
          <w:numId w:val="105"/>
        </w:numPr>
        <w:shd w:val="clear" w:color="auto" w:fill="auto"/>
        <w:tabs>
          <w:tab w:val="left" w:pos="342"/>
        </w:tabs>
        <w:spacing w:before="0" w:after="180" w:line="226" w:lineRule="exact"/>
        <w:ind w:left="320" w:hanging="320"/>
      </w:pPr>
      <w:r>
        <w:rPr>
          <w:rStyle w:val="Bodytext2Italic0"/>
        </w:rPr>
        <w:t>mach</w:t>
      </w:r>
      <w:r>
        <w:t xml:space="preserve"> (Gen 5,29) kommt von der Wurzel </w:t>
      </w:r>
      <w:r>
        <w:rPr>
          <w:rStyle w:val="Bodytext2Italic0"/>
        </w:rPr>
        <w:t>nuach</w:t>
      </w:r>
      <w:r>
        <w:t xml:space="preserve"> („ruhen") und bedeutet somit „Ruhe".</w:t>
      </w:r>
    </w:p>
    <w:p w:rsidR="00BB7EDA" w:rsidRDefault="007D72B3">
      <w:pPr>
        <w:pStyle w:val="Bodytext20"/>
        <w:shd w:val="clear" w:color="auto" w:fill="auto"/>
        <w:spacing w:before="0" w:line="226" w:lineRule="exact"/>
        <w:jc w:val="left"/>
      </w:pPr>
      <w:r>
        <w:rPr>
          <w:rStyle w:val="Bodytext285ptBoldItalic"/>
        </w:rPr>
        <w:t xml:space="preserve">4.3.53 Zur Evangeliums-Botschaft der Namen </w:t>
      </w:r>
      <w:r>
        <w:t xml:space="preserve">Die zehn ersten Wörter des Buches 1. Chronika sind identisch mit den zehn Namen der vorsintflutlichen Patriarchen. Der Chronist </w:t>
      </w:r>
      <w:r>
        <w:t>fasst mit diesen wenigen Vokabeln die gesamte Frühgeschichte des Menschen vom Paradies bis zur großen Flut zusammen.</w:t>
      </w:r>
    </w:p>
    <w:p w:rsidR="00BB7EDA" w:rsidRDefault="007D72B3">
      <w:pPr>
        <w:pStyle w:val="Bodytext20"/>
        <w:shd w:val="clear" w:color="auto" w:fill="auto"/>
        <w:spacing w:before="0" w:line="226" w:lineRule="exact"/>
        <w:ind w:firstLine="320"/>
      </w:pPr>
      <w:r>
        <w:t xml:space="preserve">Wenn man die Methode des Propheten Daniel, welcher semitische Wörter durch deren Wortwurzeln heilsgeschichtlich deutete, auf die Namen der </w:t>
      </w:r>
      <w:r>
        <w:t>Patriarchen vor der Flut bzw. auf die ersten 10 Wörter von IChr, anwendet, kommt man auf ein überraschendes Resultat. Dies erwähne ich nur so beiläufig, indem ich diesen Abschnitt gewisserma</w:t>
      </w:r>
      <w:r>
        <w:softHyphen/>
        <w:t>ßen als Parenthese in unseren linearen Gedankenverlauf einfüge. D</w:t>
      </w:r>
      <w:r>
        <w:t>aniel deutete nämlich die geheimnisvollen an die Wand geschriebe</w:t>
      </w:r>
      <w:r>
        <w:softHyphen/>
        <w:t>nen Wörter gegenüber König Belsazar auf eine förmlich auf semiti</w:t>
      </w:r>
      <w:r>
        <w:softHyphen/>
        <w:t xml:space="preserve">sche Sprachen zugeschnittene Weise (vgl. Dan 5,25-29): </w:t>
      </w:r>
      <w:r>
        <w:rPr>
          <w:rStyle w:val="Bodytext2Italic0"/>
        </w:rPr>
        <w:t xml:space="preserve">mene', theqel </w:t>
      </w:r>
      <w:r>
        <w:t xml:space="preserve">und </w:t>
      </w:r>
      <w:r>
        <w:rPr>
          <w:rStyle w:val="Bodytext2Italic0"/>
        </w:rPr>
        <w:t>u-pharsin,</w:t>
      </w:r>
      <w:r>
        <w:t xml:space="preserve"> besser vokalisiert </w:t>
      </w:r>
      <w:r>
        <w:rPr>
          <w:rStyle w:val="Bodytext2Italic0"/>
        </w:rPr>
        <w:t>u-pherasin,</w:t>
      </w:r>
      <w:r>
        <w:t xml:space="preserve"> bedeutet „M</w:t>
      </w:r>
      <w:r>
        <w:t>ine", „Sche</w:t>
      </w:r>
      <w:r>
        <w:softHyphen/>
        <w:t>kel", „und Halbminen") gemäß ihrer Wortwurzel-Bedeutungen (</w:t>
      </w:r>
      <w:r>
        <w:rPr>
          <w:rStyle w:val="Bodytext2Italic0"/>
        </w:rPr>
        <w:t xml:space="preserve">mena' </w:t>
      </w:r>
      <w:r>
        <w:t xml:space="preserve">= „zählen", </w:t>
      </w:r>
      <w:r>
        <w:rPr>
          <w:rStyle w:val="Bodytext2Italic0"/>
        </w:rPr>
        <w:t>theqal</w:t>
      </w:r>
      <w:r>
        <w:t xml:space="preserve"> = „wägen"; </w:t>
      </w:r>
      <w:r>
        <w:rPr>
          <w:rStyle w:val="Bodytext2Italic0"/>
        </w:rPr>
        <w:t>peras</w:t>
      </w:r>
      <w:r>
        <w:t xml:space="preserve"> = „teilen") und fasste sie in ausdeutende ganze Sätze zusammen, sogar unter Zuhilfenahme von Wortanklang.</w:t>
      </w:r>
      <w:r>
        <w:rPr>
          <w:vertAlign w:val="superscript"/>
        </w:rPr>
        <w:footnoteReference w:id="208"/>
      </w:r>
    </w:p>
    <w:p w:rsidR="00BB7EDA" w:rsidRDefault="007D72B3">
      <w:pPr>
        <w:pStyle w:val="Bodytext20"/>
        <w:shd w:val="clear" w:color="auto" w:fill="auto"/>
        <w:spacing w:before="0" w:line="226" w:lineRule="exact"/>
        <w:ind w:firstLine="320"/>
      </w:pPr>
      <w:r>
        <w:t>Wir betreten die Fußspuren Daniels u</w:t>
      </w:r>
      <w:r>
        <w:t>nd deuten die Botschaft der zehn vorsintflutlichen Patriarchen-Namen wie folgt:</w:t>
      </w:r>
    </w:p>
    <w:p w:rsidR="00BB7EDA" w:rsidRDefault="007D72B3">
      <w:pPr>
        <w:pStyle w:val="Bodytext80"/>
        <w:shd w:val="clear" w:color="auto" w:fill="auto"/>
        <w:spacing w:after="236"/>
        <w:ind w:firstLine="320"/>
      </w:pPr>
      <w:r>
        <w:t>Der Mensch (Adam) kam in die Stellung (Seth) eines sterblichen Sünders (Enosch).</w:t>
      </w:r>
      <w:r>
        <w:rPr>
          <w:vertAlign w:val="superscript"/>
        </w:rPr>
        <w:t>24</w:t>
      </w:r>
      <w:r>
        <w:t xml:space="preserve">' Er musste klagen (Kenan). Der lobenswerte Gott (Mahalalel) stieg herab (jered). Er lebte in </w:t>
      </w:r>
      <w:r>
        <w:t>geweihter Hingabe (Henoch). Sein Tod sendet (Methusalah) dem gezualttätigen Menschen (Lamech) Ruhe (Noah).</w:t>
      </w:r>
    </w:p>
    <w:p w:rsidR="00BB7EDA" w:rsidRDefault="007D72B3">
      <w:pPr>
        <w:pStyle w:val="Bodytext20"/>
        <w:numPr>
          <w:ilvl w:val="0"/>
          <w:numId w:val="106"/>
        </w:numPr>
        <w:shd w:val="clear" w:color="auto" w:fill="auto"/>
        <w:tabs>
          <w:tab w:val="left" w:pos="663"/>
        </w:tabs>
        <w:spacing w:before="0"/>
      </w:pPr>
      <w:r>
        <w:rPr>
          <w:rStyle w:val="Bodytext285ptBoldItalic"/>
        </w:rPr>
        <w:t xml:space="preserve">Wortspiele in den ersten Kapiteln der Genesis </w:t>
      </w:r>
      <w:r>
        <w:t>In manchen Fällen kommen Eigennamen in der biblischen Urge</w:t>
      </w:r>
      <w:r>
        <w:softHyphen/>
        <w:t>schichte im Zusammenhang mit kontextuell wic</w:t>
      </w:r>
      <w:r>
        <w:t>htigen Wort</w:t>
      </w:r>
      <w:r>
        <w:softHyphen/>
        <w:t xml:space="preserve">spielereien vor. Nachfolgend einige Beispiele: Das Wort </w:t>
      </w:r>
      <w:r>
        <w:rPr>
          <w:rStyle w:val="Bodytext2Italic0"/>
        </w:rPr>
        <w:t xml:space="preserve">'adam </w:t>
      </w:r>
      <w:r>
        <w:t xml:space="preserve">(„Mensch", „Adam") wird mit dem Nomen </w:t>
      </w:r>
      <w:r>
        <w:rPr>
          <w:rStyle w:val="Bodytext2Italic0"/>
        </w:rPr>
        <w:t>’adamah</w:t>
      </w:r>
      <w:r>
        <w:t xml:space="preserve"> („rote Erde") in Verbindung gebracht, weil der erste Mensch ja aus Erdboden gebil</w:t>
      </w:r>
      <w:r>
        <w:softHyphen/>
        <w:t>det worden war (Gen 2,7).</w:t>
      </w:r>
    </w:p>
    <w:p w:rsidR="00BB7EDA" w:rsidRDefault="007D72B3">
      <w:pPr>
        <w:pStyle w:val="Bodytext20"/>
        <w:shd w:val="clear" w:color="auto" w:fill="auto"/>
        <w:spacing w:before="0" w:line="226" w:lineRule="exact"/>
        <w:ind w:firstLine="320"/>
      </w:pPr>
      <w:r>
        <w:t xml:space="preserve">Nachdem Eva aus einer Rippe </w:t>
      </w:r>
      <w:r>
        <w:t xml:space="preserve">Adams erschaffen worden war, wurde sie dank einem im Hebräischen möglichen Wortspiel </w:t>
      </w:r>
      <w:r>
        <w:rPr>
          <w:rStyle w:val="Bodytext2Italic0"/>
        </w:rPr>
        <w:t xml:space="preserve">'isah </w:t>
      </w:r>
      <w:r>
        <w:t xml:space="preserve">(„Frau") genannt. Das Wort für „Mann" lautet auf Hebräisch </w:t>
      </w:r>
      <w:r>
        <w:rPr>
          <w:rStyle w:val="Bodytext2Italic0"/>
        </w:rPr>
        <w:t>’is</w:t>
      </w:r>
      <w:r>
        <w:t xml:space="preserve"> (Gen 2,23). Möglicherweise sind diese beiden ähnlich klingenden Wörter etymologisch von unterschiedlic</w:t>
      </w:r>
      <w:r>
        <w:t>hen Verbalwurzeln herzuleiten.</w:t>
      </w:r>
      <w:r>
        <w:rPr>
          <w:vertAlign w:val="superscript"/>
        </w:rPr>
        <w:t xml:space="preserve">242 </w:t>
      </w:r>
      <w:r>
        <w:t xml:space="preserve">Aber innerhalb der hebräischen Sprache ergibt sich durch den engen Anklang ein schönes Wortspiel, das man im Deutschen am besten durch das Oppositionspaar </w:t>
      </w:r>
      <w:r>
        <w:rPr>
          <w:rStyle w:val="Bodytext2Italic0"/>
        </w:rPr>
        <w:t>Mann</w:t>
      </w:r>
      <w:r>
        <w:t xml:space="preserve"> - </w:t>
      </w:r>
      <w:r>
        <w:rPr>
          <w:rStyle w:val="Bodytext2Italic0"/>
        </w:rPr>
        <w:t>Männin</w:t>
      </w:r>
      <w:r>
        <w:t xml:space="preserve"> wiedergibt.</w:t>
      </w:r>
    </w:p>
    <w:p w:rsidR="00BB7EDA" w:rsidRDefault="007D72B3">
      <w:pPr>
        <w:pStyle w:val="Bodytext20"/>
        <w:shd w:val="clear" w:color="auto" w:fill="auto"/>
        <w:spacing w:before="0" w:line="226" w:lineRule="exact"/>
        <w:ind w:firstLine="320"/>
      </w:pPr>
      <w:r>
        <w:t xml:space="preserve">Nach dem Sündenfall gab Adam seiner Frau den Namen </w:t>
      </w:r>
      <w:r>
        <w:rPr>
          <w:rStyle w:val="Bodytext2Italic0"/>
        </w:rPr>
        <w:t>chavvah</w:t>
      </w:r>
      <w:r>
        <w:t>"</w:t>
      </w:r>
      <w:r>
        <w:rPr>
          <w:vertAlign w:val="superscript"/>
        </w:rPr>
        <w:t>243</w:t>
      </w:r>
      <w:r>
        <w:t xml:space="preserve"> („Leben"), weil sie „die Mutter aller Lebendigen (hebr. </w:t>
      </w:r>
      <w:r>
        <w:rPr>
          <w:rStyle w:val="Bodytext2Italic0"/>
        </w:rPr>
        <w:t>chajim)</w:t>
      </w:r>
      <w:r>
        <w:t xml:space="preserve"> war (Gen 3,20).</w:t>
      </w:r>
    </w:p>
    <w:p w:rsidR="00BB7EDA" w:rsidRDefault="007D72B3">
      <w:pPr>
        <w:pStyle w:val="Bodytext20"/>
        <w:shd w:val="clear" w:color="auto" w:fill="auto"/>
        <w:spacing w:before="0" w:line="226" w:lineRule="exact"/>
        <w:ind w:firstLine="320"/>
      </w:pPr>
      <w:r>
        <w:t>Die ersten Kapitel der Genesis sind voller Wortspiele. Man könn</w:t>
      </w:r>
      <w:r>
        <w:softHyphen/>
        <w:t>te auf diese Weise weiterfahren.</w:t>
      </w:r>
      <w:r>
        <w:rPr>
          <w:vertAlign w:val="superscript"/>
        </w:rPr>
        <w:t>244</w:t>
      </w:r>
      <w:r>
        <w:t xml:space="preserve"> Es ist unbest</w:t>
      </w:r>
      <w:r>
        <w:t>reitbar: Die Eigenna</w:t>
      </w:r>
      <w:r>
        <w:softHyphen/>
        <w:t xml:space="preserve">men in den frühen Kapiteln bis hin zur Sprachenverwirrung sind eindeutig </w:t>
      </w:r>
      <w:r>
        <w:rPr>
          <w:rStyle w:val="Bodytext2Italic0"/>
        </w:rPr>
        <w:t>semitisch.</w:t>
      </w:r>
    </w:p>
    <w:p w:rsidR="00BB7EDA" w:rsidRDefault="007D72B3">
      <w:pPr>
        <w:pStyle w:val="Bodytext20"/>
        <w:shd w:val="clear" w:color="auto" w:fill="auto"/>
        <w:spacing w:before="0" w:after="267" w:line="226" w:lineRule="exact"/>
        <w:ind w:firstLine="320"/>
      </w:pPr>
      <w:r>
        <w:t xml:space="preserve">Die Wortspielereien sind, wenn man sie alle zusammennimmt jedoch ein klarer Hinweis darauf, dass diese Namen nicht einfach nur semitisch sind, sondern </w:t>
      </w:r>
      <w:r>
        <w:t xml:space="preserve">enger gefasst - </w:t>
      </w:r>
      <w:r>
        <w:rPr>
          <w:rStyle w:val="Bodytext2Italic0"/>
        </w:rPr>
        <w:t>hebräisch.</w:t>
      </w:r>
      <w:r>
        <w:t xml:space="preserve"> Zum Teil</w:t>
      </w:r>
    </w:p>
    <w:p w:rsidR="00BB7EDA" w:rsidRDefault="007D72B3">
      <w:pPr>
        <w:pStyle w:val="Bodytext60"/>
        <w:shd w:val="clear" w:color="auto" w:fill="auto"/>
        <w:spacing w:line="192" w:lineRule="exact"/>
        <w:ind w:left="320"/>
        <w:jc w:val="both"/>
      </w:pPr>
      <w:r>
        <w:rPr>
          <w:rStyle w:val="Bodytext675ptItalic"/>
        </w:rPr>
        <w:t>peras</w:t>
      </w:r>
      <w:r>
        <w:t>) an. Beide Wörter werden im Aramäischen gleich geschrieben, jedoch mit verschiedenen Vokalen ausgesprochen.</w:t>
      </w:r>
    </w:p>
    <w:p w:rsidR="00BB7EDA" w:rsidRDefault="007D72B3">
      <w:pPr>
        <w:pStyle w:val="Bodytext60"/>
        <w:numPr>
          <w:ilvl w:val="0"/>
          <w:numId w:val="107"/>
        </w:numPr>
        <w:shd w:val="clear" w:color="auto" w:fill="auto"/>
        <w:tabs>
          <w:tab w:val="left" w:pos="294"/>
        </w:tabs>
        <w:spacing w:line="192" w:lineRule="exact"/>
        <w:ind w:left="320" w:hanging="320"/>
        <w:jc w:val="both"/>
      </w:pPr>
      <w:r>
        <w:t>Vgl. Röm 5,12.19.</w:t>
      </w:r>
    </w:p>
    <w:p w:rsidR="00BB7EDA" w:rsidRDefault="007D72B3">
      <w:pPr>
        <w:pStyle w:val="Bodytext60"/>
        <w:numPr>
          <w:ilvl w:val="0"/>
          <w:numId w:val="107"/>
        </w:numPr>
        <w:shd w:val="clear" w:color="auto" w:fill="auto"/>
        <w:tabs>
          <w:tab w:val="left" w:pos="303"/>
        </w:tabs>
        <w:spacing w:line="192" w:lineRule="exact"/>
        <w:ind w:left="320" w:hanging="320"/>
        <w:jc w:val="both"/>
      </w:pPr>
      <w:r>
        <w:t>Die Etymologie dieser Wörter ist in der Fachliteratur umstritten.</w:t>
      </w:r>
    </w:p>
    <w:p w:rsidR="00BB7EDA" w:rsidRDefault="007D72B3">
      <w:pPr>
        <w:pStyle w:val="Bodytext60"/>
        <w:numPr>
          <w:ilvl w:val="0"/>
          <w:numId w:val="107"/>
        </w:numPr>
        <w:shd w:val="clear" w:color="auto" w:fill="auto"/>
        <w:tabs>
          <w:tab w:val="left" w:pos="308"/>
        </w:tabs>
        <w:spacing w:line="192" w:lineRule="exact"/>
        <w:ind w:left="320" w:hanging="320"/>
        <w:jc w:val="both"/>
      </w:pPr>
      <w:r>
        <w:t xml:space="preserve">Im Griechischen wurde dieser Name durch </w:t>
      </w:r>
      <w:r>
        <w:rPr>
          <w:rStyle w:val="Bodytext675ptItalic"/>
        </w:rPr>
        <w:t>eua</w:t>
      </w:r>
      <w:r>
        <w:t xml:space="preserve"> transkribiert (vgl. 2Kor 11,3).</w:t>
      </w:r>
    </w:p>
    <w:p w:rsidR="00BB7EDA" w:rsidRDefault="007D72B3">
      <w:pPr>
        <w:pStyle w:val="Bodytext60"/>
        <w:numPr>
          <w:ilvl w:val="0"/>
          <w:numId w:val="107"/>
        </w:numPr>
        <w:shd w:val="clear" w:color="auto" w:fill="auto"/>
        <w:tabs>
          <w:tab w:val="left" w:pos="308"/>
        </w:tabs>
        <w:spacing w:line="192" w:lineRule="exact"/>
        <w:ind w:left="320" w:hanging="320"/>
        <w:jc w:val="both"/>
      </w:pPr>
      <w:r>
        <w:t xml:space="preserve">Vgl. z.B. Gen 4,1; 4,12.16 </w:t>
      </w:r>
      <w:r>
        <w:rPr>
          <w:rStyle w:val="Bodytext675ptItalic"/>
        </w:rPr>
        <w:t>(Nod</w:t>
      </w:r>
      <w:r>
        <w:t xml:space="preserve"> = „Flucht"); 5,29 in Verbindung mit 8,4.8.21 (w. „Duft der Ruhe"), 9,27 (</w:t>
      </w:r>
      <w:r>
        <w:rPr>
          <w:rStyle w:val="Bodytext675ptItalic"/>
        </w:rPr>
        <w:t>Japhet</w:t>
      </w:r>
      <w:r>
        <w:t xml:space="preserve"> = „Weite", „Ausdehnung"); 10,25 </w:t>
      </w:r>
      <w:r>
        <w:rPr>
          <w:rStyle w:val="Bodytext675ptItalic"/>
        </w:rPr>
        <w:t>(Peteg</w:t>
      </w:r>
      <w:r>
        <w:t xml:space="preserve"> = „Zerteilung"); 11,9.</w:t>
      </w:r>
    </w:p>
    <w:p w:rsidR="00BB7EDA" w:rsidRDefault="007D72B3">
      <w:pPr>
        <w:pStyle w:val="Bodytext20"/>
        <w:shd w:val="clear" w:color="auto" w:fill="auto"/>
        <w:spacing w:before="0" w:after="116" w:line="226" w:lineRule="exact"/>
      </w:pPr>
      <w:r>
        <w:t>würden</w:t>
      </w:r>
      <w:r>
        <w:t xml:space="preserve"> diese Wortspiele auch innerhalb anderer semitischer Spra</w:t>
      </w:r>
      <w:r>
        <w:softHyphen/>
        <w:t>chen funktionieren. Doch wenn man alle zusammennimmt, so fügen sie sich ganz klar ins Hebräische ein.</w:t>
      </w:r>
    </w:p>
    <w:p w:rsidR="00BB7EDA" w:rsidRDefault="007D72B3">
      <w:pPr>
        <w:pStyle w:val="Bodytext100"/>
        <w:numPr>
          <w:ilvl w:val="0"/>
          <w:numId w:val="106"/>
        </w:numPr>
        <w:shd w:val="clear" w:color="auto" w:fill="auto"/>
        <w:tabs>
          <w:tab w:val="left" w:pos="654"/>
        </w:tabs>
        <w:spacing w:before="0" w:line="230" w:lineRule="exact"/>
        <w:ind w:firstLine="0"/>
        <w:jc w:val="left"/>
      </w:pPr>
      <w:r>
        <w:t>Sind die hebräischen Namen in den frühen Kapiteln der Genesis ursprünglich?</w:t>
      </w:r>
    </w:p>
    <w:p w:rsidR="00BB7EDA" w:rsidRDefault="007D72B3">
      <w:pPr>
        <w:pStyle w:val="Bodytext20"/>
        <w:shd w:val="clear" w:color="auto" w:fill="auto"/>
        <w:spacing w:before="0" w:line="226" w:lineRule="exact"/>
      </w:pPr>
      <w:r>
        <w:t xml:space="preserve">Man könnte sich nun </w:t>
      </w:r>
      <w:r>
        <w:t>noch fragen, ob Mose bei der Abfassung der Genesis die Eigennamen und auch die geographischen Bezeichnun</w:t>
      </w:r>
      <w:r>
        <w:softHyphen/>
        <w:t>gen vielleicht aus einer uns unbekannten Ursprache ins Hebräische übertragen hatte. Wenn dies so wäre, so bestünde selbstverständlich heute gar keine M</w:t>
      </w:r>
      <w:r>
        <w:t>öglichkeit mehr, aufgrund der Namen in Gen 1-11 einen Rückschluss auf die erste Sprache der Menschheit zu ziehen. Doch es gibt überzeugende Argumente dafür, dass die Namen in den frühen Kapiteln des ersten Buches Mose ursprünglich sein müssen:</w:t>
      </w:r>
    </w:p>
    <w:p w:rsidR="00BB7EDA" w:rsidRDefault="007D72B3">
      <w:pPr>
        <w:pStyle w:val="Bodytext20"/>
        <w:shd w:val="clear" w:color="auto" w:fill="auto"/>
        <w:spacing w:before="0" w:line="226" w:lineRule="exact"/>
        <w:ind w:firstLine="340"/>
        <w:sectPr w:rsidR="00BB7EDA">
          <w:pgSz w:w="7266" w:h="11422"/>
          <w:pgMar w:top="786" w:right="853" w:bottom="1160" w:left="753" w:header="0" w:footer="3" w:gutter="0"/>
          <w:cols w:space="720"/>
          <w:noEndnote/>
          <w:docGrid w:linePitch="360"/>
        </w:sectPr>
      </w:pPr>
      <w:r>
        <w:t xml:space="preserve">Die nicht-hebräischen Namen im Rest der Genesis wurden auch nicht ins Hebräische übertragen. So finden wir z.B. Eigennamen aus dem Elamitischen </w:t>
      </w:r>
      <w:r>
        <w:rPr>
          <w:rStyle w:val="Bodytext2Italic0"/>
        </w:rPr>
        <w:t>(Kedorlaomer</w:t>
      </w:r>
      <w:r>
        <w:t>, Gen 14,1),</w:t>
      </w:r>
      <w:r>
        <w:rPr>
          <w:vertAlign w:val="superscript"/>
        </w:rPr>
        <w:footnoteReference w:id="209"/>
      </w:r>
      <w:r>
        <w:t xml:space="preserve"> dem Hethitischen (T </w:t>
      </w:r>
      <w:r>
        <w:rPr>
          <w:rStyle w:val="Bodytext2Italic0"/>
        </w:rPr>
        <w:t xml:space="preserve">idal, </w:t>
      </w:r>
      <w:r>
        <w:t>Gen 14,l)</w:t>
      </w:r>
      <w:r>
        <w:rPr>
          <w:vertAlign w:val="superscript"/>
        </w:rPr>
        <w:footnoteReference w:id="210"/>
      </w:r>
      <w:r>
        <w:t xml:space="preserve"> und dem Ägyptischen (</w:t>
      </w:r>
      <w:r>
        <w:rPr>
          <w:rStyle w:val="Bodytext2Italic0"/>
        </w:rPr>
        <w:t>Potiph</w:t>
      </w:r>
      <w:r>
        <w:rPr>
          <w:rStyle w:val="Bodytext2Italic0"/>
        </w:rPr>
        <w:t>ar</w:t>
      </w:r>
      <w:r>
        <w:t xml:space="preserve">, Gen 37,36; </w:t>
      </w:r>
      <w:r>
        <w:rPr>
          <w:rStyle w:val="Bodytext2Italic0"/>
        </w:rPr>
        <w:t>Asnat, Zaphnath-Paneach,</w:t>
      </w:r>
      <w:r>
        <w:t xml:space="preserve"> Gen 41,45).</w:t>
      </w:r>
      <w:r>
        <w:rPr>
          <w:vertAlign w:val="superscript"/>
        </w:rPr>
        <w:footnoteReference w:id="211"/>
      </w:r>
      <w:r>
        <w:t xml:space="preserve"> Auch in den anderen Büchern, Exo</w:t>
      </w:r>
      <w:r>
        <w:softHyphen/>
        <w:t>dus bis Deuteronomium, ja im ganzen Rest der Bibel, ist es allgemein ganz normal, dass die Eigennamen und geographischen Bezeich</w:t>
      </w:r>
      <w:r>
        <w:softHyphen/>
        <w:t>nungen aus anderen Sprachen lediglich tra</w:t>
      </w:r>
      <w:r>
        <w:t>nskribiert, aber nicht durch eine Übersetzung ausgetauscht sind. Man denke zum Beispiel an die akkadischen und persischen Königsnamen wie Osnappar, Sanherib, Nebukadnezar, Ewil-Merodach, Belsazar, Kores, Artasasta, Darius, Ahasveros etc. Es ist sehr schwie</w:t>
      </w:r>
      <w:r>
        <w:t>rig, Ausnahmen von dieser Regel zu finden.</w:t>
      </w:r>
      <w:r>
        <w:rPr>
          <w:vertAlign w:val="superscript"/>
        </w:rPr>
        <w:footnoteReference w:id="212"/>
      </w:r>
      <w:r>
        <w:t xml:space="preserve"> Wir haben daher allen Grund, davon auszuge</w:t>
      </w:r>
      <w:r>
        <w:softHyphen/>
        <w:t>hen, dass die hebräischen Namen in Gen 1-11 ursprünglich sind. Daraus kennen wir den Schluss ziehen, dass es sich bei der Urspra</w:t>
      </w:r>
      <w:r>
        <w:softHyphen/>
        <w:t xml:space="preserve">che bis zur babylonischen Verwirrung um </w:t>
      </w:r>
      <w:r>
        <w:t xml:space="preserve">ein </w:t>
      </w:r>
      <w:r>
        <w:rPr>
          <w:rStyle w:val="Bodytext2Italic0"/>
        </w:rPr>
        <w:t>Ur-Hebräisch</w:t>
      </w:r>
      <w:r>
        <w:t xml:space="preserve"> gehan</w:t>
      </w:r>
      <w:r>
        <w:softHyphen/>
        <w:t>delt haben muss. So erklären sich auch die vielen Wortspiele in der Urgeschichte der Genesis auf natürliche Weise. Sie brauchen über</w:t>
      </w:r>
      <w:r>
        <w:softHyphen/>
        <w:t>haupt nicht als gekünstelte Übertragungen angesehen zu werden.</w:t>
      </w:r>
    </w:p>
    <w:p w:rsidR="00BB7EDA" w:rsidRDefault="00BB7EDA">
      <w:pPr>
        <w:spacing w:line="168" w:lineRule="exact"/>
        <w:rPr>
          <w:sz w:val="14"/>
          <w:szCs w:val="14"/>
        </w:rPr>
      </w:pPr>
    </w:p>
    <w:p w:rsidR="00BB7EDA" w:rsidRDefault="00BB7EDA">
      <w:pPr>
        <w:rPr>
          <w:sz w:val="2"/>
          <w:szCs w:val="2"/>
        </w:rPr>
        <w:sectPr w:rsidR="00BB7EDA">
          <w:footerReference w:type="even" r:id="rId59"/>
          <w:footerReference w:type="default" r:id="rId60"/>
          <w:headerReference w:type="first" r:id="rId61"/>
          <w:footerReference w:type="first" r:id="rId62"/>
          <w:pgSz w:w="7266" w:h="11422"/>
          <w:pgMar w:top="927" w:right="0" w:bottom="999" w:left="0" w:header="0" w:footer="3" w:gutter="0"/>
          <w:cols w:space="720"/>
          <w:noEndnote/>
          <w:titlePg/>
          <w:docGrid w:linePitch="360"/>
        </w:sectPr>
      </w:pPr>
    </w:p>
    <w:p w:rsidR="00BB7EDA" w:rsidRDefault="007D72B3">
      <w:pPr>
        <w:pStyle w:val="Bodytext100"/>
        <w:numPr>
          <w:ilvl w:val="0"/>
          <w:numId w:val="108"/>
        </w:numPr>
        <w:shd w:val="clear" w:color="auto" w:fill="auto"/>
        <w:tabs>
          <w:tab w:val="left" w:pos="658"/>
        </w:tabs>
        <w:spacing w:before="0" w:line="230" w:lineRule="exact"/>
        <w:ind w:firstLine="0"/>
        <w:jc w:val="left"/>
      </w:pPr>
      <w:r>
        <w:t>Ansgangslage: Der Knotenpunkt von Europa, Asien und Afrika</w:t>
      </w:r>
    </w:p>
    <w:p w:rsidR="00BB7EDA" w:rsidRDefault="007D72B3">
      <w:pPr>
        <w:pStyle w:val="Bodytext20"/>
        <w:shd w:val="clear" w:color="auto" w:fill="auto"/>
        <w:spacing w:before="0" w:after="120"/>
      </w:pPr>
      <w:r>
        <w:t>Die Erschaffung der neuen Ursprachen von Babel führte gemäß Ge</w:t>
      </w:r>
      <w:r>
        <w:t>n 10 zur Aufteilung der Menschheit in verschiedene Nationen. Die Völkertafel spricht über die Wanderungen der Urvölker nach der Sprachenverwirrung von Babel. Der Nahe Osten war der ideale Ausgangspunkt für die Besiedlung der ganzen Welt, bildet er doch gew</w:t>
      </w:r>
      <w:r>
        <w:t>issermaßen die Schnittstelle der drei Kontinente Europa, Asien und Afrika.</w:t>
      </w:r>
    </w:p>
    <w:p w:rsidR="00BB7EDA" w:rsidRDefault="007D72B3">
      <w:pPr>
        <w:pStyle w:val="Bodytext100"/>
        <w:numPr>
          <w:ilvl w:val="0"/>
          <w:numId w:val="108"/>
        </w:numPr>
        <w:shd w:val="clear" w:color="auto" w:fill="auto"/>
        <w:tabs>
          <w:tab w:val="left" w:pos="658"/>
        </w:tabs>
        <w:spacing w:before="0" w:line="230" w:lineRule="exact"/>
        <w:ind w:firstLine="0"/>
      </w:pPr>
      <w:r>
        <w:t>Japhetiten, Hamiten und Semiten</w:t>
      </w:r>
    </w:p>
    <w:p w:rsidR="00BB7EDA" w:rsidRDefault="007D72B3">
      <w:pPr>
        <w:pStyle w:val="Bodytext20"/>
        <w:shd w:val="clear" w:color="auto" w:fill="auto"/>
        <w:spacing w:before="0" w:after="314"/>
      </w:pPr>
      <w:r>
        <w:t>Durch diese Völkerwanderungen wurde schließlich das adamitische bzw. noachitische Gebot aus Gen 1,28 und 9,1 erfüllt.</w:t>
      </w:r>
    </w:p>
    <w:p w:rsidR="00BB7EDA" w:rsidRDefault="007D72B3">
      <w:pPr>
        <w:framePr w:h="5198" w:wrap="notBeside" w:vAnchor="text" w:hAnchor="text" w:xAlign="center" w:y="1"/>
        <w:jc w:val="center"/>
        <w:rPr>
          <w:sz w:val="2"/>
          <w:szCs w:val="2"/>
        </w:rPr>
      </w:pPr>
      <w:r>
        <w:fldChar w:fldCharType="begin"/>
      </w:r>
      <w:r>
        <w:instrText xml:space="preserve"> </w:instrText>
      </w:r>
      <w:r>
        <w:instrText>INCLUDEPICTURE  "X:\\sk\\NextUpload116\\Webserver\\german\\RogerLiebi\\media\\image10.jpeg" \* MERGEFORMATINET</w:instrText>
      </w:r>
      <w:r>
        <w:instrText xml:space="preserve"> </w:instrText>
      </w:r>
      <w:r>
        <w:fldChar w:fldCharType="separate"/>
      </w:r>
      <w:r>
        <w:pict>
          <v:shape id="_x0000_i1029" type="#_x0000_t75" style="width:281.25pt;height:260.25pt">
            <v:imagedata r:id="rId63" r:href="rId64"/>
          </v:shape>
        </w:pict>
      </w:r>
      <w:r>
        <w:fldChar w:fldCharType="end"/>
      </w:r>
    </w:p>
    <w:p w:rsidR="00BB7EDA" w:rsidRDefault="00BB7EDA">
      <w:pPr>
        <w:rPr>
          <w:sz w:val="2"/>
          <w:szCs w:val="2"/>
        </w:rPr>
      </w:pPr>
    </w:p>
    <w:p w:rsidR="00BB7EDA" w:rsidRDefault="007D72B3">
      <w:pPr>
        <w:pStyle w:val="Bodytext120"/>
        <w:shd w:val="clear" w:color="auto" w:fill="auto"/>
        <w:spacing w:before="26" w:after="0"/>
      </w:pPr>
      <w:r>
        <w:t>Abb. 3 Der Nahe Osten war dei ideale Ausgangspunkt zur späteren Besiedlung der ganzen Welt.</w:t>
      </w:r>
    </w:p>
    <w:p w:rsidR="00BB7EDA" w:rsidRDefault="007D72B3">
      <w:pPr>
        <w:pStyle w:val="Bodytext20"/>
        <w:shd w:val="clear" w:color="auto" w:fill="auto"/>
        <w:spacing w:before="0" w:after="64"/>
        <w:ind w:firstLine="320"/>
        <w:jc w:val="left"/>
      </w:pPr>
      <w:r>
        <w:t xml:space="preserve">Nachdem in Gen 10,2-4 die </w:t>
      </w:r>
      <w:r>
        <w:rPr>
          <w:rStyle w:val="Bodytext2Italic0"/>
        </w:rPr>
        <w:t>Japhetiten</w:t>
      </w:r>
      <w:r>
        <w:t xml:space="preserve"> behandelt </w:t>
      </w:r>
      <w:r>
        <w:t>worden sind, heißt es im folgenden Vers:</w:t>
      </w:r>
    </w:p>
    <w:p w:rsidR="00BB7EDA" w:rsidRDefault="007D72B3">
      <w:pPr>
        <w:pStyle w:val="Bodytext20"/>
        <w:shd w:val="clear" w:color="auto" w:fill="auto"/>
        <w:spacing w:before="0" w:after="56" w:line="226" w:lineRule="exact"/>
        <w:ind w:left="320" w:right="320"/>
      </w:pPr>
      <w:r>
        <w:t>„Von diesen aus verteilten sich die Bewohner der Küsten</w:t>
      </w:r>
      <w:r>
        <w:rPr>
          <w:vertAlign w:val="superscript"/>
        </w:rPr>
        <w:footnoteReference w:id="213"/>
      </w:r>
      <w:r>
        <w:rPr>
          <w:vertAlign w:val="superscript"/>
        </w:rPr>
        <w:t xml:space="preserve"> </w:t>
      </w:r>
      <w:r>
        <w:t>der Nationen</w:t>
      </w:r>
      <w:r>
        <w:rPr>
          <w:vertAlign w:val="superscript"/>
        </w:rPr>
        <w:footnoteReference w:id="214"/>
      </w:r>
      <w:r>
        <w:t xml:space="preserve"> in ihren Ländern, eine jede nach ihrer Spra</w:t>
      </w:r>
      <w:r>
        <w:softHyphen/>
        <w:t>che, nach ihren Sippen, in ihren Nationen."</w:t>
      </w:r>
    </w:p>
    <w:p w:rsidR="00BB7EDA" w:rsidRDefault="007D72B3">
      <w:pPr>
        <w:pStyle w:val="Bodytext20"/>
        <w:shd w:val="clear" w:color="auto" w:fill="auto"/>
        <w:spacing w:before="0" w:after="60"/>
        <w:ind w:firstLine="320"/>
        <w:jc w:val="left"/>
      </w:pPr>
      <w:r>
        <w:t xml:space="preserve">Gen 10,6-20 ist den </w:t>
      </w:r>
      <w:r>
        <w:rPr>
          <w:rStyle w:val="Bodytext2Italic0"/>
        </w:rPr>
        <w:t>Hamiten</w:t>
      </w:r>
      <w:r>
        <w:t xml:space="preserve"> gewidmet. Abschließend wird dazu kommentiert (Gen 10,20):</w:t>
      </w:r>
    </w:p>
    <w:p w:rsidR="00BB7EDA" w:rsidRDefault="007D72B3">
      <w:pPr>
        <w:pStyle w:val="Bodytext20"/>
        <w:shd w:val="clear" w:color="auto" w:fill="auto"/>
        <w:spacing w:before="0" w:after="56"/>
        <w:ind w:left="320" w:right="320"/>
      </w:pPr>
      <w:r>
        <w:t>„Das sind die Söhne Harns nach ihren Sippen, nach ihren Sprachen, in ihren Ländern, in ihren Nationen."</w:t>
      </w:r>
    </w:p>
    <w:p w:rsidR="00BB7EDA" w:rsidRDefault="007D72B3">
      <w:pPr>
        <w:pStyle w:val="Bodytext20"/>
        <w:shd w:val="clear" w:color="auto" w:fill="auto"/>
        <w:spacing w:before="0" w:after="60" w:line="235" w:lineRule="exact"/>
        <w:ind w:firstLine="320"/>
        <w:jc w:val="left"/>
      </w:pPr>
      <w:r>
        <w:t xml:space="preserve">Die Beschreibung der </w:t>
      </w:r>
      <w:r>
        <w:rPr>
          <w:rStyle w:val="Bodytext2Italic0"/>
        </w:rPr>
        <w:t>Semiten</w:t>
      </w:r>
      <w:r>
        <w:t xml:space="preserve"> in Gen 10,21-31 wird mit der entsprechenden Bemerkung beschlosse</w:t>
      </w:r>
      <w:r>
        <w:t>n:</w:t>
      </w:r>
    </w:p>
    <w:p w:rsidR="00BB7EDA" w:rsidRDefault="007D72B3">
      <w:pPr>
        <w:pStyle w:val="Bodytext20"/>
        <w:shd w:val="clear" w:color="auto" w:fill="auto"/>
        <w:spacing w:before="0" w:after="104" w:line="235" w:lineRule="exact"/>
        <w:ind w:left="320" w:right="320"/>
      </w:pPr>
      <w:r>
        <w:t>„Das sind die Söhne Sems nach ihren Sippen, nach ihren Sprachen, in ihren Ländern, nach ihren Nationen."</w:t>
      </w:r>
    </w:p>
    <w:p w:rsidR="00BB7EDA" w:rsidRDefault="007D72B3">
      <w:pPr>
        <w:pStyle w:val="Bodytext20"/>
        <w:shd w:val="clear" w:color="auto" w:fill="auto"/>
        <w:spacing w:before="0" w:after="43" w:line="180" w:lineRule="exact"/>
        <w:ind w:firstLine="320"/>
        <w:jc w:val="left"/>
      </w:pPr>
      <w:r>
        <w:t>Gen 10,32 stellt eine Zusammenfassung des gesamten Kapitels dar:</w:t>
      </w:r>
    </w:p>
    <w:p w:rsidR="00BB7EDA" w:rsidRDefault="007D72B3">
      <w:pPr>
        <w:pStyle w:val="Bodytext20"/>
        <w:shd w:val="clear" w:color="auto" w:fill="auto"/>
        <w:spacing w:before="0" w:after="337" w:line="226" w:lineRule="exact"/>
        <w:ind w:left="320" w:right="320"/>
      </w:pPr>
      <w:r>
        <w:t>„Das sind die Familien der Söhne Noahs nach ihren Ge</w:t>
      </w:r>
      <w:r>
        <w:softHyphen/>
        <w:t xml:space="preserve">schlechtern, in ihren </w:t>
      </w:r>
      <w:r>
        <w:t>Nationen; und von diesen aus haben sich nach der Flut die Nationen auf der Erde verteilt."</w:t>
      </w:r>
    </w:p>
    <w:p w:rsidR="00BB7EDA" w:rsidRDefault="007D72B3">
      <w:pPr>
        <w:pStyle w:val="Bodytext90"/>
        <w:shd w:val="clear" w:color="auto" w:fill="auto"/>
        <w:spacing w:after="163" w:line="180" w:lineRule="exact"/>
      </w:pPr>
      <w:r>
        <w:t>4.3.7 Babel und die verschiedenen Rassen</w:t>
      </w:r>
    </w:p>
    <w:p w:rsidR="00BB7EDA" w:rsidRDefault="007D72B3">
      <w:pPr>
        <w:pStyle w:val="Bodytext20"/>
        <w:shd w:val="clear" w:color="auto" w:fill="auto"/>
        <w:spacing w:before="0" w:line="226" w:lineRule="exact"/>
        <w:sectPr w:rsidR="00BB7EDA">
          <w:type w:val="continuous"/>
          <w:pgSz w:w="7266" w:h="11422"/>
          <w:pgMar w:top="927" w:right="797" w:bottom="999" w:left="809" w:header="0" w:footer="3" w:gutter="0"/>
          <w:cols w:space="720"/>
          <w:noEndnote/>
          <w:docGrid w:linePitch="360"/>
        </w:sectPr>
      </w:pPr>
      <w:r>
        <w:t xml:space="preserve">Aus dem Ereignis der Sprachenverwirrung lässt sich auch der Ursprung der verschiedenen Rassen einfach </w:t>
      </w:r>
      <w:r>
        <w:t>erklären, denn das, was hier stattgefunden hat, entspricht genau dem in der Genetik als „Flaschenhalsereignis" bekannten Phänomen, das auch gesteu</w:t>
      </w:r>
      <w:r>
        <w:softHyphen/>
        <w:t>ert in der Zucht von Pflanzen und Tieren immer wieder nachvoll</w:t>
      </w:r>
      <w:r>
        <w:softHyphen/>
        <w:t>zogen werden kann:</w:t>
      </w:r>
      <w:r>
        <w:rPr>
          <w:vertAlign w:val="superscript"/>
        </w:rPr>
        <w:footnoteReference w:id="215"/>
      </w:r>
      <w:r>
        <w:t xml:space="preserve"> Die Urgesellschaft ir. Bab</w:t>
      </w:r>
      <w:r>
        <w:t xml:space="preserve">el stellte genetisch eine </w:t>
      </w:r>
      <w:r>
        <w:rPr>
          <w:rStyle w:val="Bodytext2Italic0"/>
        </w:rPr>
        <w:t>Ursprungspopulation</w:t>
      </w:r>
      <w:r>
        <w:t xml:space="preserve"> dar. Von ihr spaltete sich infolge der Sprachenverwirrung eine ganze Reihe von </w:t>
      </w:r>
      <w:r>
        <w:rPr>
          <w:rStyle w:val="Bodytext2Italic0"/>
        </w:rPr>
        <w:t>Gründerpopulationen</w:t>
      </w:r>
      <w:r>
        <w:t xml:space="preserve"> ab. Dadurch entstanden </w:t>
      </w:r>
      <w:r>
        <w:rPr>
          <w:rStyle w:val="Bodytext2Italic0"/>
        </w:rPr>
        <w:t>Populationsengpässe,</w:t>
      </w:r>
      <w:r>
        <w:t xml:space="preserve"> so genannte „Flaschen</w:t>
      </w:r>
      <w:r>
        <w:softHyphen/>
        <w:t>hälse". Die einzelnen Gründerpopulationen pfl</w:t>
      </w:r>
      <w:r>
        <w:t>anzten sich, von-</w:t>
      </w:r>
    </w:p>
    <w:p w:rsidR="00BB7EDA" w:rsidRDefault="007D72B3">
      <w:pPr>
        <w:pStyle w:val="Bodytext120"/>
        <w:shd w:val="clear" w:color="auto" w:fill="auto"/>
        <w:spacing w:before="0" w:after="329"/>
        <w:jc w:val="left"/>
      </w:pPr>
      <w:r>
        <w:t>Abb. 9 Schematische Dar</w:t>
      </w:r>
      <w:r>
        <w:softHyphen/>
        <w:t>stellung eines Flaschen</w:t>
      </w:r>
      <w:r>
        <w:softHyphen/>
        <w:t>halsereignisses in der Geschichte der Menschheit.</w:t>
      </w:r>
    </w:p>
    <w:p w:rsidR="00BB7EDA" w:rsidRDefault="007D72B3">
      <w:pPr>
        <w:pStyle w:val="Bodytext20"/>
        <w:shd w:val="clear" w:color="auto" w:fill="auto"/>
        <w:spacing w:before="0" w:after="400"/>
      </w:pPr>
      <w:r>
        <w:pict>
          <v:shape id="_x0000_s1082" type="#_x0000_t75" style="position:absolute;left:0;text-align:left;margin-left:-.75pt;margin-top:-237.1pt;width:172.8pt;height:213.6pt;z-index:-125829363;mso-wrap-distance-left:5pt;mso-wrap-distance-right:6.95pt;mso-position-horizontal-relative:margin" wrapcoords="0 0 21600 0 21600 21600 0 21600 0 0">
            <v:imagedata r:id="rId65" o:title="image11"/>
            <w10:wrap type="square" side="right" anchorx="margin"/>
          </v:shape>
        </w:pict>
      </w:r>
      <w:r>
        <w:t>einander durch Sprachgrenzen und geographische Entfernungen getrennt, nur noch untereinander fort, ohne sich miteinander zu vermischen. Dad</w:t>
      </w:r>
      <w:r>
        <w:t>urch wurden sie in ihrer genetischen Vielfalt beschnitten. Innerhalb weniger Generationen war es so möglich, dass aus den einzelnen Gründerpopulationen verschiedene Ras</w:t>
      </w:r>
      <w:r>
        <w:softHyphen/>
        <w:t>sen der Menschheit hervorgehen konnten.</w:t>
      </w:r>
    </w:p>
    <w:p w:rsidR="00BB7EDA" w:rsidRDefault="007D72B3">
      <w:pPr>
        <w:pStyle w:val="Bodytext90"/>
        <w:numPr>
          <w:ilvl w:val="0"/>
          <w:numId w:val="110"/>
        </w:numPr>
        <w:shd w:val="clear" w:color="auto" w:fill="auto"/>
        <w:tabs>
          <w:tab w:val="left" w:pos="505"/>
        </w:tabs>
        <w:spacing w:after="163" w:line="180" w:lineRule="exact"/>
        <w:ind w:left="320" w:hanging="320"/>
      </w:pPr>
      <w:r>
        <w:t>Gene, Völker und Sprachen</w:t>
      </w:r>
    </w:p>
    <w:p w:rsidR="00BB7EDA" w:rsidRDefault="007D72B3">
      <w:pPr>
        <w:pStyle w:val="Bodytext20"/>
        <w:shd w:val="clear" w:color="auto" w:fill="auto"/>
        <w:spacing w:before="0" w:after="267" w:line="226" w:lineRule="exact"/>
      </w:pPr>
      <w:r>
        <w:t xml:space="preserve">Nebenbei sei an </w:t>
      </w:r>
      <w:r>
        <w:t>dieser Stelle noch darauf hingewiesen, dass man bei Untersuchungen über Zusammenhänge zwischen Sprachen, Völ</w:t>
      </w:r>
      <w:r>
        <w:softHyphen/>
        <w:t>kern und Genen gut beachten muss, dass im Lauf der Geschichte manche Völker ihre Sprache gewechselt haben. So spricht man z.B. heute in Ägypten ein</w:t>
      </w:r>
      <w:r>
        <w:t xml:space="preserve">en arabischen Dialekt, was aber keineswegs bedeutet, dass Ägypter </w:t>
      </w:r>
      <w:r>
        <w:rPr>
          <w:rStyle w:val="Bodytext2Italic0"/>
        </w:rPr>
        <w:t>genetisch</w:t>
      </w:r>
      <w:r>
        <w:t xml:space="preserve"> wirklich Araber wären und damit auf die ismaelitischen Stämme aus Saudiarabien zurückgingen.</w:t>
      </w:r>
      <w:r>
        <w:rPr>
          <w:vertAlign w:val="superscript"/>
        </w:rPr>
        <w:t>252</w:t>
      </w:r>
    </w:p>
    <w:p w:rsidR="00BB7EDA" w:rsidRDefault="007D72B3">
      <w:pPr>
        <w:pStyle w:val="Bodytext60"/>
        <w:shd w:val="clear" w:color="auto" w:fill="auto"/>
        <w:spacing w:line="192" w:lineRule="exact"/>
        <w:ind w:left="320" w:hanging="320"/>
        <w:jc w:val="both"/>
      </w:pPr>
      <w:r>
        <w:rPr>
          <w:vertAlign w:val="superscript"/>
        </w:rPr>
        <w:t>25/</w:t>
      </w:r>
      <w:r>
        <w:t xml:space="preserve"> Heute bezeichnet man alle Arabisch sprechenden Menschen als Araber. Dies ist abe</w:t>
      </w:r>
      <w:r>
        <w:t>r keine genetische, sondern eine sprachliche und kulturelle Bezeich</w:t>
      </w:r>
      <w:r>
        <w:softHyphen/>
        <w:t>nung.</w:t>
      </w:r>
      <w:r>
        <w:br w:type="page"/>
      </w:r>
    </w:p>
    <w:p w:rsidR="00BB7EDA" w:rsidRDefault="007D72B3">
      <w:pPr>
        <w:pStyle w:val="Bodytext20"/>
        <w:shd w:val="clear" w:color="auto" w:fill="auto"/>
        <w:spacing w:before="0" w:line="226" w:lineRule="exact"/>
      </w:pPr>
      <w:r>
        <w:t>Nein, die hamitischen Ägypter sprachen früher Koptisch und über</w:t>
      </w:r>
      <w:r>
        <w:softHyphen/>
        <w:t>nahmen das Arabische erst in der Folge der islamischen Eroberung ihres Landes. Natürlich muss man davon ausgehen, das</w:t>
      </w:r>
      <w:r>
        <w:t>s es auch eine gewisse Vermischung mit Ismaelitern gegeben hat, allerdings nur in beschränktem Maße.</w:t>
      </w:r>
    </w:p>
    <w:p w:rsidR="00BB7EDA" w:rsidRDefault="007D72B3">
      <w:pPr>
        <w:pStyle w:val="Bodytext20"/>
        <w:shd w:val="clear" w:color="auto" w:fill="auto"/>
        <w:spacing w:before="0" w:after="337" w:line="226" w:lineRule="exact"/>
        <w:ind w:firstLine="320"/>
      </w:pPr>
      <w:r>
        <w:t>Ein weiteres gutes Beispiel ist durch die Eroberung von Byzanz im Jahr 1453 gegeben. Damals wurde das Griechische durch das altaische Türkisch verdrängt. W</w:t>
      </w:r>
      <w:r>
        <w:t>ährend diese islamische Machtüber</w:t>
      </w:r>
      <w:r>
        <w:softHyphen/>
        <w:t>nahme kulturell gewaltige Folgen hatte, so blieb allerdings der Einfluss der Eroberer auf die Gene dieser Menschen gering.</w:t>
      </w:r>
      <w:r>
        <w:rPr>
          <w:vertAlign w:val="superscript"/>
        </w:rPr>
        <w:footnoteReference w:id="216"/>
      </w:r>
    </w:p>
    <w:p w:rsidR="00BB7EDA" w:rsidRDefault="007D72B3">
      <w:pPr>
        <w:pStyle w:val="Bodytext90"/>
        <w:numPr>
          <w:ilvl w:val="0"/>
          <w:numId w:val="110"/>
        </w:numPr>
        <w:shd w:val="clear" w:color="auto" w:fill="auto"/>
        <w:tabs>
          <w:tab w:val="left" w:pos="505"/>
        </w:tabs>
        <w:spacing w:after="163" w:line="180" w:lineRule="exact"/>
      </w:pPr>
      <w:r>
        <w:t>Noah und die heutige Erdbevölkerung</w:t>
      </w:r>
    </w:p>
    <w:p w:rsidR="00BB7EDA" w:rsidRDefault="007D72B3">
      <w:pPr>
        <w:pStyle w:val="Bodytext20"/>
        <w:shd w:val="clear" w:color="auto" w:fill="auto"/>
        <w:spacing w:before="0" w:line="226" w:lineRule="exact"/>
      </w:pPr>
      <w:r>
        <w:t>In Verbindung mit der Völkertafel in Gen 10 stellt sich die ko</w:t>
      </w:r>
      <w:r>
        <w:t>nkrete Frage, wie es eigentlich zum Ausmaß der heutigen Erdbevölkerung von ca. 6 Milliarden Menschen kommen konnte, wenn sie wirklich alle auf die 3 Söhne Noahs und deren Ehefrauen im 4. oder 3. Jahrtausend v. Chr. zurückgehen.</w:t>
      </w:r>
    </w:p>
    <w:p w:rsidR="00BB7EDA" w:rsidRDefault="007D72B3">
      <w:pPr>
        <w:pStyle w:val="Bodytext20"/>
        <w:shd w:val="clear" w:color="auto" w:fill="auto"/>
        <w:spacing w:before="0" w:line="226" w:lineRule="exact"/>
        <w:ind w:firstLine="320"/>
      </w:pPr>
      <w:r>
        <w:t>Bevölkerungsstatistische Übe</w:t>
      </w:r>
      <w:r>
        <w:t>rlegungen zeigen, dass dies sehr realistisch ist:</w:t>
      </w:r>
      <w:r>
        <w:rPr>
          <w:vertAlign w:val="superscript"/>
        </w:rPr>
        <w:footnoteReference w:id="217"/>
      </w:r>
      <w:r>
        <w:t xml:space="preserve"> Geht man von einer mittleren Kinderzahl von 2,25 Kindern pro Familie aus, so wachsen 3 Urfamilien in etwas mehr als 5.000 Jahren tatsächlich auf eine Bevölkerung von 6 Milliarden heran. Dies entspräche ein</w:t>
      </w:r>
      <w:r>
        <w:t>er mittleren Zuwachsrate von 0,4%.</w:t>
      </w:r>
    </w:p>
    <w:p w:rsidR="00BB7EDA" w:rsidRDefault="007D72B3">
      <w:pPr>
        <w:pStyle w:val="Bodytext20"/>
        <w:shd w:val="clear" w:color="auto" w:fill="auto"/>
        <w:spacing w:before="0" w:line="226" w:lineRule="exact"/>
        <w:ind w:firstLine="320"/>
      </w:pPr>
      <w:r>
        <w:t>Ginge man von der heutigen Zuwachsrate von 1,9% aus, so hätte die Zeitspanne von lediglich etwas mehr als 1.500 Jahren bereits ausgereicht, um die 6-Milliarden-Marke zu erreichen. Die heutige Zuwachsrate ist erstaunlich h</w:t>
      </w:r>
      <w:r>
        <w:t>och, wenn man bedenkt, wie unsere Zeit doch von so vielen Kriegen in aller Welt geprägt ist, nebst den gewaltigen Katastrophen durch Erdbeben, Fluten sowie den große Teile der Weltbevölkerung in beängstigender Weise betreffenden Problemen von Hunger und Ep</w:t>
      </w:r>
      <w:r>
        <w:t>idemien (z.B. Pocken [bis 1980], AIDS) etc.</w:t>
      </w:r>
    </w:p>
    <w:p w:rsidR="00BB7EDA" w:rsidRDefault="007D72B3">
      <w:pPr>
        <w:pStyle w:val="Bodytext20"/>
        <w:shd w:val="clear" w:color="auto" w:fill="auto"/>
        <w:spacing w:before="0" w:after="386" w:line="226" w:lineRule="exact"/>
        <w:ind w:firstLine="320"/>
      </w:pPr>
      <w:r>
        <w:t>Für die Evolutionslehre stellt die Bevölkerungsstatistik ein Pro</w:t>
      </w:r>
      <w:r>
        <w:softHyphen/>
        <w:t xml:space="preserve">blem dar: Geht man davon aus, dass es den </w:t>
      </w:r>
      <w:r>
        <w:rPr>
          <w:rStyle w:val="Bodytext2Italic0"/>
        </w:rPr>
        <w:t xml:space="preserve">Homo sapiens sapiens, </w:t>
      </w:r>
      <w:r>
        <w:t>also den so genannten modernen Menschen schon seit 40.000 Jahren gäbe, so wäre dami</w:t>
      </w:r>
      <w:r>
        <w:t>t zu rechnen, dass die Erdbevölkerung die 10-Milliarden-Marke schon etwa 70 mal überschritten hätte. Doch wo sind die unzähligen prähistorischen Gräberfelder mit all ihren Beigaben geblieben? Man findet sie nirgends. Sie fehlen einfach. So sprechen auch di</w:t>
      </w:r>
      <w:r>
        <w:t>ese Überlegungen gegen das Evolu</w:t>
      </w:r>
      <w:r>
        <w:softHyphen/>
        <w:t>tionskonzept. Andererseits passen sie wirklich gut in das biblische Geschichtsbild hinein.</w:t>
      </w:r>
    </w:p>
    <w:p w:rsidR="00BB7EDA" w:rsidRDefault="007D72B3">
      <w:pPr>
        <w:pStyle w:val="Heading40"/>
        <w:keepNext/>
        <w:keepLines/>
        <w:numPr>
          <w:ilvl w:val="0"/>
          <w:numId w:val="111"/>
        </w:numPr>
        <w:shd w:val="clear" w:color="auto" w:fill="auto"/>
        <w:tabs>
          <w:tab w:val="left" w:pos="404"/>
        </w:tabs>
        <w:spacing w:after="251" w:line="269" w:lineRule="exact"/>
        <w:jc w:val="left"/>
      </w:pPr>
      <w:bookmarkStart w:id="57" w:name="bookmark56"/>
      <w:r>
        <w:t>Genesis 11 im Vergleich mit den Sprachenver- wirrungs- und Turmbau-Erzählungen aus aller Welt</w:t>
      </w:r>
      <w:bookmarkEnd w:id="57"/>
    </w:p>
    <w:p w:rsidR="00BB7EDA" w:rsidRDefault="007D72B3">
      <w:pPr>
        <w:pStyle w:val="Heading50"/>
        <w:keepNext/>
        <w:keepLines/>
        <w:numPr>
          <w:ilvl w:val="0"/>
          <w:numId w:val="112"/>
        </w:numPr>
        <w:shd w:val="clear" w:color="auto" w:fill="auto"/>
        <w:tabs>
          <w:tab w:val="left" w:pos="500"/>
        </w:tabs>
        <w:spacing w:after="163" w:line="180" w:lineRule="exact"/>
      </w:pPr>
      <w:bookmarkStart w:id="58" w:name="bookmark57"/>
      <w:r>
        <w:t>Eine Parallele aus Sumer</w:t>
      </w:r>
      <w:bookmarkEnd w:id="58"/>
    </w:p>
    <w:p w:rsidR="00BB7EDA" w:rsidRDefault="007D72B3">
      <w:pPr>
        <w:pStyle w:val="Bodytext20"/>
        <w:shd w:val="clear" w:color="auto" w:fill="auto"/>
        <w:spacing w:before="0" w:after="232" w:line="226" w:lineRule="exact"/>
      </w:pPr>
      <w:r>
        <w:t xml:space="preserve">Der Gedanke, dass die urzeitliche Menschheit nur </w:t>
      </w:r>
      <w:r>
        <w:rPr>
          <w:rStyle w:val="Bodytext2Italic0"/>
        </w:rPr>
        <w:t>eine</w:t>
      </w:r>
      <w:r>
        <w:t xml:space="preserve"> Sprache hatte, findet sich auch in der sumerischen Literatur. Das Enmerkar- Epos berichtet von einem goldenen Zeitalter ohne Schlangen und Skorpionen, ohne Furcht und Schrecken, wo der Mensch keine Fein</w:t>
      </w:r>
      <w:r>
        <w:t>de gehabt habe.</w:t>
      </w:r>
      <w:r>
        <w:rPr>
          <w:vertAlign w:val="superscript"/>
        </w:rPr>
        <w:footnoteReference w:id="218"/>
      </w:r>
      <w:r>
        <w:t xml:space="preserve"> Alle Menschen hätten den Gott Enlil „mit </w:t>
      </w:r>
      <w:r>
        <w:rPr>
          <w:rStyle w:val="Bodytext2Italic0"/>
        </w:rPr>
        <w:t>einer</w:t>
      </w:r>
      <w:r>
        <w:t xml:space="preserve"> Sprache" gepriesen.</w:t>
      </w:r>
      <w:r>
        <w:rPr>
          <w:vertAlign w:val="superscript"/>
        </w:rPr>
        <w:footnoteReference w:id="219"/>
      </w:r>
      <w:r>
        <w:t xml:space="preserve"> Doch später sei mittels übernatürlicher Intervention, und zwar durch Enki, den Gott der Weisheit, die Ursprache der Menschen in eine Vielzahl von Sprachen geändert worden,</w:t>
      </w:r>
      <w:r>
        <w:rPr>
          <w:vertAlign w:val="superscript"/>
        </w:rPr>
        <w:footnoteReference w:id="220"/>
      </w:r>
      <w:r>
        <w:t xml:space="preserve"> sodass infolge dessen Streit entstanden sei.</w:t>
      </w:r>
      <w:r>
        <w:rPr>
          <w:vertAlign w:val="superscript"/>
        </w:rPr>
        <w:footnoteReference w:id="221"/>
      </w:r>
    </w:p>
    <w:p w:rsidR="00BB7EDA" w:rsidRDefault="007D72B3">
      <w:pPr>
        <w:pStyle w:val="Heading50"/>
        <w:keepNext/>
        <w:keepLines/>
        <w:numPr>
          <w:ilvl w:val="0"/>
          <w:numId w:val="112"/>
        </w:numPr>
        <w:shd w:val="clear" w:color="auto" w:fill="auto"/>
        <w:tabs>
          <w:tab w:val="left" w:pos="510"/>
        </w:tabs>
        <w:spacing w:line="461" w:lineRule="exact"/>
      </w:pPr>
      <w:bookmarkStart w:id="59" w:name="bookmark58"/>
      <w:r>
        <w:t>Babylonische Entsprechungen</w:t>
      </w:r>
      <w:bookmarkEnd w:id="59"/>
    </w:p>
    <w:p w:rsidR="00BB7EDA" w:rsidRDefault="007D72B3">
      <w:pPr>
        <w:pStyle w:val="Bodytext100"/>
        <w:numPr>
          <w:ilvl w:val="0"/>
          <w:numId w:val="113"/>
        </w:numPr>
        <w:shd w:val="clear" w:color="auto" w:fill="auto"/>
        <w:tabs>
          <w:tab w:val="left" w:pos="649"/>
        </w:tabs>
        <w:spacing w:before="0" w:line="461" w:lineRule="exact"/>
        <w:ind w:firstLine="0"/>
      </w:pPr>
      <w:r>
        <w:t>Der Bericht des Berossus</w:t>
      </w:r>
    </w:p>
    <w:p w:rsidR="00BB7EDA" w:rsidRDefault="007D72B3">
      <w:pPr>
        <w:pStyle w:val="Bodytext20"/>
        <w:shd w:val="clear" w:color="auto" w:fill="auto"/>
        <w:spacing w:before="0" w:line="226" w:lineRule="exact"/>
      </w:pPr>
      <w:r>
        <w:t>Der babylonische Marduk-Priester Berossus hat ein umfassendes Werk verfasst, das verloren gegangen ist. Doch spätere antike Schrift</w:t>
      </w:r>
      <w:r>
        <w:softHyphen/>
        <w:t>steller haben daraus zi</w:t>
      </w:r>
      <w:r>
        <w:t>tiert, sodass uns dennoch einiges daraus heute noch bekannt ist. Eusebius hat den babylonischen Sprachent- stehungs-Mythos von Berossus in der Überlieferung durch Abyde- nus wie folgt wiedergegeben:</w:t>
      </w:r>
      <w:r>
        <w:rPr>
          <w:vertAlign w:val="superscript"/>
        </w:rPr>
        <w:footnoteReference w:id="222"/>
      </w:r>
      <w:r>
        <w:br w:type="page"/>
      </w:r>
    </w:p>
    <w:p w:rsidR="00BB7EDA" w:rsidRDefault="007D72B3">
      <w:pPr>
        <w:pStyle w:val="Bodytext20"/>
        <w:shd w:val="clear" w:color="auto" w:fill="auto"/>
        <w:spacing w:before="0" w:after="184"/>
        <w:ind w:left="320" w:right="360"/>
      </w:pPr>
      <w:r>
        <w:t>„Einige sagen, die ersten aus der Erde hervorgegangenen</w:t>
      </w:r>
      <w:r>
        <w:t xml:space="preserve"> Menschen, trotzend auf ihre Größe und Stärke und die Götter verachtend und sich besser als jene dünkend,</w:t>
      </w:r>
      <w:r>
        <w:rPr>
          <w:vertAlign w:val="superscript"/>
        </w:rPr>
        <w:t>260</w:t>
      </w:r>
      <w:r>
        <w:t xml:space="preserve"> hätten es unternommen, einen hohen Turm zu bauen,</w:t>
      </w:r>
      <w:r>
        <w:rPr>
          <w:vertAlign w:val="superscript"/>
        </w:rPr>
        <w:t>261</w:t>
      </w:r>
      <w:r>
        <w:t xml:space="preserve"> da, wo jetzt Babylon ist.</w:t>
      </w:r>
      <w:r>
        <w:rPr>
          <w:vertAlign w:val="superscript"/>
        </w:rPr>
        <w:t>262</w:t>
      </w:r>
      <w:r>
        <w:t xml:space="preserve"> Schon wären sie dem Himmel nahe</w:t>
      </w:r>
      <w:r>
        <w:rPr>
          <w:vertAlign w:val="superscript"/>
        </w:rPr>
        <w:t>263</w:t>
      </w:r>
      <w:r>
        <w:t xml:space="preserve"> gewesen, da hätten die Winde, </w:t>
      </w:r>
      <w:r>
        <w:t>den Göttern zu Hilfe kommend, das Bauwerk umgestürzt. Die Trümmer desselben hätte man Babylon genannt.</w:t>
      </w:r>
      <w:r>
        <w:rPr>
          <w:vertAlign w:val="superscript"/>
        </w:rPr>
        <w:t>264</w:t>
      </w:r>
      <w:r>
        <w:t xml:space="preserve"> Da die Menschen bis dahin </w:t>
      </w:r>
      <w:r>
        <w:rPr>
          <w:rStyle w:val="Bodytext2Italic0"/>
        </w:rPr>
        <w:t>eine</w:t>
      </w:r>
      <w:r>
        <w:t xml:space="preserve"> Sprache gehabt,</w:t>
      </w:r>
      <w:r>
        <w:rPr>
          <w:vertAlign w:val="superscript"/>
        </w:rPr>
        <w:t>265</w:t>
      </w:r>
      <w:r>
        <w:t xml:space="preserve"> so hätten sie nun durch den Willen der Götter verschiedene Sprachen bekommen,</w:t>
      </w:r>
      <w:r>
        <w:rPr>
          <w:vertAlign w:val="superscript"/>
        </w:rPr>
        <w:t>266</w:t>
      </w:r>
      <w:r>
        <w:t xml:space="preserve"> darauf sei zwischen</w:t>
      </w:r>
      <w:r>
        <w:t xml:space="preserve"> Kronos und Titan der Krieg ausgebrochen."</w:t>
      </w:r>
      <w:r>
        <w:rPr>
          <w:vertAlign w:val="superscript"/>
        </w:rPr>
        <w:t>267</w:t>
      </w:r>
    </w:p>
    <w:p w:rsidR="00BB7EDA" w:rsidRDefault="007D72B3">
      <w:pPr>
        <w:pStyle w:val="Bodytext100"/>
        <w:shd w:val="clear" w:color="auto" w:fill="auto"/>
        <w:spacing w:before="0"/>
        <w:ind w:firstLine="0"/>
      </w:pPr>
      <w:r>
        <w:t>4A.2.2 Babylonische Mythologie in der Bibel?</w:t>
      </w:r>
    </w:p>
    <w:p w:rsidR="00BB7EDA" w:rsidRDefault="007D72B3">
      <w:pPr>
        <w:pStyle w:val="Bodytext20"/>
        <w:shd w:val="clear" w:color="auto" w:fill="auto"/>
        <w:spacing w:before="0" w:line="226" w:lineRule="exact"/>
      </w:pPr>
      <w:r>
        <w:t>Nun könnte man behaupten, dass es sich bei dem biblischen Bericht in Gen 11 einfach um die Übernahme und Weiterführung eines sumerischen bzw. babylonischen Mythos ha</w:t>
      </w:r>
      <w:r>
        <w:t>ndle. Doch so einfach geht das nicht. Wie wollte man denn erklären, dass es Turmbau- und Sprachenverwirrungs-Erzählungen nicht nur in den biblischen Län</w:t>
      </w:r>
      <w:r>
        <w:softHyphen/>
        <w:t>dern des Nahen Ostens gibt, sondern ebenso bei anderen Völkern, und zwar in allen fünf Kontinenten?</w:t>
      </w:r>
    </w:p>
    <w:p w:rsidR="00BB7EDA" w:rsidRDefault="007D72B3">
      <w:pPr>
        <w:pStyle w:val="Bodytext20"/>
        <w:shd w:val="clear" w:color="auto" w:fill="auto"/>
        <w:spacing w:before="0" w:after="387" w:line="226" w:lineRule="exact"/>
        <w:ind w:firstLine="320"/>
      </w:pPr>
      <w:r>
        <w:t>Dem</w:t>
      </w:r>
      <w:r>
        <w:t xml:space="preserve"> Thema der Turmbau- und Sprachverwirrungs-Erzäh</w:t>
      </w:r>
      <w:r>
        <w:softHyphen/>
        <w:t>lungen ist in der theologischen Fachliteratur im Allgemeinen bisher keine sonderlich große Aufmerksamkeit geschenkt wor</w:t>
      </w:r>
      <w:r>
        <w:softHyphen/>
        <w:t xml:space="preserve">den. So erwähnt z.B. der sehr liberale Waldenser Alberto </w:t>
      </w:r>
      <w:r>
        <w:rPr>
          <w:rStyle w:val="Bodytext28ptBoldSmallCaps"/>
        </w:rPr>
        <w:t xml:space="preserve">Soggin </w:t>
      </w:r>
      <w:r>
        <w:t>in seinem 1997 im Deutsc</w:t>
      </w:r>
      <w:r>
        <w:t>hen erschienenen Genesis-Kommentar das Phänomen der weltweit verbreiteten Turmbau- und Spra- chenverwirrungs-Erzählungen überhaupt nicht.</w:t>
      </w:r>
      <w:r>
        <w:rPr>
          <w:vertAlign w:val="superscript"/>
        </w:rPr>
        <w:t>268</w:t>
      </w:r>
      <w:r>
        <w:t xml:space="preserve"> Claus </w:t>
      </w:r>
      <w:r>
        <w:rPr>
          <w:rStyle w:val="Bodytext28ptBoldSmallCaps"/>
        </w:rPr>
        <w:t>Wester</w:t>
      </w:r>
      <w:r>
        <w:rPr>
          <w:rStyle w:val="Bodytext28ptBoldSmallCaps"/>
        </w:rPr>
        <w:softHyphen/>
        <w:t xml:space="preserve">mann </w:t>
      </w:r>
      <w:r>
        <w:t>weiß zwar in seinem umfassenden bibelkritischen Stan</w:t>
      </w:r>
      <w:r>
        <w:softHyphen/>
        <w:t>dard-Kommentar zum ersten Buch der Bibel von</w:t>
      </w:r>
      <w:r>
        <w:t xml:space="preserve"> dieser völker</w:t>
      </w:r>
      <w:r>
        <w:softHyphen/>
        <w:t>kundlichen Erscheinung zu berichten,</w:t>
      </w:r>
      <w:r>
        <w:rPr>
          <w:vertAlign w:val="superscript"/>
        </w:rPr>
        <w:t>269</w:t>
      </w:r>
      <w:r>
        <w:t xml:space="preserve"> tut sie aber oberflächlich</w:t>
      </w:r>
    </w:p>
    <w:p w:rsidR="00BB7EDA" w:rsidRDefault="007D72B3">
      <w:pPr>
        <w:pStyle w:val="Bodytext60"/>
        <w:shd w:val="clear" w:color="auto" w:fill="auto"/>
        <w:spacing w:line="192" w:lineRule="exact"/>
        <w:jc w:val="both"/>
      </w:pPr>
      <w:r>
        <w:pict>
          <v:shape id="_x0000_s1083" type="#_x0000_t202" style="position:absolute;left:0;text-align:left;margin-left:-3.25pt;margin-top:-6pt;width:11.3pt;height:108.4pt;z-index:-125829362;mso-wrap-distance-left:5pt;mso-wrap-distance-right:5pt;mso-position-horizontal-relative:margin" filled="f" stroked="f">
            <v:textbox style="mso-fit-shape-to-text:t" inset="0,0,0,0">
              <w:txbxContent>
                <w:p w:rsidR="00BB7EDA" w:rsidRDefault="007D72B3">
                  <w:pPr>
                    <w:pStyle w:val="Bodytext150"/>
                    <w:shd w:val="clear" w:color="auto" w:fill="auto"/>
                  </w:pPr>
                  <w:r>
                    <w:rPr>
                      <w:rStyle w:val="Bodytext15Exact"/>
                    </w:rPr>
                    <w:t>260</w:t>
                  </w:r>
                </w:p>
                <w:p w:rsidR="00BB7EDA" w:rsidRDefault="007D72B3">
                  <w:pPr>
                    <w:pStyle w:val="Bodytext150"/>
                    <w:shd w:val="clear" w:color="auto" w:fill="auto"/>
                  </w:pPr>
                  <w:r>
                    <w:rPr>
                      <w:rStyle w:val="Bodytext15Exact"/>
                    </w:rPr>
                    <w:t>261</w:t>
                  </w:r>
                </w:p>
                <w:p w:rsidR="00BB7EDA" w:rsidRDefault="007D72B3">
                  <w:pPr>
                    <w:pStyle w:val="Bodytext150"/>
                    <w:shd w:val="clear" w:color="auto" w:fill="auto"/>
                  </w:pPr>
                  <w:r>
                    <w:rPr>
                      <w:rStyle w:val="Bodytext15Exact"/>
                    </w:rPr>
                    <w:t>262</w:t>
                  </w:r>
                </w:p>
                <w:p w:rsidR="00BB7EDA" w:rsidRDefault="007D72B3">
                  <w:pPr>
                    <w:pStyle w:val="Bodytext150"/>
                    <w:shd w:val="clear" w:color="auto" w:fill="auto"/>
                  </w:pPr>
                  <w:r>
                    <w:rPr>
                      <w:rStyle w:val="Bodytext15Exact"/>
                    </w:rPr>
                    <w:t>263</w:t>
                  </w:r>
                </w:p>
                <w:p w:rsidR="00BB7EDA" w:rsidRDefault="007D72B3">
                  <w:pPr>
                    <w:pStyle w:val="Bodytext150"/>
                    <w:shd w:val="clear" w:color="auto" w:fill="auto"/>
                  </w:pPr>
                  <w:r>
                    <w:rPr>
                      <w:rStyle w:val="Bodytext15Exact"/>
                    </w:rPr>
                    <w:t>264</w:t>
                  </w:r>
                </w:p>
                <w:p w:rsidR="00BB7EDA" w:rsidRDefault="007D72B3">
                  <w:pPr>
                    <w:pStyle w:val="Bodytext150"/>
                    <w:shd w:val="clear" w:color="auto" w:fill="auto"/>
                  </w:pPr>
                  <w:r>
                    <w:rPr>
                      <w:rStyle w:val="Bodytext15Exact"/>
                    </w:rPr>
                    <w:t>265</w:t>
                  </w:r>
                </w:p>
                <w:p w:rsidR="00BB7EDA" w:rsidRDefault="007D72B3">
                  <w:pPr>
                    <w:pStyle w:val="Bodytext150"/>
                    <w:shd w:val="clear" w:color="auto" w:fill="auto"/>
                  </w:pPr>
                  <w:r>
                    <w:rPr>
                      <w:rStyle w:val="Bodytext15Exact"/>
                    </w:rPr>
                    <w:t>266</w:t>
                  </w:r>
                </w:p>
                <w:p w:rsidR="00BB7EDA" w:rsidRDefault="007D72B3">
                  <w:pPr>
                    <w:pStyle w:val="Bodytext150"/>
                    <w:shd w:val="clear" w:color="auto" w:fill="auto"/>
                    <w:spacing w:after="124"/>
                  </w:pPr>
                  <w:r>
                    <w:rPr>
                      <w:rStyle w:val="Bodytext15Exact"/>
                    </w:rPr>
                    <w:t>267</w:t>
                  </w:r>
                </w:p>
                <w:p w:rsidR="00BB7EDA" w:rsidRDefault="007D72B3">
                  <w:pPr>
                    <w:pStyle w:val="Bodytext150"/>
                    <w:numPr>
                      <w:ilvl w:val="0"/>
                      <w:numId w:val="109"/>
                    </w:numPr>
                    <w:shd w:val="clear" w:color="auto" w:fill="auto"/>
                    <w:spacing w:line="187" w:lineRule="exact"/>
                  </w:pPr>
                  <w:r>
                    <w:rPr>
                      <w:rStyle w:val="Bodytext15Exact"/>
                    </w:rPr>
                    <w:t xml:space="preserve"> 269</w:t>
                  </w:r>
                </w:p>
              </w:txbxContent>
            </v:textbox>
            <w10:wrap type="square" side="right" anchorx="margin"/>
          </v:shape>
        </w:pict>
      </w:r>
      <w:r>
        <w:t>Vgl. Gen 11,4.</w:t>
      </w:r>
    </w:p>
    <w:p w:rsidR="00BB7EDA" w:rsidRDefault="007D72B3">
      <w:pPr>
        <w:pStyle w:val="Bodytext60"/>
        <w:shd w:val="clear" w:color="auto" w:fill="auto"/>
        <w:spacing w:line="192" w:lineRule="exact"/>
        <w:jc w:val="both"/>
      </w:pPr>
      <w:r>
        <w:t>Vgl. Gen 11,3-5.</w:t>
      </w:r>
    </w:p>
    <w:p w:rsidR="00BB7EDA" w:rsidRDefault="007D72B3">
      <w:pPr>
        <w:pStyle w:val="Bodytext60"/>
        <w:shd w:val="clear" w:color="auto" w:fill="auto"/>
        <w:spacing w:line="192" w:lineRule="exact"/>
        <w:jc w:val="both"/>
      </w:pPr>
      <w:r>
        <w:t>Vgl. Gen 11,9.</w:t>
      </w:r>
    </w:p>
    <w:p w:rsidR="00BB7EDA" w:rsidRDefault="007D72B3">
      <w:pPr>
        <w:pStyle w:val="Bodytext60"/>
        <w:shd w:val="clear" w:color="auto" w:fill="auto"/>
        <w:spacing w:line="192" w:lineRule="exact"/>
        <w:jc w:val="both"/>
      </w:pPr>
      <w:r>
        <w:t>Vgl. Gen 11,4.</w:t>
      </w:r>
    </w:p>
    <w:p w:rsidR="00BB7EDA" w:rsidRDefault="007D72B3">
      <w:pPr>
        <w:pStyle w:val="Bodytext60"/>
        <w:shd w:val="clear" w:color="auto" w:fill="auto"/>
        <w:spacing w:line="192" w:lineRule="exact"/>
        <w:jc w:val="both"/>
      </w:pPr>
      <w:r>
        <w:t>Vgl. Gen 11,9.</w:t>
      </w:r>
    </w:p>
    <w:p w:rsidR="00BB7EDA" w:rsidRDefault="007D72B3">
      <w:pPr>
        <w:pStyle w:val="Bodytext60"/>
        <w:shd w:val="clear" w:color="auto" w:fill="auto"/>
        <w:spacing w:line="192" w:lineRule="exact"/>
        <w:jc w:val="both"/>
      </w:pPr>
      <w:r>
        <w:t>Vgl. Gen 11,1.</w:t>
      </w:r>
    </w:p>
    <w:p w:rsidR="00BB7EDA" w:rsidRDefault="007D72B3">
      <w:pPr>
        <w:pStyle w:val="Bodytext60"/>
        <w:shd w:val="clear" w:color="auto" w:fill="auto"/>
        <w:spacing w:line="192" w:lineRule="exact"/>
        <w:jc w:val="both"/>
      </w:pPr>
      <w:r>
        <w:t>Vgl. Gen 11,9.</w:t>
      </w:r>
    </w:p>
    <w:p w:rsidR="00BB7EDA" w:rsidRDefault="007D72B3">
      <w:pPr>
        <w:pStyle w:val="Bodytext60"/>
        <w:shd w:val="clear" w:color="auto" w:fill="auto"/>
        <w:spacing w:line="192" w:lineRule="exact"/>
        <w:jc w:val="both"/>
      </w:pPr>
      <w:r>
        <w:t xml:space="preserve">Eusebius, Praeparatio Evangelica 9,14; zitiert nach: </w:t>
      </w:r>
      <w:r>
        <w:rPr>
          <w:rStyle w:val="Bodytext67ptSmallCaps"/>
        </w:rPr>
        <w:t xml:space="preserve">Luken: </w:t>
      </w:r>
      <w:r>
        <w:t>Die Traditionen des Menschengeschlechts, 1. Aufl. 1856, S. 279.</w:t>
      </w:r>
    </w:p>
    <w:p w:rsidR="00BB7EDA" w:rsidRDefault="007D72B3">
      <w:pPr>
        <w:pStyle w:val="Bodytext60"/>
        <w:shd w:val="clear" w:color="auto" w:fill="auto"/>
        <w:spacing w:line="192" w:lineRule="exact"/>
        <w:jc w:val="both"/>
      </w:pPr>
      <w:r>
        <w:rPr>
          <w:rStyle w:val="Bodytext67ptSmallCaps"/>
        </w:rPr>
        <w:t xml:space="preserve">Soggin: </w:t>
      </w:r>
      <w:r>
        <w:t>Das Buch Genesis, S. 176-184.</w:t>
      </w:r>
    </w:p>
    <w:p w:rsidR="00BB7EDA" w:rsidRDefault="007D72B3">
      <w:pPr>
        <w:pStyle w:val="Bodytext60"/>
        <w:shd w:val="clear" w:color="auto" w:fill="auto"/>
        <w:spacing w:line="192" w:lineRule="exact"/>
        <w:jc w:val="both"/>
      </w:pPr>
      <w:r>
        <w:rPr>
          <w:rStyle w:val="Bodytext67ptSmallCaps"/>
        </w:rPr>
        <w:t xml:space="preserve">Westermann: </w:t>
      </w:r>
      <w:r>
        <w:t>Genesis, Kapitel 1-11, S. 715ff.</w:t>
      </w:r>
      <w:r>
        <w:br w:type="page"/>
      </w:r>
    </w:p>
    <w:p w:rsidR="00BB7EDA" w:rsidRDefault="007D72B3">
      <w:pPr>
        <w:pStyle w:val="Bodytext20"/>
        <w:shd w:val="clear" w:color="auto" w:fill="auto"/>
        <w:spacing w:before="0" w:line="226" w:lineRule="exact"/>
      </w:pPr>
      <w:r>
        <w:t xml:space="preserve">als eine in der frühen Menschheit anzutreffende </w:t>
      </w:r>
      <w:r>
        <w:t>religiöse Reflexi</w:t>
      </w:r>
      <w:r>
        <w:softHyphen/>
        <w:t>on über das Faktum der Vielheit von Sprachen und Völker ab.</w:t>
      </w:r>
      <w:r>
        <w:rPr>
          <w:vertAlign w:val="superscript"/>
        </w:rPr>
        <w:footnoteReference w:id="223"/>
      </w:r>
      <w:r>
        <w:rPr>
          <w:vertAlign w:val="superscript"/>
        </w:rPr>
        <w:t xml:space="preserve"> </w:t>
      </w:r>
      <w:r>
        <w:t>Er bemüht sich überhaupt nicht, eine Erklärung für die weltweit übereinstimmenden Details und für die eindrücklichen Verknüp</w:t>
      </w:r>
      <w:r>
        <w:softHyphen/>
        <w:t>fungen von Sintflut, Turmbau, Sprachenverwirrung und</w:t>
      </w:r>
      <w:r>
        <w:t xml:space="preserve"> Völker</w:t>
      </w:r>
      <w:r>
        <w:softHyphen/>
        <w:t>wanderungen zu geben.</w:t>
      </w:r>
    </w:p>
    <w:p w:rsidR="00BB7EDA" w:rsidRDefault="007D72B3">
      <w:pPr>
        <w:pStyle w:val="Bodytext20"/>
        <w:shd w:val="clear" w:color="auto" w:fill="auto"/>
        <w:spacing w:before="0" w:line="226" w:lineRule="exact"/>
        <w:ind w:firstLine="320"/>
      </w:pPr>
      <w:r>
        <w:t xml:space="preserve">1999 hat Fred </w:t>
      </w:r>
      <w:r>
        <w:rPr>
          <w:rStyle w:val="Bodytext28ptSmallCaps"/>
        </w:rPr>
        <w:t xml:space="preserve">Hartmann </w:t>
      </w:r>
      <w:r>
        <w:t>eine zusammenfassende kleine Studie veröffentlicht, in der er etwa 60 Turmbau- und Ursprache-Sagen aus aller Welt miteinander und mit der biblischen Erzählung vergleicht und schließlich statistisch auswe</w:t>
      </w:r>
      <w:r>
        <w:t>rtet.</w:t>
      </w:r>
      <w:r>
        <w:rPr>
          <w:vertAlign w:val="superscript"/>
        </w:rPr>
        <w:footnoteReference w:id="224"/>
      </w:r>
    </w:p>
    <w:p w:rsidR="00BB7EDA" w:rsidRDefault="007D72B3">
      <w:pPr>
        <w:pStyle w:val="Bodytext20"/>
        <w:shd w:val="clear" w:color="auto" w:fill="auto"/>
        <w:spacing w:before="0" w:line="226" w:lineRule="exact"/>
        <w:ind w:firstLine="320"/>
      </w:pPr>
      <w:r>
        <w:t>Es bleibt zu hoffen, dass diese Besinnung auf die Aussagekraft dieser Völker-Erzählungen für die geschichtliche Einordnung von Gen 11 wahrgenommen, verwertet und weiter ausgeführt wird.</w:t>
      </w:r>
    </w:p>
    <w:p w:rsidR="00BB7EDA" w:rsidRDefault="007D72B3">
      <w:pPr>
        <w:pStyle w:val="Bodytext20"/>
        <w:shd w:val="clear" w:color="auto" w:fill="auto"/>
        <w:spacing w:before="0" w:after="180" w:line="226" w:lineRule="exact"/>
        <w:ind w:firstLine="320"/>
      </w:pPr>
      <w:r>
        <w:t>Die Behauptung, Gen 11 gehe auf frühere sumerische oder baby</w:t>
      </w:r>
      <w:r>
        <w:softHyphen/>
        <w:t>lo</w:t>
      </w:r>
      <w:r>
        <w:t>nische Quellen zurück, macht angesichts von z.B. indianischen, afrikanischen sowie fernöstlichen Parallelen überhaupt keinen Ein</w:t>
      </w:r>
      <w:r>
        <w:softHyphen/>
        <w:t>druck. Unter deren Berücksichtigung könnte ja schließlich jemand mit ähnlichem Recht behaupten, die Bibel hätte Erzählstoff bei</w:t>
      </w:r>
      <w:r>
        <w:t xml:space="preserve"> den Ur-Indianern geborgt. Aber da würde wohl jeder merken, wie mut</w:t>
      </w:r>
      <w:r>
        <w:softHyphen/>
        <w:t>willig eine solche Annahme wäre.</w:t>
      </w:r>
    </w:p>
    <w:p w:rsidR="00BB7EDA" w:rsidRDefault="007D72B3">
      <w:pPr>
        <w:pStyle w:val="Bodytext100"/>
        <w:numPr>
          <w:ilvl w:val="0"/>
          <w:numId w:val="114"/>
        </w:numPr>
        <w:shd w:val="clear" w:color="auto" w:fill="auto"/>
        <w:tabs>
          <w:tab w:val="left" w:pos="658"/>
        </w:tabs>
        <w:spacing w:before="0"/>
        <w:ind w:firstLine="0"/>
      </w:pPr>
      <w:r>
        <w:t>Zum Gilgamesch-Epos</w:t>
      </w:r>
    </w:p>
    <w:p w:rsidR="00BB7EDA" w:rsidRDefault="007D72B3">
      <w:pPr>
        <w:pStyle w:val="Bodytext20"/>
        <w:shd w:val="clear" w:color="auto" w:fill="auto"/>
        <w:spacing w:before="0" w:line="226" w:lineRule="exact"/>
      </w:pPr>
      <w:r>
        <w:t>Einen exakt parallelen Fall bildet die unmittelbar vor der Turmbau- Erzählung und der Völkerzerstreuung berichtete Sintflutgeschichte i</w:t>
      </w:r>
      <w:r>
        <w:t>n Gen 6-9, die manche Gelehrte nach der Veröffentlichung des Gilgamesch-Epos</w:t>
      </w:r>
      <w:r>
        <w:rPr>
          <w:vertAlign w:val="superscript"/>
        </w:rPr>
        <w:footnoteReference w:id="225"/>
      </w:r>
      <w:r>
        <w:t xml:space="preserve"> als Variante einer babylonischen Vorlage inter</w:t>
      </w:r>
      <w:r>
        <w:softHyphen/>
        <w:t>pretierten.</w:t>
      </w:r>
    </w:p>
    <w:p w:rsidR="00BB7EDA" w:rsidRDefault="007D72B3">
      <w:pPr>
        <w:pStyle w:val="Bodytext20"/>
        <w:shd w:val="clear" w:color="auto" w:fill="auto"/>
        <w:spacing w:before="0" w:line="226" w:lineRule="exact"/>
        <w:ind w:firstLine="320"/>
      </w:pPr>
      <w:r>
        <w:t>Es lohnt sich, in diesem Zusammenhang auf die näheren Um</w:t>
      </w:r>
      <w:r>
        <w:softHyphen/>
        <w:t>stände etwas einzugehen:</w:t>
      </w:r>
    </w:p>
    <w:p w:rsidR="00BB7EDA" w:rsidRDefault="007D72B3">
      <w:pPr>
        <w:pStyle w:val="Bodytext20"/>
        <w:shd w:val="clear" w:color="auto" w:fill="auto"/>
        <w:spacing w:before="0" w:after="176" w:line="226" w:lineRule="exact"/>
        <w:ind w:firstLine="320"/>
      </w:pPr>
      <w:r>
        <w:t>Das im Ganzen aus zwölf Tafeln besteh</w:t>
      </w:r>
      <w:r>
        <w:t xml:space="preserve">ende Gilgamesch-Epos wurde im 19. Jahrhundert von Henry </w:t>
      </w:r>
      <w:r>
        <w:rPr>
          <w:rStyle w:val="Bodytext28ptSmallCaps"/>
        </w:rPr>
        <w:t xml:space="preserve">Layard </w:t>
      </w:r>
      <w:r>
        <w:t xml:space="preserve">entdeckt. 1872 wurde es zum ersten Mal publiziert. Seinen Namen erhielt dieser Text von dem darin beschriebenen nach Unsterblichkeit strebenden König Gilgamesch von Uruk (um 2600 v. Chr.). Mit </w:t>
      </w:r>
      <w:r>
        <w:t>der Entzifferung dieser Inschrift erkannte man sogleich, dass die darin enthaltene Sintflut</w:t>
      </w:r>
      <w:r>
        <w:softHyphen/>
        <w:t>geschichte eine frappante babylonische Parallele zum biblischen Bericht in Gen 6-9 darstellt.</w:t>
      </w:r>
      <w:r>
        <w:rPr>
          <w:vertAlign w:val="superscript"/>
        </w:rPr>
        <w:footnoteReference w:id="226"/>
      </w:r>
      <w:r>
        <w:t xml:space="preserve"> Sogleich wurde von manchen Gelehr</w:t>
      </w:r>
      <w:r>
        <w:softHyphen/>
        <w:t>ten lautstark die Behauptung verbre</w:t>
      </w:r>
      <w:r>
        <w:t>itet, dass die biblische Sintflut</w:t>
      </w:r>
      <w:r>
        <w:softHyphen/>
        <w:t>erzählung selbstverständlich auf diese Keilinschrift-Quelle zurück</w:t>
      </w:r>
      <w:r>
        <w:softHyphen/>
        <w:t>gehe. Der dadurch ausgelöste Streit bezüglich der Abhängigkeit zwischen heidnischen Quellen und der Bibel ging als „Babel-Bibel- Streit" in die Theologiege</w:t>
      </w:r>
      <w:r>
        <w:t>schichte ein.</w:t>
      </w:r>
    </w:p>
    <w:p w:rsidR="00BB7EDA" w:rsidRDefault="007D72B3">
      <w:pPr>
        <w:pStyle w:val="Bodytext20"/>
        <w:shd w:val="clear" w:color="auto" w:fill="auto"/>
        <w:spacing w:before="0"/>
      </w:pPr>
      <w:r>
        <w:rPr>
          <w:rStyle w:val="Bodytext285ptBoldItalic"/>
        </w:rPr>
        <w:t xml:space="preserve">4.4.2.4 Kulturanthropologie und der Babel-Bibel-Streit </w:t>
      </w:r>
      <w:r>
        <w:t>Mit Hilfe der Kulturanthropologie kann heute allerdings zur Genü</w:t>
      </w:r>
      <w:r>
        <w:softHyphen/>
        <w:t>ge deutlich gemacht werden, wie müssig es war, eine Abhängigkeit der Genesis von dem Gilgamesch-Epos zu postulieren. Bis h</w:t>
      </w:r>
      <w:r>
        <w:t>eute sind Hunderte von Sintflut-Berichten aus aller Welt bekannt gewor</w:t>
      </w:r>
      <w:r>
        <w:softHyphen/>
        <w:t>den. In allen fünf Kontinenten und in allen möglichen Kulturen finden sich parallele Erzählungen zur biblischen Geschichte von der Sintflut.</w:t>
      </w:r>
      <w:r>
        <w:rPr>
          <w:vertAlign w:val="superscript"/>
        </w:rPr>
        <w:footnoteReference w:id="227"/>
      </w:r>
      <w:r>
        <w:t xml:space="preserve"> Die Übereinstimmungen betreffen frappanterw</w:t>
      </w:r>
      <w:r>
        <w:t>eise auch viele kleine Einzelheiten.</w:t>
      </w:r>
      <w:r>
        <w:rPr>
          <w:vertAlign w:val="superscript"/>
        </w:rPr>
        <w:footnoteReference w:id="228"/>
      </w:r>
    </w:p>
    <w:p w:rsidR="00BB7EDA" w:rsidRDefault="007D72B3">
      <w:pPr>
        <w:pStyle w:val="Bodytext20"/>
        <w:shd w:val="clear" w:color="auto" w:fill="auto"/>
        <w:spacing w:before="0"/>
        <w:ind w:firstLine="320"/>
      </w:pPr>
      <w:r>
        <w:t>Die Babel-Bibel-Kontroverse sollte man in unseren Tagen end</w:t>
      </w:r>
      <w:r>
        <w:softHyphen/>
        <w:t>gültig begraben. Die weltweiten Sintflut-, Turmbau- und Sprachen- verwirrungs-Erzählungen liefern uns heute von der kulturanthro</w:t>
      </w:r>
      <w:r>
        <w:softHyphen/>
        <w:t>pologischen Seite her schwerg</w:t>
      </w:r>
      <w:r>
        <w:t>ewichtige Indizien</w:t>
      </w:r>
      <w:r>
        <w:rPr>
          <w:vertAlign w:val="superscript"/>
        </w:rPr>
        <w:footnoteReference w:id="229"/>
      </w:r>
      <w:r>
        <w:t xml:space="preserve"> für</w:t>
      </w:r>
    </w:p>
    <w:p w:rsidR="00BB7EDA" w:rsidRDefault="007D72B3">
      <w:pPr>
        <w:pStyle w:val="Bodytext20"/>
        <w:numPr>
          <w:ilvl w:val="0"/>
          <w:numId w:val="115"/>
        </w:numPr>
        <w:shd w:val="clear" w:color="auto" w:fill="auto"/>
        <w:tabs>
          <w:tab w:val="left" w:pos="285"/>
        </w:tabs>
        <w:spacing w:before="0" w:line="226" w:lineRule="exact"/>
      </w:pPr>
      <w:r>
        <w:t>eine weltweite Flutkatastrophe,</w:t>
      </w:r>
    </w:p>
    <w:p w:rsidR="00BB7EDA" w:rsidRDefault="007D72B3">
      <w:pPr>
        <w:pStyle w:val="Bodytext20"/>
        <w:numPr>
          <w:ilvl w:val="0"/>
          <w:numId w:val="115"/>
        </w:numPr>
        <w:shd w:val="clear" w:color="auto" w:fill="auto"/>
        <w:tabs>
          <w:tab w:val="left" w:pos="285"/>
        </w:tabs>
        <w:spacing w:before="0" w:line="226" w:lineRule="exact"/>
      </w:pPr>
      <w:r>
        <w:t>eine gemeinsame Herkunft der Völker in aller Welt,</w:t>
      </w:r>
    </w:p>
    <w:p w:rsidR="00BB7EDA" w:rsidRDefault="007D72B3">
      <w:pPr>
        <w:pStyle w:val="Bodytext20"/>
        <w:numPr>
          <w:ilvl w:val="0"/>
          <w:numId w:val="115"/>
        </w:numPr>
        <w:shd w:val="clear" w:color="auto" w:fill="auto"/>
        <w:tabs>
          <w:tab w:val="left" w:pos="285"/>
        </w:tabs>
        <w:spacing w:before="0" w:after="176" w:line="226" w:lineRule="exact"/>
        <w:ind w:left="320" w:hanging="320"/>
        <w:jc w:val="left"/>
      </w:pPr>
      <w:r>
        <w:t>die Entstehung neuer Sprachen nach einem Ursprache-Ver- wirrungs-Ereignis.</w:t>
      </w:r>
    </w:p>
    <w:p w:rsidR="00BB7EDA" w:rsidRDefault="007D72B3">
      <w:pPr>
        <w:pStyle w:val="Bodytext100"/>
        <w:numPr>
          <w:ilvl w:val="0"/>
          <w:numId w:val="116"/>
        </w:numPr>
        <w:shd w:val="clear" w:color="auto" w:fill="auto"/>
        <w:tabs>
          <w:tab w:val="left" w:pos="668"/>
        </w:tabs>
        <w:spacing w:before="0" w:line="230" w:lineRule="exact"/>
        <w:ind w:firstLine="0"/>
      </w:pPr>
      <w:r>
        <w:t>Gen 1-11 im Spiegel der Volker-Traditionen</w:t>
      </w:r>
    </w:p>
    <w:p w:rsidR="00BB7EDA" w:rsidRDefault="007D72B3">
      <w:pPr>
        <w:pStyle w:val="Bodytext20"/>
        <w:shd w:val="clear" w:color="auto" w:fill="auto"/>
        <w:spacing w:before="0"/>
      </w:pPr>
      <w:r>
        <w:t xml:space="preserve">Übrigens finden sich solche </w:t>
      </w:r>
      <w:r>
        <w:t>Parallelen mit der Bibel nicht nur da, wo es um Ereignisse geht, die in Gen 6-11 berichtet werden. Weltweite Parallelen können auch zur Schöpfungsgeschichte (Gen 1-2), zum Paradies mit dem Baum des Lebens, zum Sündenfallereignis mit</w:t>
      </w:r>
      <w:r>
        <w:softHyphen/>
        <w:t>samt dem Eintritt des T</w:t>
      </w:r>
      <w:r>
        <w:t>odes (Gen 3) und zu Kains Brudermord in der zweiten Generation (Gen 4) aufgezeigt werden.</w:t>
      </w:r>
      <w:r>
        <w:rPr>
          <w:vertAlign w:val="superscript"/>
        </w:rPr>
        <w:footnoteReference w:id="230"/>
      </w:r>
    </w:p>
    <w:p w:rsidR="00BB7EDA" w:rsidRDefault="007D72B3">
      <w:pPr>
        <w:pStyle w:val="Bodytext20"/>
        <w:shd w:val="clear" w:color="auto" w:fill="auto"/>
        <w:spacing w:before="0"/>
        <w:ind w:firstLine="320"/>
      </w:pPr>
      <w:r>
        <w:t xml:space="preserve">Beachtlich ist nun noch Folgendes: Alle in Gen 1,1 bis 11,8 berichteten Ereignisse haben sich </w:t>
      </w:r>
      <w:r>
        <w:rPr>
          <w:rStyle w:val="Bodytext2Italic0"/>
        </w:rPr>
        <w:t>vor</w:t>
      </w:r>
      <w:r>
        <w:t xml:space="preserve"> der Ausbreitung der Ur- menschheit ereignet. Es wäre daher plausibe</w:t>
      </w:r>
      <w:r>
        <w:t>l, falls die biblische Urgeschichte historisch zuverlässig ist, dass man zu ihr Parallelen in allen möglichen Kulturkreisen fände. Genau dies ist wirklich der Fall!</w:t>
      </w:r>
    </w:p>
    <w:p w:rsidR="00BB7EDA" w:rsidRDefault="007D72B3">
      <w:pPr>
        <w:pStyle w:val="Bodytext20"/>
        <w:shd w:val="clear" w:color="auto" w:fill="auto"/>
        <w:spacing w:before="0" w:after="184"/>
        <w:ind w:firstLine="320"/>
      </w:pPr>
      <w:r>
        <w:t xml:space="preserve">Zu biblischen Ereignissen, die </w:t>
      </w:r>
      <w:r>
        <w:rPr>
          <w:rStyle w:val="Bodytext2Italic0"/>
        </w:rPr>
        <w:t>nach</w:t>
      </w:r>
      <w:r>
        <w:t xml:space="preserve"> der Trennung der Urgesell</w:t>
      </w:r>
      <w:r>
        <w:softHyphen/>
        <w:t>schaft in Babel stattgefunden</w:t>
      </w:r>
      <w:r>
        <w:t xml:space="preserve"> haben, finden sich keine weltweit in allen Kontinenten verbreitete parallele Traditionen! Selbst zu so markanten Geschichten wie z.B. „die Zehn Plagen", „der Auszug aus Ägypten", „die 40-jährige Wüstenwanderung" oder „Jona im Bauch des großen Fisches" gib</w:t>
      </w:r>
      <w:r>
        <w:t>t es keine weltweiten mythischen Parallelen im Sagenkompendium der Völker.</w:t>
      </w:r>
    </w:p>
    <w:p w:rsidR="00BB7EDA" w:rsidRDefault="007D72B3">
      <w:pPr>
        <w:pStyle w:val="Bodytext100"/>
        <w:numPr>
          <w:ilvl w:val="0"/>
          <w:numId w:val="117"/>
        </w:numPr>
        <w:shd w:val="clear" w:color="auto" w:fill="auto"/>
        <w:tabs>
          <w:tab w:val="left" w:pos="668"/>
        </w:tabs>
        <w:spacing w:before="0"/>
        <w:ind w:firstLine="0"/>
      </w:pPr>
      <w:r>
        <w:t>Die</w:t>
      </w:r>
      <w:r>
        <w:rPr>
          <w:rStyle w:val="Bodytext109ptNotItalic"/>
          <w:b/>
          <w:bCs/>
        </w:rPr>
        <w:t xml:space="preserve"> „</w:t>
      </w:r>
      <w:r>
        <w:t>Missionars-Hypothese</w:t>
      </w:r>
      <w:r>
        <w:rPr>
          <w:rStyle w:val="Bodytext109ptNotItalic"/>
          <w:b/>
          <w:bCs/>
        </w:rPr>
        <w:t>"</w:t>
      </w:r>
    </w:p>
    <w:p w:rsidR="00BB7EDA" w:rsidRDefault="007D72B3">
      <w:pPr>
        <w:pStyle w:val="Bodytext20"/>
        <w:shd w:val="clear" w:color="auto" w:fill="auto"/>
        <w:spacing w:before="0" w:line="226" w:lineRule="exact"/>
      </w:pPr>
      <w:r>
        <w:t>Man hat schon versucht, das Phänomen der weltweiten Flut</w:t>
      </w:r>
      <w:r>
        <w:softHyphen/>
        <w:t xml:space="preserve">traditionen mit der „Missionars-Hypothese" wegzudiskutieren: Christliche Missionare hätten diese </w:t>
      </w:r>
      <w:r>
        <w:t>biblische Geschichte Menschen</w:t>
      </w:r>
      <w:r>
        <w:softHyphen/>
        <w:t>gruppen in aller Welt erzählt. So sei es vielen Völkern möglich gewesen, den Flutbericht bzw. verschiedene Elemente daraus in ihre jeweilige Kultur zu übernehmen und durch Ausschmückungen zu eigenen Mythen umzuformen.</w:t>
      </w:r>
    </w:p>
    <w:p w:rsidR="00BB7EDA" w:rsidRDefault="007D72B3">
      <w:pPr>
        <w:pStyle w:val="Bodytext20"/>
        <w:shd w:val="clear" w:color="auto" w:fill="auto"/>
        <w:spacing w:before="0" w:line="226" w:lineRule="exact"/>
        <w:ind w:firstLine="320"/>
      </w:pPr>
      <w:r>
        <w:t xml:space="preserve">Diese </w:t>
      </w:r>
      <w:r>
        <w:t>Argumentation könnte nun auch bezüglich der an sich weniger allgemein bekannten Turmbau- und Sprachenverwirrungs- Mythen entsprechend angewandt werden.</w:t>
      </w:r>
    </w:p>
    <w:p w:rsidR="00BB7EDA" w:rsidRDefault="007D72B3">
      <w:pPr>
        <w:pStyle w:val="Bodytext20"/>
        <w:shd w:val="clear" w:color="auto" w:fill="auto"/>
        <w:spacing w:before="0" w:after="116" w:line="226" w:lineRule="exact"/>
        <w:ind w:firstLine="320"/>
      </w:pPr>
      <w:r>
        <w:t>Doch bevor man so etwas tut, müsste man sich folgenden die Missionarshypothese zerstörenden Argumenten s</w:t>
      </w:r>
      <w:r>
        <w:t>tellen:</w:t>
      </w:r>
      <w:r>
        <w:rPr>
          <w:vertAlign w:val="superscript"/>
        </w:rPr>
        <w:footnoteReference w:id="231"/>
      </w:r>
    </w:p>
    <w:p w:rsidR="00BB7EDA" w:rsidRDefault="007D72B3">
      <w:pPr>
        <w:pStyle w:val="Bodytext20"/>
        <w:numPr>
          <w:ilvl w:val="0"/>
          <w:numId w:val="118"/>
        </w:numPr>
        <w:shd w:val="clear" w:color="auto" w:fill="auto"/>
        <w:tabs>
          <w:tab w:val="left" w:pos="314"/>
        </w:tabs>
        <w:spacing w:before="0"/>
        <w:ind w:left="320" w:hanging="320"/>
      </w:pPr>
      <w:r>
        <w:t>Weltweit gibt es nur Parallelen zu Ereignissen aus der biblischen Urgeschichte (Gen 1-11). Mit der Völkerzerstreuung von Gen</w:t>
      </w:r>
    </w:p>
    <w:p w:rsidR="00BB7EDA" w:rsidRDefault="007D72B3">
      <w:pPr>
        <w:pStyle w:val="Bodytext20"/>
        <w:numPr>
          <w:ilvl w:val="0"/>
          <w:numId w:val="119"/>
        </w:numPr>
        <w:shd w:val="clear" w:color="auto" w:fill="auto"/>
        <w:tabs>
          <w:tab w:val="left" w:pos="594"/>
          <w:tab w:val="left" w:pos="772"/>
        </w:tabs>
        <w:spacing w:before="0"/>
        <w:ind w:left="320"/>
      </w:pPr>
      <w:r>
        <w:t>riss nämlich die der Menschheit gemeinsame Tradition ab. Dies widerspiegelt sich in der Existenz bzw. Nicht-Existenz par</w:t>
      </w:r>
      <w:r>
        <w:softHyphen/>
        <w:t>a</w:t>
      </w:r>
      <w:r>
        <w:t>lleler Erzählungen zur Bibel in allen fünf Kontinenten.</w:t>
      </w:r>
    </w:p>
    <w:p w:rsidR="00BB7EDA" w:rsidRDefault="007D72B3">
      <w:pPr>
        <w:pStyle w:val="Bodytext20"/>
        <w:numPr>
          <w:ilvl w:val="0"/>
          <w:numId w:val="118"/>
        </w:numPr>
        <w:shd w:val="clear" w:color="auto" w:fill="auto"/>
        <w:tabs>
          <w:tab w:val="left" w:pos="314"/>
        </w:tabs>
        <w:spacing w:before="0"/>
        <w:ind w:left="320" w:hanging="320"/>
      </w:pPr>
      <w:r>
        <w:t>Für die Ausbildung von Mythen mit oft starkem eigenem kulturel</w:t>
      </w:r>
      <w:r>
        <w:softHyphen/>
        <w:t>lem Kolorit müsste man normalerweise viel Zeit veranschlagen. Doch die zeitliche Spanne seit der Ankunft eines ersten Missionars bei Eing</w:t>
      </w:r>
      <w:r>
        <w:t>eborenen bis heute ist im Allgemeinen eher relativ kurz.</w:t>
      </w:r>
    </w:p>
    <w:p w:rsidR="00BB7EDA" w:rsidRDefault="007D72B3">
      <w:pPr>
        <w:pStyle w:val="Bodytext20"/>
        <w:numPr>
          <w:ilvl w:val="0"/>
          <w:numId w:val="118"/>
        </w:numPr>
        <w:shd w:val="clear" w:color="auto" w:fill="auto"/>
        <w:tabs>
          <w:tab w:val="left" w:pos="314"/>
        </w:tabs>
        <w:spacing w:before="0" w:after="124"/>
        <w:ind w:left="320" w:hanging="320"/>
      </w:pPr>
      <w:r>
        <w:t>Es sollte auch gut bedacht werden, dass die überwältigende Mehrheit an Fluterzählungen nicht von Missionaren, sondern von säkularen Anthropologen, die gewöhnlich kein Interesse an einer Bestätigung d</w:t>
      </w:r>
      <w:r>
        <w:t>er Genesis hatten, gesammelt worden sind.</w:t>
      </w:r>
    </w:p>
    <w:p w:rsidR="00BB7EDA" w:rsidRDefault="007D72B3">
      <w:pPr>
        <w:pStyle w:val="Bodytext20"/>
        <w:shd w:val="clear" w:color="auto" w:fill="auto"/>
        <w:spacing w:before="0" w:after="337" w:line="226" w:lineRule="exact"/>
        <w:ind w:firstLine="320"/>
      </w:pPr>
      <w:r>
        <w:t>Nachfolgend zitiere ich angesichts der Fülle der gesammelten Traditionen einige herausgegriffene Beispiele von Turmbau-, Sprachenverwirrungs- und Völkerzerstreuungs-Erzählungen. Ich beschränke mich dabei bewusst au</w:t>
      </w:r>
      <w:r>
        <w:t>f Überlieferungen, die ganz klar außerhalb des nahöstlichen biblischen Kulturkreises gefunden wor</w:t>
      </w:r>
      <w:r>
        <w:softHyphen/>
        <w:t>den sind und die deshalb besonders ansprechende Zeugnisse für die Historizität von Gen 10-11 liefern.</w:t>
      </w:r>
    </w:p>
    <w:p w:rsidR="00BB7EDA" w:rsidRDefault="007D72B3">
      <w:pPr>
        <w:pStyle w:val="Bodytext90"/>
        <w:numPr>
          <w:ilvl w:val="0"/>
          <w:numId w:val="112"/>
        </w:numPr>
        <w:shd w:val="clear" w:color="auto" w:fill="auto"/>
        <w:tabs>
          <w:tab w:val="left" w:pos="505"/>
        </w:tabs>
        <w:spacing w:after="163" w:line="180" w:lineRule="exact"/>
      </w:pPr>
      <w:r>
        <w:t>Nord-Amerika</w:t>
      </w:r>
    </w:p>
    <w:p w:rsidR="00BB7EDA" w:rsidRDefault="007D72B3">
      <w:pPr>
        <w:pStyle w:val="Bodytext20"/>
        <w:shd w:val="clear" w:color="auto" w:fill="auto"/>
        <w:spacing w:before="0" w:after="120" w:line="226" w:lineRule="exact"/>
      </w:pPr>
      <w:r>
        <w:t xml:space="preserve">Die Tradition der Tsimschian-Indianer aus </w:t>
      </w:r>
      <w:r>
        <w:t>British Columbia (Kana</w:t>
      </w:r>
      <w:r>
        <w:softHyphen/>
        <w:t>da) verbindet, genau wie die Bibel, das Sintflutereignis mit der nachfolgenden Sprachenverwirrung:</w:t>
      </w:r>
    </w:p>
    <w:p w:rsidR="00BB7EDA" w:rsidRDefault="007D72B3">
      <w:pPr>
        <w:pStyle w:val="Bodytext20"/>
        <w:shd w:val="clear" w:color="auto" w:fill="auto"/>
        <w:spacing w:before="0" w:line="226" w:lineRule="exact"/>
        <w:ind w:left="320"/>
        <w:jc w:val="left"/>
      </w:pPr>
      <w:r>
        <w:t>„Zwanzig Tage war die Erde überflutet.</w:t>
      </w:r>
      <w:r>
        <w:rPr>
          <w:vertAlign w:val="superscript"/>
        </w:rPr>
        <w:footnoteReference w:id="232"/>
      </w:r>
      <w:r>
        <w:t xml:space="preserve"> Dann begann das Wasser zu sinken</w:t>
      </w:r>
      <w:r>
        <w:rPr>
          <w:vertAlign w:val="superscript"/>
        </w:rPr>
        <w:footnoteReference w:id="233"/>
      </w:r>
      <w:r>
        <w:t xml:space="preserve"> und verließ die Erde.</w:t>
      </w:r>
      <w:r>
        <w:rPr>
          <w:vertAlign w:val="superscript"/>
        </w:rPr>
        <w:footnoteReference w:id="234"/>
      </w:r>
      <w:r>
        <w:t xml:space="preserve"> Es fiel beständig,</w:t>
      </w:r>
    </w:p>
    <w:p w:rsidR="00BB7EDA" w:rsidRDefault="007D72B3">
      <w:pPr>
        <w:pStyle w:val="Bodytext20"/>
        <w:shd w:val="clear" w:color="auto" w:fill="auto"/>
        <w:spacing w:before="0"/>
        <w:ind w:left="320" w:right="320"/>
      </w:pPr>
      <w:r>
        <w:t>und alle Arten Bäu</w:t>
      </w:r>
      <w:r>
        <w:t>me waren durch den Strudel des Wassers ausgerissen worden. Und die Leiber der Menschen, Tiere, Vögel, Schlangen, alles war durch den Wirbel der See ver</w:t>
      </w:r>
      <w:r>
        <w:softHyphen/>
        <w:t>schlungen worden. Einige Menschen kamen nicht um zu dieser Zeit,</w:t>
      </w:r>
      <w:r>
        <w:rPr>
          <w:vertAlign w:val="superscript"/>
        </w:rPr>
        <w:footnoteReference w:id="235"/>
      </w:r>
      <w:r>
        <w:t xml:space="preserve"> sie wurden ringsherum zerstreut.</w:t>
      </w:r>
      <w:r>
        <w:rPr>
          <w:vertAlign w:val="superscript"/>
        </w:rPr>
        <w:footnoteReference w:id="236"/>
      </w:r>
      <w:r>
        <w:t xml:space="preserve"> Dama</w:t>
      </w:r>
      <w:r>
        <w:t>ls wurden ihre Sprachen vermengt,</w:t>
      </w:r>
      <w:r>
        <w:rPr>
          <w:vertAlign w:val="superscript"/>
        </w:rPr>
        <w:footnoteReference w:id="237"/>
      </w:r>
      <w:r>
        <w:t xml:space="preserve"> denn vor der Flut hatten sie alle nur eine Sprache.</w:t>
      </w:r>
      <w:r>
        <w:rPr>
          <w:vertAlign w:val="superscript"/>
        </w:rPr>
        <w:footnoteReference w:id="238"/>
      </w:r>
      <w:r>
        <w:t xml:space="preserve"> Nach der Flut waren ihre Sprachen verschieden. Infolgedessen wissen die Menschen, dass sie ver</w:t>
      </w:r>
      <w:r>
        <w:softHyphen/>
        <w:t>wandt sind, obwohl die Sprachen verschieden sind.</w:t>
      </w:r>
      <w:r>
        <w:rPr>
          <w:vertAlign w:val="superscript"/>
        </w:rPr>
        <w:footnoteReference w:id="239"/>
      </w:r>
      <w:r>
        <w:t xml:space="preserve"> Denn sie sind wirklich</w:t>
      </w:r>
      <w:r>
        <w:t xml:space="preserve"> vor der Flut von einer Stadt hergekommen.</w:t>
      </w:r>
      <w:r>
        <w:rPr>
          <w:vertAlign w:val="superscript"/>
        </w:rPr>
        <w:footnoteReference w:id="240"/>
      </w:r>
    </w:p>
    <w:p w:rsidR="00BB7EDA" w:rsidRDefault="007D72B3">
      <w:pPr>
        <w:pStyle w:val="Bodytext20"/>
        <w:shd w:val="clear" w:color="auto" w:fill="auto"/>
        <w:spacing w:before="0" w:after="340"/>
        <w:ind w:left="320" w:right="320" w:firstLine="280"/>
      </w:pPr>
      <w:r>
        <w:t>Es ist gesagt worden, dass zwei Personen gerettet worden sind. Diese wurden die Stammeltern der Stämme am oberen Skeena-Fluss. Wo die Kanus ans Land kamen, da lagerten sie sich im unbekannten Lande. Bald nach der</w:t>
      </w:r>
      <w:r>
        <w:t xml:space="preserve"> Flut gab es noch keine Bäume, alles war Lehm, und sie wohnten in Häusern aus Elenfell am Gestade des großen Meeres, das sie vorher nicht gekannt hatten. Und all die Tiere und alles war ihnen neu. Es wurden sehr viele Menschen und sie vergaßen ihre Sprache</w:t>
      </w:r>
      <w:r>
        <w:t>n und brauchten neue Sprachen, die sie früher nicht kannten."</w:t>
      </w:r>
      <w:r>
        <w:rPr>
          <w:vertAlign w:val="superscript"/>
        </w:rPr>
        <w:footnoteReference w:id="241"/>
      </w:r>
    </w:p>
    <w:p w:rsidR="00BB7EDA" w:rsidRDefault="007D72B3">
      <w:pPr>
        <w:pStyle w:val="Heading50"/>
        <w:keepNext/>
        <w:keepLines/>
        <w:numPr>
          <w:ilvl w:val="0"/>
          <w:numId w:val="112"/>
        </w:numPr>
        <w:shd w:val="clear" w:color="auto" w:fill="auto"/>
        <w:tabs>
          <w:tab w:val="left" w:pos="510"/>
        </w:tabs>
        <w:spacing w:after="94" w:line="180" w:lineRule="exact"/>
      </w:pPr>
      <w:bookmarkStart w:id="60" w:name="bookmark59"/>
      <w:r>
        <w:t>Mittel-Amerika</w:t>
      </w:r>
      <w:bookmarkEnd w:id="60"/>
    </w:p>
    <w:p w:rsidR="00BB7EDA" w:rsidRDefault="007D72B3">
      <w:pPr>
        <w:pStyle w:val="Bodytext20"/>
        <w:shd w:val="clear" w:color="auto" w:fill="auto"/>
        <w:spacing w:before="0" w:after="184"/>
      </w:pPr>
      <w:r>
        <w:t>In Mexiko gibt es bekanntlich viele indianische Stufenpyramiden, so z.B. in Cholula, Cuernavaca, Veracruz, Oaxaca, Teotihuacan, Chiapa und Yucatan. Sie gleichen in zahlreichen De</w:t>
      </w:r>
      <w:r>
        <w:t>tails frappant dem Bau</w:t>
      </w:r>
      <w:r>
        <w:softHyphen/>
        <w:t>typ der mesopotamischen Zikkurate.</w:t>
      </w:r>
    </w:p>
    <w:p w:rsidR="00BB7EDA" w:rsidRDefault="007D72B3">
      <w:pPr>
        <w:pStyle w:val="Bodytext100"/>
        <w:numPr>
          <w:ilvl w:val="0"/>
          <w:numId w:val="120"/>
        </w:numPr>
        <w:shd w:val="clear" w:color="auto" w:fill="auto"/>
        <w:tabs>
          <w:tab w:val="left" w:pos="649"/>
        </w:tabs>
        <w:spacing w:before="0"/>
        <w:ind w:firstLine="0"/>
      </w:pPr>
      <w:r>
        <w:t>Das aztekische Turmlied von Cholula</w:t>
      </w:r>
    </w:p>
    <w:p w:rsidR="00BB7EDA" w:rsidRDefault="007D72B3">
      <w:pPr>
        <w:pStyle w:val="Bodytext20"/>
        <w:shd w:val="clear" w:color="auto" w:fill="auto"/>
        <w:spacing w:before="0" w:line="226" w:lineRule="exact"/>
      </w:pPr>
      <w:r>
        <w:t>Die Stufenpyramide von Cholula gilt mit ihrer Höhe von 60m als das größte Bauwerk der Neuen Welt. Die Indianer von Cholula sangen an ihren Festen beim Tanzen rund</w:t>
      </w:r>
      <w:r>
        <w:t xml:space="preserve"> um den Turm herum das folgen</w:t>
      </w:r>
      <w:r>
        <w:softHyphen/>
        <w:t>de Lied:</w:t>
      </w:r>
    </w:p>
    <w:p w:rsidR="00BB7EDA" w:rsidRDefault="007D72B3">
      <w:pPr>
        <w:framePr w:h="3158" w:wrap="notBeside" w:vAnchor="text" w:hAnchor="text" w:xAlign="center" w:y="1"/>
        <w:jc w:val="center"/>
        <w:rPr>
          <w:sz w:val="2"/>
          <w:szCs w:val="2"/>
        </w:rPr>
      </w:pPr>
      <w:r>
        <w:fldChar w:fldCharType="begin"/>
      </w:r>
      <w:r>
        <w:instrText xml:space="preserve"> </w:instrText>
      </w:r>
      <w:r>
        <w:instrText>INCLUDEPICTURE  "X:\\sk\\NextUpload116\\Webserver\\german\\RogerLiebi\\media\\image12.jpeg" \* MERGEFORMATINET</w:instrText>
      </w:r>
      <w:r>
        <w:instrText xml:space="preserve"> </w:instrText>
      </w:r>
      <w:r>
        <w:fldChar w:fldCharType="separate"/>
      </w:r>
      <w:r>
        <w:pict>
          <v:shape id="_x0000_i1030" type="#_x0000_t75" style="width:282pt;height:158.25pt">
            <v:imagedata r:id="rId66" r:href="rId67"/>
          </v:shape>
        </w:pict>
      </w:r>
      <w:r>
        <w:fldChar w:fldCharType="end"/>
      </w:r>
    </w:p>
    <w:p w:rsidR="00BB7EDA" w:rsidRDefault="00BB7EDA">
      <w:pPr>
        <w:rPr>
          <w:sz w:val="2"/>
          <w:szCs w:val="2"/>
        </w:rPr>
      </w:pPr>
    </w:p>
    <w:p w:rsidR="00BB7EDA" w:rsidRDefault="007D72B3">
      <w:pPr>
        <w:pStyle w:val="Bodytext120"/>
        <w:shd w:val="clear" w:color="auto" w:fill="auto"/>
        <w:spacing w:before="21" w:after="633"/>
      </w:pPr>
      <w:r>
        <w:t xml:space="preserve">Abb. 10 Die Pyramiden von Teotihuacän (Mexiko) gleichen den mesopotami- schen Stufentürmen in </w:t>
      </w:r>
      <w:r>
        <w:t>frappanter Weise. Im Bild: Die Hauptachse von Teoti</w:t>
      </w:r>
      <w:r>
        <w:softHyphen/>
        <w:t>huacän. Sicht von der Mondpyramide aus. Links im Bildhintergrund: Die Sonnen</w:t>
      </w:r>
      <w:r>
        <w:softHyphen/>
        <w:t>pyramide; Höhe 65 m. (A. und A. Sapienza).</w:t>
      </w:r>
    </w:p>
    <w:p w:rsidR="00BB7EDA" w:rsidRDefault="007D72B3">
      <w:pPr>
        <w:pStyle w:val="Bodytext20"/>
        <w:shd w:val="clear" w:color="auto" w:fill="auto"/>
        <w:spacing w:before="0" w:after="176" w:line="226" w:lineRule="exact"/>
        <w:ind w:left="320" w:right="320"/>
        <w:sectPr w:rsidR="00BB7EDA">
          <w:pgSz w:w="7266" w:h="11422"/>
          <w:pgMar w:top="733" w:right="787" w:bottom="1122" w:left="791" w:header="0" w:footer="3" w:gutter="0"/>
          <w:cols w:space="720"/>
          <w:noEndnote/>
          <w:docGrid w:linePitch="360"/>
        </w:sectPr>
      </w:pPr>
      <w:r>
        <w:t>„Nachdem die Wasser (der Sündfluth) abgelaufen waren,</w:t>
      </w:r>
      <w:r>
        <w:rPr>
          <w:vertAlign w:val="superscript"/>
        </w:rPr>
        <w:footnoteReference w:id="242"/>
      </w:r>
      <w:r>
        <w:rPr>
          <w:vertAlign w:val="superscript"/>
        </w:rPr>
        <w:t xml:space="preserve"> </w:t>
      </w:r>
      <w:r>
        <w:t>ging ein</w:t>
      </w:r>
      <w:r>
        <w:t>er von den Riesen,</w:t>
      </w:r>
      <w:r>
        <w:rPr>
          <w:vertAlign w:val="superscript"/>
        </w:rPr>
        <w:footnoteReference w:id="243"/>
      </w:r>
      <w:r>
        <w:t xml:space="preserve"> genannt Xelhuaz der Baumei</w:t>
      </w:r>
      <w:r>
        <w:softHyphen/>
        <w:t>ster, nach Cholollan (Cholula), wozu er zum Andenken an den Berg Tlalok, der ihm und seinen sechs Brüdern zum Zufluchtsort gedient hatte, einen künstlichen Hügel von pyramidischer Form aufführte.</w:t>
      </w:r>
      <w:r>
        <w:rPr>
          <w:vertAlign w:val="superscript"/>
        </w:rPr>
        <w:footnoteReference w:id="244"/>
      </w:r>
      <w:r>
        <w:t xml:space="preserve"> Die Ziegel</w:t>
      </w:r>
      <w:r>
        <w:rPr>
          <w:vertAlign w:val="superscript"/>
        </w:rPr>
        <w:footnoteReference w:id="245"/>
      </w:r>
      <w:r>
        <w:t xml:space="preserve"> </w:t>
      </w:r>
      <w:r>
        <w:t>dazu ließ er in der Provinz Tlamanalco, am Flusse der Sierra von Cocotl, verfertigen, und stellte, um sie nach Cholula zu bringen, eine Reihe Menschen auf, die sie von Hand zu Hand boten. Die Götter sahen dies Gebäude,</w:t>
      </w:r>
      <w:r>
        <w:rPr>
          <w:vertAlign w:val="superscript"/>
        </w:rPr>
        <w:footnoteReference w:id="246"/>
      </w:r>
      <w:r>
        <w:t xml:space="preserve"> dessen Spitze die Wolken errei</w:t>
      </w:r>
      <w:r>
        <w:softHyphen/>
        <w:t xml:space="preserve">chen </w:t>
      </w:r>
      <w:r>
        <w:t>sollte,</w:t>
      </w:r>
      <w:r>
        <w:rPr>
          <w:vertAlign w:val="superscript"/>
        </w:rPr>
        <w:footnoteReference w:id="247"/>
      </w:r>
      <w:r>
        <w:t xml:space="preserve"> mit Unwillen und schleuderten, aufgebracht </w:t>
      </w:r>
    </w:p>
    <w:p w:rsidR="00BB7EDA" w:rsidRDefault="007D72B3">
      <w:pPr>
        <w:pStyle w:val="Bodytext20"/>
        <w:shd w:val="clear" w:color="auto" w:fill="auto"/>
        <w:spacing w:before="0" w:after="176" w:line="226" w:lineRule="exact"/>
        <w:ind w:left="320" w:right="320"/>
      </w:pPr>
      <w:r>
        <w:t>über Xelhuaz's Kühnheit, Feuer auf die Pyramide. Viele Ar</w:t>
      </w:r>
      <w:r>
        <w:softHyphen/>
        <w:t>beiter kamen um, das Werk wurde nicht fortgesetzt,</w:t>
      </w:r>
      <w:r>
        <w:rPr>
          <w:vertAlign w:val="superscript"/>
        </w:rPr>
        <w:footnoteReference w:id="248"/>
      </w:r>
      <w:r>
        <w:t xml:space="preserve"> und man weihte es in der Folge dem Gotte der Luft Quetzal- coatl..."</w:t>
      </w:r>
      <w:r>
        <w:rPr>
          <w:vertAlign w:val="superscript"/>
        </w:rPr>
        <w:footnoteReference w:id="249"/>
      </w:r>
    </w:p>
    <w:p w:rsidR="00BB7EDA" w:rsidRDefault="007D72B3">
      <w:pPr>
        <w:pStyle w:val="Bodytext100"/>
        <w:numPr>
          <w:ilvl w:val="0"/>
          <w:numId w:val="121"/>
        </w:numPr>
        <w:shd w:val="clear" w:color="auto" w:fill="auto"/>
        <w:tabs>
          <w:tab w:val="left" w:pos="654"/>
        </w:tabs>
        <w:spacing w:before="0" w:line="230" w:lineRule="exact"/>
        <w:ind w:firstLine="0"/>
      </w:pPr>
      <w:r>
        <w:t>Eine Erzählung aus Yuca</w:t>
      </w:r>
      <w:r>
        <w:t>tan</w:t>
      </w:r>
    </w:p>
    <w:p w:rsidR="00BB7EDA" w:rsidRDefault="007D72B3">
      <w:pPr>
        <w:pStyle w:val="Bodytext20"/>
        <w:shd w:val="clear" w:color="auto" w:fill="auto"/>
        <w:spacing w:before="0" w:after="184"/>
      </w:pPr>
      <w:r>
        <w:t xml:space="preserve">In Yucatan, einem weiteren mexikanischen Turmbau-Ort, fand man eine Tradition, die der biblischen Erzählung sehr nahe kommt. Hier der Bericht von </w:t>
      </w:r>
      <w:r>
        <w:rPr>
          <w:rStyle w:val="Bodytext28ptSmallCaps"/>
        </w:rPr>
        <w:t>Lüken:</w:t>
      </w:r>
    </w:p>
    <w:p w:rsidR="00BB7EDA" w:rsidRDefault="007D72B3">
      <w:pPr>
        <w:pStyle w:val="Bodytext20"/>
        <w:shd w:val="clear" w:color="auto" w:fill="auto"/>
        <w:spacing w:before="0" w:after="397" w:line="226" w:lineRule="exact"/>
        <w:ind w:left="320" w:right="320"/>
      </w:pPr>
      <w:r>
        <w:t>„Eben so auffallend der biblischen Geschichte sich anschlie</w:t>
      </w:r>
      <w:r>
        <w:softHyphen/>
        <w:t>ßend finden wir nun im südlichen Mexico</w:t>
      </w:r>
      <w:r>
        <w:t>, in Jucatan, die Sage von Botan, dem Wanderer und Stammvater der Chiapanesen. Botan soll danach bei dem Bau des großen Hauses gewesen sein,</w:t>
      </w:r>
      <w:r>
        <w:rPr>
          <w:vertAlign w:val="superscript"/>
        </w:rPr>
        <w:footnoteReference w:id="250"/>
      </w:r>
      <w:r>
        <w:t xml:space="preserve"> das auf Befehl seines Großvaters, der in der Arche</w:t>
      </w:r>
      <w:r>
        <w:rPr>
          <w:vertAlign w:val="superscript"/>
        </w:rPr>
        <w:footnoteReference w:id="251"/>
      </w:r>
      <w:r>
        <w:rPr>
          <w:vertAlign w:val="superscript"/>
        </w:rPr>
        <w:t xml:space="preserve"> </w:t>
      </w:r>
      <w:r>
        <w:t>gewesen, von der Erde bis zum Himmel hinauf habe reichen solle</w:t>
      </w:r>
      <w:r>
        <w:t>n.</w:t>
      </w:r>
      <w:r>
        <w:rPr>
          <w:vertAlign w:val="superscript"/>
        </w:rPr>
        <w:footnoteReference w:id="252"/>
      </w:r>
      <w:r>
        <w:t xml:space="preserve"> Er soll auch der erste Mensch gewesen sein, den Gott dahin sandte, die Länder der Indianer abzusondern und zu vertheilen.</w:t>
      </w:r>
      <w:r>
        <w:rPr>
          <w:vertAlign w:val="superscript"/>
        </w:rPr>
        <w:footnoteReference w:id="253"/>
      </w:r>
      <w:r>
        <w:t xml:space="preserve"> Ferner sei in jener Gegend, wo das große Haus erbaut, einem jeden Volk seine Sprache</w:t>
      </w:r>
      <w:r>
        <w:rPr>
          <w:vertAlign w:val="superscript"/>
        </w:rPr>
        <w:footnoteReference w:id="254"/>
      </w:r>
      <w:r>
        <w:t xml:space="preserve"> gegeben."</w:t>
      </w:r>
      <w:r>
        <w:rPr>
          <w:vertAlign w:val="superscript"/>
        </w:rPr>
        <w:footnoteReference w:id="255"/>
      </w:r>
    </w:p>
    <w:p w:rsidR="00BB7EDA" w:rsidRDefault="007D72B3">
      <w:pPr>
        <w:pStyle w:val="Bodytext90"/>
        <w:numPr>
          <w:ilvl w:val="0"/>
          <w:numId w:val="112"/>
        </w:numPr>
        <w:shd w:val="clear" w:color="auto" w:fill="auto"/>
        <w:tabs>
          <w:tab w:val="left" w:pos="505"/>
        </w:tabs>
        <w:spacing w:after="147" w:line="180" w:lineRule="exact"/>
      </w:pPr>
      <w:r>
        <w:t>Süd-Amerika</w:t>
      </w:r>
    </w:p>
    <w:p w:rsidR="00BB7EDA" w:rsidRDefault="007D72B3">
      <w:pPr>
        <w:pStyle w:val="Bodytext100"/>
        <w:numPr>
          <w:ilvl w:val="0"/>
          <w:numId w:val="122"/>
        </w:numPr>
        <w:shd w:val="clear" w:color="auto" w:fill="auto"/>
        <w:tabs>
          <w:tab w:val="left" w:pos="644"/>
        </w:tabs>
        <w:spacing w:before="0" w:line="170" w:lineRule="exact"/>
        <w:ind w:firstLine="0"/>
      </w:pPr>
      <w:r>
        <w:t xml:space="preserve">Eitie Sage der </w:t>
      </w:r>
      <w:r>
        <w:t>Jurucares in Bolivien</w:t>
      </w:r>
    </w:p>
    <w:p w:rsidR="00BB7EDA" w:rsidRDefault="007D72B3">
      <w:pPr>
        <w:pStyle w:val="Bodytext20"/>
        <w:shd w:val="clear" w:color="auto" w:fill="auto"/>
        <w:spacing w:before="0" w:after="180" w:line="226" w:lineRule="exact"/>
      </w:pPr>
      <w:r>
        <w:t>Bei den Jurucares in Bolivien findet man die nachstehende Sage, welche die Sintflut und die Völkerzerstreuung miteinander in Zu</w:t>
      </w:r>
      <w:r>
        <w:softHyphen/>
        <w:t xml:space="preserve">sammenhang bringt. Ich zitiere sie aus </w:t>
      </w:r>
      <w:r>
        <w:rPr>
          <w:rStyle w:val="Bodytext28ptSmallCaps"/>
        </w:rPr>
        <w:t xml:space="preserve">Lükens </w:t>
      </w:r>
      <w:r>
        <w:t>Standardwerk mit</w:t>
      </w:r>
      <w:r>
        <w:softHyphen/>
        <w:t>samt den dort zu findenden Bemerkungen in K</w:t>
      </w:r>
      <w:r>
        <w:t>lammern:</w:t>
      </w:r>
    </w:p>
    <w:p w:rsidR="00BB7EDA" w:rsidRDefault="007D72B3">
      <w:pPr>
        <w:pStyle w:val="Bodytext20"/>
        <w:shd w:val="clear" w:color="auto" w:fill="auto"/>
        <w:spacing w:before="0" w:after="225" w:line="226" w:lineRule="exact"/>
        <w:ind w:left="320" w:right="320"/>
      </w:pPr>
      <w:r>
        <w:t>„Die verschiedenen Völker der Erde seien aus der Höhle (der Sündfluthöhle) hervorgegangen. Als nun einer hervorging, der über alle diese herrschen wollte (Nimrod),</w:t>
      </w:r>
      <w:r>
        <w:rPr>
          <w:vertAlign w:val="superscript"/>
        </w:rPr>
        <w:t>303</w:t>
      </w:r>
      <w:r>
        <w:t xml:space="preserve"> schloß Tiri (der Gott) das Loch. Letzteres hegt bei einem großen unersteiglichen</w:t>
      </w:r>
      <w:r>
        <w:t xml:space="preserve"> Felsen, den ein großer Drache (wie bei dem Paradiese) bewacht.</w:t>
      </w:r>
      <w:r>
        <w:rPr>
          <w:vertAlign w:val="superscript"/>
        </w:rPr>
        <w:t>304</w:t>
      </w:r>
      <w:r>
        <w:t xml:space="preserve"> Tiri aber sprach zu den Völkern: Ihr müßt euch theilen und alle Gegenden der Erde bevölkern,</w:t>
      </w:r>
      <w:r>
        <w:rPr>
          <w:vertAlign w:val="superscript"/>
        </w:rPr>
        <w:t xml:space="preserve">305 </w:t>
      </w:r>
      <w:r>
        <w:t>deßhalb säe ich Zwietracht unter euch und ihr sollt Feinde sein. Da fielen Pfeile herab von d</w:t>
      </w:r>
      <w:r>
        <w:t>er Sonne, mit denen sie sich bewaffneten."</w:t>
      </w:r>
      <w:r>
        <w:rPr>
          <w:vertAlign w:val="superscript"/>
        </w:rPr>
        <w:t>306</w:t>
      </w:r>
    </w:p>
    <w:p w:rsidR="00BB7EDA" w:rsidRDefault="007D72B3">
      <w:pPr>
        <w:pStyle w:val="Bodytext100"/>
        <w:numPr>
          <w:ilvl w:val="0"/>
          <w:numId w:val="122"/>
        </w:numPr>
        <w:shd w:val="clear" w:color="auto" w:fill="auto"/>
        <w:tabs>
          <w:tab w:val="left" w:pos="649"/>
        </w:tabs>
        <w:spacing w:before="0" w:after="36" w:line="170" w:lineRule="exact"/>
        <w:ind w:firstLine="0"/>
      </w:pPr>
      <w:r>
        <w:t>Die Turmbau-Geschichte der Acroas</w:t>
      </w:r>
    </w:p>
    <w:p w:rsidR="00BB7EDA" w:rsidRDefault="007D72B3">
      <w:pPr>
        <w:pStyle w:val="Bodytext20"/>
        <w:shd w:val="clear" w:color="auto" w:fill="auto"/>
        <w:spacing w:before="0" w:after="120"/>
      </w:pPr>
      <w:r>
        <w:t>Die Acroas-Indianer in Brasilien kennen auch eine in unserem Zu</w:t>
      </w:r>
      <w:r>
        <w:softHyphen/>
        <w:t>sammenhang nennenswerte Tradition:</w:t>
      </w:r>
    </w:p>
    <w:p w:rsidR="00BB7EDA" w:rsidRDefault="007D72B3">
      <w:pPr>
        <w:pStyle w:val="Bodytext20"/>
        <w:shd w:val="clear" w:color="auto" w:fill="auto"/>
        <w:spacing w:before="0" w:after="340"/>
        <w:ind w:left="320" w:right="320"/>
      </w:pPr>
      <w:r>
        <w:t>„Der große Geist habe im Anfang ein hohes Haus gen Him</w:t>
      </w:r>
      <w:r>
        <w:softHyphen/>
        <w:t>melerrichtet,</w:t>
      </w:r>
      <w:r>
        <w:rPr>
          <w:vertAlign w:val="superscript"/>
        </w:rPr>
        <w:t>307</w:t>
      </w:r>
      <w:r>
        <w:t xml:space="preserve"> durch dessen Einsturz die verschiedenen Völ</w:t>
      </w:r>
      <w:r>
        <w:softHyphen/>
        <w:t>ker entstanden</w:t>
      </w:r>
      <w:r>
        <w:rPr>
          <w:vertAlign w:val="superscript"/>
        </w:rPr>
        <w:t>308</w:t>
      </w:r>
      <w:r>
        <w:t xml:space="preserve"> seien."</w:t>
      </w:r>
      <w:r>
        <w:rPr>
          <w:vertAlign w:val="superscript"/>
        </w:rPr>
        <w:t>309</w:t>
      </w:r>
    </w:p>
    <w:p w:rsidR="00BB7EDA" w:rsidRDefault="007D72B3">
      <w:pPr>
        <w:pStyle w:val="Bodytext90"/>
        <w:numPr>
          <w:ilvl w:val="0"/>
          <w:numId w:val="112"/>
        </w:numPr>
        <w:shd w:val="clear" w:color="auto" w:fill="auto"/>
        <w:tabs>
          <w:tab w:val="left" w:pos="505"/>
        </w:tabs>
        <w:spacing w:after="127" w:line="180" w:lineRule="exact"/>
      </w:pPr>
      <w:r>
        <w:t>Korea</w:t>
      </w:r>
    </w:p>
    <w:p w:rsidR="00BB7EDA" w:rsidRDefault="007D72B3">
      <w:pPr>
        <w:pStyle w:val="Bodytext20"/>
        <w:shd w:val="clear" w:color="auto" w:fill="auto"/>
        <w:spacing w:before="0" w:after="120" w:line="226" w:lineRule="exact"/>
      </w:pPr>
      <w:r>
        <w:t>Die nächste Überlieferung geht zurück auf eine buddhistische Mönchssekte, die neben der auf Gautama Siddharta zurückgehen</w:t>
      </w:r>
      <w:r>
        <w:softHyphen/>
        <w:t xml:space="preserve">den Lehre noch manches aus dem älteren traditionellen </w:t>
      </w:r>
      <w:r>
        <w:t>Schamanis</w:t>
      </w:r>
      <w:r>
        <w:softHyphen/>
        <w:t>mus beibehalten hatte. Van Gorcum, ein Holländer, der im 17. Jahrhundert während 12 Jahren in Korea gefangen gehalten worden war, hatte sie dort kennen gelernt. Diese Erzählung besagt,</w:t>
      </w:r>
    </w:p>
    <w:p w:rsidR="00BB7EDA" w:rsidRDefault="007D72B3">
      <w:pPr>
        <w:pStyle w:val="Bodytext20"/>
        <w:shd w:val="clear" w:color="auto" w:fill="auto"/>
        <w:spacing w:before="0" w:line="226" w:lineRule="exact"/>
        <w:ind w:left="320" w:right="320"/>
      </w:pPr>
      <w:r>
        <w:t>„dass früher alle Menschen dieselbe Sprache gesprochen hät</w:t>
      </w:r>
      <w:r>
        <w:softHyphen/>
      </w:r>
      <w:r>
        <w:t>ten,</w:t>
      </w:r>
      <w:r>
        <w:rPr>
          <w:vertAlign w:val="superscript"/>
        </w:rPr>
        <w:t>310</w:t>
      </w:r>
      <w:r>
        <w:t xml:space="preserve"> erst bei der Erbauung eines Thurmes,</w:t>
      </w:r>
      <w:r>
        <w:rPr>
          <w:vertAlign w:val="superscript"/>
        </w:rPr>
        <w:t>311</w:t>
      </w:r>
      <w:r>
        <w:t xml:space="preserve"> von wo sie in den Himmel steigen wollten,</w:t>
      </w:r>
      <w:r>
        <w:rPr>
          <w:vertAlign w:val="superscript"/>
        </w:rPr>
        <w:t>312</w:t>
      </w:r>
      <w:r>
        <w:t xml:space="preserve"> sei dieselbe in Verwirrung</w:t>
      </w:r>
      <w:r>
        <w:rPr>
          <w:vertAlign w:val="superscript"/>
        </w:rPr>
        <w:t xml:space="preserve">313 </w:t>
      </w:r>
      <w:r>
        <w:t>gerathen."</w:t>
      </w:r>
      <w:r>
        <w:rPr>
          <w:vertAlign w:val="superscript"/>
        </w:rPr>
        <w:t>314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
        <w:gridCol w:w="1709"/>
        <w:gridCol w:w="2016"/>
        <w:gridCol w:w="413"/>
        <w:gridCol w:w="883"/>
      </w:tblGrid>
      <w:tr w:rsidR="00BB7EDA">
        <w:tblPrEx>
          <w:tblCellMar>
            <w:top w:w="0" w:type="dxa"/>
            <w:bottom w:w="0" w:type="dxa"/>
          </w:tblCellMar>
        </w:tblPrEx>
        <w:trPr>
          <w:trHeight w:hRule="exact" w:val="216"/>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303</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10,8-10.</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9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304</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3,24.</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82"/>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305</w:t>
            </w:r>
          </w:p>
        </w:tc>
        <w:tc>
          <w:tcPr>
            <w:tcW w:w="1709"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1,28; 9,1; 10,32</w:t>
            </w:r>
          </w:p>
        </w:tc>
        <w:tc>
          <w:tcPr>
            <w:tcW w:w="2016"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 11,9.</w:t>
            </w: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9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306</w:t>
            </w:r>
          </w:p>
        </w:tc>
        <w:tc>
          <w:tcPr>
            <w:tcW w:w="1709"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SmallCaps"/>
              </w:rPr>
              <w:t>Lüken:</w:t>
            </w:r>
            <w:r>
              <w:rPr>
                <w:rStyle w:val="Bodytext28pt"/>
              </w:rPr>
              <w:t xml:space="preserve"> Die Traditionen</w:t>
            </w:r>
          </w:p>
        </w:tc>
        <w:tc>
          <w:tcPr>
            <w:tcW w:w="2016"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des Menschengeschlechts, 2.</w:t>
            </w:r>
          </w:p>
        </w:tc>
        <w:tc>
          <w:tcPr>
            <w:tcW w:w="413"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Aufl.</w:t>
            </w:r>
          </w:p>
        </w:tc>
        <w:tc>
          <w:tcPr>
            <w:tcW w:w="883"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1869, S. 321,</w:t>
            </w:r>
          </w:p>
        </w:tc>
      </w:tr>
      <w:tr w:rsidR="00BB7EDA">
        <w:tblPrEx>
          <w:tblCellMar>
            <w:top w:w="0" w:type="dxa"/>
            <w:bottom w:w="0" w:type="dxa"/>
          </w:tblCellMar>
        </w:tblPrEx>
        <w:trPr>
          <w:trHeight w:hRule="exact" w:val="19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307</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11,4.</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8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308</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10,32; 11,9.</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92"/>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309</w:t>
            </w:r>
          </w:p>
        </w:tc>
        <w:tc>
          <w:tcPr>
            <w:tcW w:w="1709"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7ptSmallCaps"/>
              </w:rPr>
              <w:t xml:space="preserve">Lüken: </w:t>
            </w:r>
            <w:r>
              <w:rPr>
                <w:rStyle w:val="Bodytext28pt"/>
              </w:rPr>
              <w:t>Die Traditionen</w:t>
            </w:r>
          </w:p>
        </w:tc>
        <w:tc>
          <w:tcPr>
            <w:tcW w:w="2016"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des Menschengeschlechts, 2.</w:t>
            </w:r>
          </w:p>
        </w:tc>
        <w:tc>
          <w:tcPr>
            <w:tcW w:w="413"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Auf],</w:t>
            </w:r>
          </w:p>
        </w:tc>
        <w:tc>
          <w:tcPr>
            <w:tcW w:w="883"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1869, S. 321</w:t>
            </w:r>
          </w:p>
        </w:tc>
      </w:tr>
      <w:tr w:rsidR="00BB7EDA">
        <w:tblPrEx>
          <w:tblCellMar>
            <w:top w:w="0" w:type="dxa"/>
            <w:bottom w:w="0" w:type="dxa"/>
          </w:tblCellMar>
        </w:tblPrEx>
        <w:trPr>
          <w:trHeight w:hRule="exact" w:val="19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310</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11,1.</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8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311</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11,3-5.</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92"/>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312</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 Gen 11,4.</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197"/>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313</w:t>
            </w:r>
          </w:p>
        </w:tc>
        <w:tc>
          <w:tcPr>
            <w:tcW w:w="1709" w:type="dxa"/>
            <w:shd w:val="clear" w:color="auto" w:fill="FFFFFF"/>
            <w:vAlign w:val="bottom"/>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Vgl.</w:t>
            </w:r>
            <w:r>
              <w:rPr>
                <w:rStyle w:val="Bodytext28pt"/>
              </w:rPr>
              <w:t xml:space="preserve"> Gen 11,9.</w:t>
            </w:r>
          </w:p>
        </w:tc>
        <w:tc>
          <w:tcPr>
            <w:tcW w:w="2016" w:type="dxa"/>
            <w:shd w:val="clear" w:color="auto" w:fill="FFFFFF"/>
          </w:tcPr>
          <w:p w:rsidR="00BB7EDA" w:rsidRDefault="00BB7EDA">
            <w:pPr>
              <w:framePr w:w="5280" w:wrap="notBeside" w:vAnchor="text" w:hAnchor="text" w:xAlign="center" w:y="1"/>
              <w:rPr>
                <w:sz w:val="10"/>
                <w:szCs w:val="10"/>
              </w:rPr>
            </w:pPr>
          </w:p>
        </w:tc>
        <w:tc>
          <w:tcPr>
            <w:tcW w:w="413" w:type="dxa"/>
            <w:shd w:val="clear" w:color="auto" w:fill="FFFFFF"/>
          </w:tcPr>
          <w:p w:rsidR="00BB7EDA" w:rsidRDefault="00BB7EDA">
            <w:pPr>
              <w:framePr w:w="5280" w:wrap="notBeside" w:vAnchor="text" w:hAnchor="text" w:xAlign="center" w:y="1"/>
              <w:rPr>
                <w:sz w:val="10"/>
                <w:szCs w:val="10"/>
              </w:rPr>
            </w:pPr>
          </w:p>
        </w:tc>
        <w:tc>
          <w:tcPr>
            <w:tcW w:w="883" w:type="dxa"/>
            <w:shd w:val="clear" w:color="auto" w:fill="FFFFFF"/>
          </w:tcPr>
          <w:p w:rsidR="00BB7EDA" w:rsidRDefault="00BB7EDA">
            <w:pPr>
              <w:framePr w:w="5280" w:wrap="notBeside" w:vAnchor="text" w:hAnchor="text" w:xAlign="center" w:y="1"/>
              <w:rPr>
                <w:sz w:val="10"/>
                <w:szCs w:val="10"/>
              </w:rPr>
            </w:pPr>
          </w:p>
        </w:tc>
      </w:tr>
      <w:tr w:rsidR="00BB7EDA">
        <w:tblPrEx>
          <w:tblCellMar>
            <w:top w:w="0" w:type="dxa"/>
            <w:bottom w:w="0" w:type="dxa"/>
          </w:tblCellMar>
        </w:tblPrEx>
        <w:trPr>
          <w:trHeight w:hRule="exact" w:val="211"/>
          <w:jc w:val="center"/>
        </w:trPr>
        <w:tc>
          <w:tcPr>
            <w:tcW w:w="259" w:type="dxa"/>
            <w:shd w:val="clear" w:color="auto" w:fill="FFFFFF"/>
          </w:tcPr>
          <w:p w:rsidR="00BB7EDA" w:rsidRDefault="007D72B3">
            <w:pPr>
              <w:pStyle w:val="Bodytext20"/>
              <w:framePr w:w="5280" w:wrap="notBeside" w:vAnchor="text" w:hAnchor="text" w:xAlign="center" w:y="1"/>
              <w:shd w:val="clear" w:color="auto" w:fill="auto"/>
              <w:spacing w:before="0" w:line="140" w:lineRule="exact"/>
              <w:jc w:val="left"/>
            </w:pPr>
            <w:r>
              <w:rPr>
                <w:rStyle w:val="Bodytext27pt"/>
              </w:rPr>
              <w:t>314</w:t>
            </w:r>
          </w:p>
        </w:tc>
        <w:tc>
          <w:tcPr>
            <w:tcW w:w="1709"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SmallCaps"/>
              </w:rPr>
              <w:t>Lüken:</w:t>
            </w:r>
            <w:r>
              <w:rPr>
                <w:rStyle w:val="Bodytext28pt"/>
              </w:rPr>
              <w:t xml:space="preserve"> Die Traditionen</w:t>
            </w:r>
          </w:p>
        </w:tc>
        <w:tc>
          <w:tcPr>
            <w:tcW w:w="2016"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des Menschengeschlechts, 2.</w:t>
            </w:r>
          </w:p>
        </w:tc>
        <w:tc>
          <w:tcPr>
            <w:tcW w:w="413"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Aufl.</w:t>
            </w:r>
          </w:p>
        </w:tc>
        <w:tc>
          <w:tcPr>
            <w:tcW w:w="883" w:type="dxa"/>
            <w:shd w:val="clear" w:color="auto" w:fill="FFFFFF"/>
          </w:tcPr>
          <w:p w:rsidR="00BB7EDA" w:rsidRDefault="007D72B3">
            <w:pPr>
              <w:pStyle w:val="Bodytext20"/>
              <w:framePr w:w="5280" w:wrap="notBeside" w:vAnchor="text" w:hAnchor="text" w:xAlign="center" w:y="1"/>
              <w:shd w:val="clear" w:color="auto" w:fill="auto"/>
              <w:spacing w:before="0" w:line="160" w:lineRule="exact"/>
              <w:jc w:val="left"/>
            </w:pPr>
            <w:r>
              <w:rPr>
                <w:rStyle w:val="Bodytext28pt"/>
              </w:rPr>
              <w:t>1869, S. 316.</w:t>
            </w:r>
          </w:p>
        </w:tc>
      </w:tr>
    </w:tbl>
    <w:p w:rsidR="00BB7EDA" w:rsidRDefault="00BB7EDA">
      <w:pPr>
        <w:framePr w:w="5280" w:wrap="notBeside" w:vAnchor="text" w:hAnchor="text" w:xAlign="center" w:y="1"/>
        <w:rPr>
          <w:sz w:val="2"/>
          <w:szCs w:val="2"/>
        </w:rPr>
      </w:pPr>
    </w:p>
    <w:p w:rsidR="00BB7EDA" w:rsidRDefault="00BB7EDA">
      <w:pPr>
        <w:rPr>
          <w:sz w:val="2"/>
          <w:szCs w:val="2"/>
        </w:rPr>
      </w:pPr>
    </w:p>
    <w:p w:rsidR="00BB7EDA" w:rsidRDefault="00BB7EDA">
      <w:pPr>
        <w:rPr>
          <w:sz w:val="2"/>
          <w:szCs w:val="2"/>
        </w:rPr>
        <w:sectPr w:rsidR="00BB7EDA">
          <w:headerReference w:type="default" r:id="rId68"/>
          <w:footerReference w:type="even" r:id="rId69"/>
          <w:footerReference w:type="default" r:id="rId70"/>
          <w:headerReference w:type="first" r:id="rId71"/>
          <w:footerReference w:type="first" r:id="rId72"/>
          <w:pgSz w:w="7266" w:h="11422"/>
          <w:pgMar w:top="733" w:right="787" w:bottom="1122" w:left="791" w:header="0" w:footer="3" w:gutter="0"/>
          <w:cols w:space="720"/>
          <w:noEndnote/>
          <w:titlePg/>
          <w:docGrid w:linePitch="360"/>
        </w:sectPr>
      </w:pPr>
    </w:p>
    <w:p w:rsidR="00BB7EDA" w:rsidRDefault="00BB7EDA">
      <w:pPr>
        <w:spacing w:line="181" w:lineRule="exact"/>
        <w:rPr>
          <w:sz w:val="15"/>
          <w:szCs w:val="15"/>
        </w:rPr>
      </w:pPr>
    </w:p>
    <w:p w:rsidR="00BB7EDA" w:rsidRDefault="00BB7EDA">
      <w:pPr>
        <w:rPr>
          <w:sz w:val="2"/>
          <w:szCs w:val="2"/>
        </w:rPr>
        <w:sectPr w:rsidR="00BB7EDA">
          <w:pgSz w:w="7266" w:h="11422"/>
          <w:pgMar w:top="890" w:right="0" w:bottom="1081" w:left="0" w:header="0" w:footer="3" w:gutter="0"/>
          <w:cols w:space="720"/>
          <w:noEndnote/>
          <w:docGrid w:linePitch="360"/>
        </w:sectPr>
      </w:pPr>
    </w:p>
    <w:p w:rsidR="00BB7EDA" w:rsidRDefault="007D72B3">
      <w:pPr>
        <w:pStyle w:val="Bodytext100"/>
        <w:numPr>
          <w:ilvl w:val="0"/>
          <w:numId w:val="123"/>
        </w:numPr>
        <w:shd w:val="clear" w:color="auto" w:fill="auto"/>
        <w:tabs>
          <w:tab w:val="left" w:pos="654"/>
        </w:tabs>
        <w:spacing w:before="0" w:line="230" w:lineRule="exact"/>
        <w:ind w:firstLine="0"/>
      </w:pPr>
      <w:r>
        <w:t xml:space="preserve">Zur </w:t>
      </w:r>
      <w:r>
        <w:t>Tradition der Miao-Stämme</w:t>
      </w:r>
    </w:p>
    <w:p w:rsidR="00BB7EDA" w:rsidRDefault="007D72B3">
      <w:pPr>
        <w:pStyle w:val="Bodytext20"/>
        <w:shd w:val="clear" w:color="auto" w:fill="auto"/>
        <w:spacing w:before="0"/>
      </w:pPr>
      <w:r>
        <w:t xml:space="preserve">Die Miao-Stämme in den Bergen von Südwest-China besitzen eine Urgeschichte, die erstaunliche Parallelen mit Gen 1-11 aufweist. Diese Tradition wurde in poetischer Form durch Auswendiglernen von Generation zu Generation </w:t>
      </w:r>
      <w:r>
        <w:t>weitergegeben. Beachtlich ist u.a. der bereits in den vorsintflutlichen Gedichten der Bibel zu findende synonyme Parallelismus.</w:t>
      </w:r>
      <w:r>
        <w:rPr>
          <w:vertAlign w:val="superscript"/>
        </w:rPr>
        <w:footnoteReference w:id="256"/>
      </w:r>
      <w:r>
        <w:t xml:space="preserve"> Nebst den erstaunlichen Übereinstim</w:t>
      </w:r>
      <w:r>
        <w:softHyphen/>
        <w:t>mungen mit der Genesis sind gerade die zahlreichen Unterschiede Hinweis auf die Echtheit di</w:t>
      </w:r>
      <w:r>
        <w:t>eser Überlieferung.</w:t>
      </w:r>
    </w:p>
    <w:p w:rsidR="00BB7EDA" w:rsidRDefault="007D72B3">
      <w:pPr>
        <w:pStyle w:val="Bodytext20"/>
        <w:shd w:val="clear" w:color="auto" w:fill="auto"/>
        <w:spacing w:before="0" w:after="184"/>
        <w:ind w:firstLine="320"/>
      </w:pPr>
      <w:r>
        <w:t xml:space="preserve">Der Engländer Ernest </w:t>
      </w:r>
      <w:r>
        <w:rPr>
          <w:rStyle w:val="Bodytext28ptSmallCaps"/>
        </w:rPr>
        <w:t xml:space="preserve">Truax </w:t>
      </w:r>
      <w:r>
        <w:t>verbrachte den größten Teil sei</w:t>
      </w:r>
      <w:r>
        <w:softHyphen/>
        <w:t>nes Lebens als Missionar unter den Miao. Er übersetzte ihre Ur</w:t>
      </w:r>
      <w:r>
        <w:softHyphen/>
        <w:t>geschichte auf Englisch. Nachfolgend zitiere ich aus dem Ab</w:t>
      </w:r>
      <w:r>
        <w:softHyphen/>
        <w:t>schnitt, der auf den Turmbau und die Sprachenverwirrun</w:t>
      </w:r>
      <w:r>
        <w:t>g Bezug nimmt:</w:t>
      </w:r>
      <w:r>
        <w:rPr>
          <w:vertAlign w:val="superscript"/>
        </w:rPr>
        <w:footnoteReference w:id="257"/>
      </w:r>
    </w:p>
    <w:p w:rsidR="00BB7EDA" w:rsidRDefault="007D72B3">
      <w:pPr>
        <w:pStyle w:val="Bodytext20"/>
        <w:shd w:val="clear" w:color="auto" w:fill="auto"/>
        <w:spacing w:before="0" w:line="226" w:lineRule="exact"/>
        <w:ind w:firstLine="320"/>
      </w:pPr>
      <w:r>
        <w:t>„Lo-han zeugte Cusah und Mesay.</w:t>
      </w:r>
      <w:r>
        <w:rPr>
          <w:vertAlign w:val="superscript"/>
        </w:rPr>
        <w:footnoteReference w:id="258"/>
      </w:r>
    </w:p>
    <w:p w:rsidR="00BB7EDA" w:rsidRDefault="007D72B3">
      <w:pPr>
        <w:pStyle w:val="Bodytext20"/>
        <w:shd w:val="clear" w:color="auto" w:fill="auto"/>
        <w:spacing w:before="0" w:line="226" w:lineRule="exact"/>
        <w:ind w:firstLine="320"/>
      </w:pPr>
      <w:r>
        <w:t>Lo-shan zeugte Elan und Nga-shur.</w:t>
      </w:r>
      <w:r>
        <w:rPr>
          <w:vertAlign w:val="superscript"/>
        </w:rPr>
        <w:footnoteReference w:id="259"/>
      </w:r>
    </w:p>
    <w:p w:rsidR="00BB7EDA" w:rsidRDefault="007D72B3">
      <w:pPr>
        <w:pStyle w:val="Bodytext20"/>
        <w:shd w:val="clear" w:color="auto" w:fill="auto"/>
        <w:spacing w:before="0" w:line="226" w:lineRule="exact"/>
        <w:ind w:firstLine="320"/>
      </w:pPr>
      <w:r>
        <w:t>Ihre gezeugte Nachkommenschaft wurde zu Stämmen und</w:t>
      </w:r>
    </w:p>
    <w:p w:rsidR="00BB7EDA" w:rsidRDefault="007D72B3">
      <w:pPr>
        <w:pStyle w:val="Bodytext20"/>
        <w:shd w:val="clear" w:color="auto" w:fill="auto"/>
        <w:spacing w:before="0" w:line="226" w:lineRule="exact"/>
        <w:ind w:firstLine="320"/>
      </w:pPr>
      <w:r>
        <w:t>Völkern.</w:t>
      </w:r>
    </w:p>
    <w:p w:rsidR="00BB7EDA" w:rsidRDefault="007D72B3">
      <w:pPr>
        <w:pStyle w:val="Bodytext20"/>
        <w:shd w:val="clear" w:color="auto" w:fill="auto"/>
        <w:spacing w:before="0" w:line="226" w:lineRule="exact"/>
        <w:ind w:left="320"/>
        <w:jc w:val="left"/>
      </w:pPr>
      <w:r>
        <w:t>Ihre Nachkommen gründeten Niederlassungen und Städ</w:t>
      </w:r>
      <w:r>
        <w:softHyphen/>
        <w:t>te.</w:t>
      </w:r>
      <w:r>
        <w:rPr>
          <w:vertAlign w:val="superscript"/>
        </w:rPr>
        <w:footnoteReference w:id="260"/>
      </w:r>
    </w:p>
    <w:p w:rsidR="00BB7EDA" w:rsidRDefault="007D72B3">
      <w:pPr>
        <w:pStyle w:val="Bodytext20"/>
        <w:shd w:val="clear" w:color="auto" w:fill="auto"/>
        <w:spacing w:before="0" w:line="226" w:lineRule="exact"/>
        <w:ind w:firstLine="320"/>
      </w:pPr>
      <w:r>
        <w:t xml:space="preserve">Ihr Gesang bestand aus den gleichen Melodien und </w:t>
      </w:r>
      <w:r>
        <w:t>derselben</w:t>
      </w:r>
    </w:p>
    <w:p w:rsidR="00BB7EDA" w:rsidRDefault="007D72B3">
      <w:pPr>
        <w:pStyle w:val="Bodytext20"/>
        <w:shd w:val="clear" w:color="auto" w:fill="auto"/>
        <w:spacing w:before="0" w:line="226" w:lineRule="exact"/>
        <w:ind w:firstLine="320"/>
      </w:pPr>
      <w:r>
        <w:t>Musik.</w:t>
      </w:r>
    </w:p>
    <w:p w:rsidR="00BB7EDA" w:rsidRDefault="007D72B3">
      <w:pPr>
        <w:pStyle w:val="Bodytext20"/>
        <w:shd w:val="clear" w:color="auto" w:fill="auto"/>
        <w:spacing w:before="0" w:line="226" w:lineRule="exact"/>
        <w:ind w:left="320"/>
        <w:jc w:val="left"/>
      </w:pPr>
      <w:r>
        <w:t>Ihr Sprechen vollzog sich mit denselben Worten und dersel</w:t>
      </w:r>
      <w:r>
        <w:softHyphen/>
        <w:t>ben Sprache.</w:t>
      </w:r>
      <w:r>
        <w:rPr>
          <w:vertAlign w:val="superscript"/>
        </w:rPr>
        <w:footnoteReference w:id="261"/>
      </w:r>
    </w:p>
    <w:p w:rsidR="00BB7EDA" w:rsidRDefault="007D72B3">
      <w:pPr>
        <w:pStyle w:val="Bodytext20"/>
        <w:shd w:val="clear" w:color="auto" w:fill="auto"/>
        <w:spacing w:before="0" w:line="226" w:lineRule="exact"/>
        <w:ind w:firstLine="320"/>
      </w:pPr>
      <w:r>
        <w:t>Da sagten sie: Lasst uns eine sehr große Stadt bauen.</w:t>
      </w:r>
      <w:r>
        <w:rPr>
          <w:vertAlign w:val="superscript"/>
        </w:rPr>
        <w:footnoteReference w:id="262"/>
      </w:r>
    </w:p>
    <w:p w:rsidR="00BB7EDA" w:rsidRDefault="007D72B3">
      <w:pPr>
        <w:pStyle w:val="Bodytext20"/>
        <w:shd w:val="clear" w:color="auto" w:fill="auto"/>
        <w:spacing w:before="0" w:line="226" w:lineRule="exact"/>
        <w:ind w:firstLine="320"/>
      </w:pPr>
      <w:r>
        <w:t>Lasst uns einen sehr hohen Turm bauen, bis zum Himmel.</w:t>
      </w:r>
      <w:r>
        <w:rPr>
          <w:vertAlign w:val="superscript"/>
        </w:rPr>
        <w:footnoteReference w:id="263"/>
      </w:r>
    </w:p>
    <w:p w:rsidR="00BB7EDA" w:rsidRDefault="007D72B3">
      <w:pPr>
        <w:pStyle w:val="Bodytext20"/>
        <w:shd w:val="clear" w:color="auto" w:fill="auto"/>
        <w:spacing w:before="0" w:line="226" w:lineRule="exact"/>
        <w:ind w:firstLine="320"/>
      </w:pPr>
      <w:r>
        <w:t>Dies war falsch, doch sie führten ihren Entscheid aus.</w:t>
      </w:r>
      <w:r>
        <w:br w:type="page"/>
      </w:r>
    </w:p>
    <w:p w:rsidR="00BB7EDA" w:rsidRDefault="007D72B3">
      <w:pPr>
        <w:pStyle w:val="Bodytext20"/>
        <w:shd w:val="clear" w:color="auto" w:fill="auto"/>
        <w:spacing w:before="0" w:line="226" w:lineRule="exact"/>
        <w:ind w:left="320"/>
        <w:jc w:val="left"/>
      </w:pPr>
      <w:r>
        <w:t>Nicht recht war es, doch unbesonnen beharrten sie darauf.</w:t>
      </w:r>
    </w:p>
    <w:p w:rsidR="00BB7EDA" w:rsidRDefault="007D72B3">
      <w:pPr>
        <w:pStyle w:val="Bodytext20"/>
        <w:shd w:val="clear" w:color="auto" w:fill="auto"/>
        <w:spacing w:before="0" w:line="226" w:lineRule="exact"/>
        <w:ind w:left="320"/>
        <w:jc w:val="left"/>
      </w:pPr>
      <w:r>
        <w:t>Da schlug sie Gott und änderte ihre Sprache und ihren Akzent.</w:t>
      </w:r>
      <w:r>
        <w:rPr>
          <w:vertAlign w:val="superscript"/>
        </w:rPr>
        <w:t>323</w:t>
      </w:r>
    </w:p>
    <w:p w:rsidR="00BB7EDA" w:rsidRDefault="007D72B3">
      <w:pPr>
        <w:pStyle w:val="Bodytext20"/>
        <w:shd w:val="clear" w:color="auto" w:fill="auto"/>
        <w:spacing w:before="0" w:line="226" w:lineRule="exact"/>
        <w:ind w:left="320"/>
        <w:jc w:val="left"/>
      </w:pPr>
      <w:r>
        <w:t>Herabgekommen im Zorn,</w:t>
      </w:r>
      <w:r>
        <w:rPr>
          <w:vertAlign w:val="superscript"/>
        </w:rPr>
        <w:t>324</w:t>
      </w:r>
      <w:r>
        <w:t xml:space="preserve"> verwirrte</w:t>
      </w:r>
      <w:r>
        <w:rPr>
          <w:vertAlign w:val="superscript"/>
        </w:rPr>
        <w:t>325</w:t>
      </w:r>
      <w:r>
        <w:t xml:space="preserve"> er Töne und Stim</w:t>
      </w:r>
      <w:r>
        <w:softHyphen/>
        <w:t>men.</w:t>
      </w:r>
    </w:p>
    <w:p w:rsidR="00BB7EDA" w:rsidRDefault="007D72B3">
      <w:pPr>
        <w:pStyle w:val="Bodytext20"/>
        <w:shd w:val="clear" w:color="auto" w:fill="auto"/>
        <w:spacing w:before="0" w:line="226" w:lineRule="exact"/>
        <w:ind w:left="320"/>
        <w:jc w:val="left"/>
      </w:pPr>
      <w:r>
        <w:t>Des einen Sprechen hat keine Bedeutung für den andern, der ihn hört.</w:t>
      </w:r>
    </w:p>
    <w:p w:rsidR="00BB7EDA" w:rsidRDefault="007D72B3">
      <w:pPr>
        <w:pStyle w:val="Bodytext20"/>
        <w:shd w:val="clear" w:color="auto" w:fill="auto"/>
        <w:spacing w:before="0" w:line="226" w:lineRule="exact"/>
        <w:ind w:left="320"/>
        <w:jc w:val="left"/>
      </w:pPr>
      <w:r>
        <w:t xml:space="preserve">Er </w:t>
      </w:r>
      <w:r>
        <w:t>spricht mit Worten, doch können sie ihn nicht verste</w:t>
      </w:r>
      <w:r>
        <w:softHyphen/>
        <w:t>hen.</w:t>
      </w:r>
    </w:p>
    <w:p w:rsidR="00BB7EDA" w:rsidRDefault="007D72B3">
      <w:pPr>
        <w:pStyle w:val="Bodytext20"/>
        <w:shd w:val="clear" w:color="auto" w:fill="auto"/>
        <w:spacing w:before="0" w:line="226" w:lineRule="exact"/>
        <w:ind w:left="320"/>
        <w:jc w:val="left"/>
      </w:pPr>
      <w:r>
        <w:t>So wurde die Stadt, die sie bauten, nie vollendet.</w:t>
      </w:r>
      <w:r>
        <w:rPr>
          <w:vertAlign w:val="superscript"/>
        </w:rPr>
        <w:t>326</w:t>
      </w:r>
    </w:p>
    <w:p w:rsidR="00BB7EDA" w:rsidRDefault="007D72B3">
      <w:pPr>
        <w:pStyle w:val="Bodytext20"/>
        <w:shd w:val="clear" w:color="auto" w:fill="auto"/>
        <w:spacing w:before="0" w:line="226" w:lineRule="exact"/>
        <w:ind w:left="320"/>
        <w:jc w:val="left"/>
      </w:pPr>
      <w:r>
        <w:t>Der Turm, den sie machten, muss nun unvollendet dastehen.</w:t>
      </w:r>
    </w:p>
    <w:p w:rsidR="00BB7EDA" w:rsidRDefault="007D72B3">
      <w:pPr>
        <w:pStyle w:val="Bodytext20"/>
        <w:shd w:val="clear" w:color="auto" w:fill="auto"/>
        <w:spacing w:before="0" w:line="226" w:lineRule="exact"/>
        <w:ind w:left="320"/>
        <w:jc w:val="left"/>
      </w:pPr>
      <w:r>
        <w:t>In Hoffnungslosigkeit trennen sie sich [und verteilen sich] unter dem ganzen Himmel.</w:t>
      </w:r>
    </w:p>
    <w:p w:rsidR="00BB7EDA" w:rsidRDefault="007D72B3">
      <w:pPr>
        <w:pStyle w:val="Bodytext20"/>
        <w:shd w:val="clear" w:color="auto" w:fill="auto"/>
        <w:spacing w:before="0" w:after="180" w:line="226" w:lineRule="exact"/>
        <w:ind w:left="320"/>
        <w:jc w:val="left"/>
      </w:pPr>
      <w:r>
        <w:t>S</w:t>
      </w:r>
      <w:r>
        <w:t>ie verlassen einander und umgehen die Welt.</w:t>
      </w:r>
      <w:r>
        <w:rPr>
          <w:vertAlign w:val="superscript"/>
        </w:rPr>
        <w:t xml:space="preserve">327 </w:t>
      </w:r>
      <w:r>
        <w:t>Sie kommen zu sechs Ecken und sprechen die sechs Spra</w:t>
      </w:r>
      <w:r>
        <w:softHyphen/>
        <w:t>chen."</w:t>
      </w:r>
      <w:r>
        <w:rPr>
          <w:vertAlign w:val="superscript"/>
        </w:rPr>
        <w:t>328</w:t>
      </w:r>
    </w:p>
    <w:p w:rsidR="00BB7EDA" w:rsidRDefault="007D72B3">
      <w:pPr>
        <w:pStyle w:val="Bodytext100"/>
        <w:numPr>
          <w:ilvl w:val="0"/>
          <w:numId w:val="124"/>
        </w:numPr>
        <w:shd w:val="clear" w:color="auto" w:fill="auto"/>
        <w:tabs>
          <w:tab w:val="left" w:pos="663"/>
        </w:tabs>
        <w:spacing w:before="0"/>
        <w:ind w:firstLine="0"/>
      </w:pPr>
      <w:r>
        <w:rPr>
          <w:rStyle w:val="Bodytext10TrebuchetMS5ptNotBoldSmallCaps"/>
          <w:i/>
          <w:iCs/>
        </w:rPr>
        <w:t xml:space="preserve">Riems </w:t>
      </w:r>
      <w:r>
        <w:t>Urteil über die Miao-Überlieferung</w:t>
      </w:r>
    </w:p>
    <w:p w:rsidR="00BB7EDA" w:rsidRDefault="007D72B3">
      <w:pPr>
        <w:pStyle w:val="Bodytext20"/>
        <w:shd w:val="clear" w:color="auto" w:fill="auto"/>
        <w:spacing w:before="0" w:after="180" w:line="226" w:lineRule="exact"/>
      </w:pPr>
      <w:r>
        <w:t xml:space="preserve">Johannes </w:t>
      </w:r>
      <w:r>
        <w:rPr>
          <w:rStyle w:val="Bodytext28ptSmallCaps"/>
        </w:rPr>
        <w:t xml:space="preserve">Riem </w:t>
      </w:r>
      <w:r>
        <w:t>schrieb bereits 1925 im Blick auf die Traditionen der Miaos:</w:t>
      </w:r>
    </w:p>
    <w:p w:rsidR="00BB7EDA" w:rsidRDefault="007D72B3">
      <w:pPr>
        <w:pStyle w:val="Bodytext20"/>
        <w:shd w:val="clear" w:color="auto" w:fill="auto"/>
        <w:spacing w:before="0" w:after="447" w:line="226" w:lineRule="exact"/>
        <w:ind w:left="320" w:right="320"/>
      </w:pPr>
      <w:r>
        <w:t>„Die Tatsache, dass die Miao,</w:t>
      </w:r>
      <w:r>
        <w:t xml:space="preserve"> Nosu und andere Ureinwoh</w:t>
      </w:r>
      <w:r>
        <w:softHyphen/>
        <w:t>ner von Westchina eine Überlieferung der Flut haben, ist in Missionarskreisen wohlbekannt. Diese Geschichten sind von einem Geschlecht zum andern weitergegeben worden und haben im Laufe der Zeit natürlich vieles von ihrer Ursprüng</w:t>
      </w:r>
      <w:r>
        <w:softHyphen/>
        <w:t>lichkeit verloren. Während sie der Hauptsache nach über</w:t>
      </w:r>
      <w:r>
        <w:softHyphen/>
        <w:t>einstimmen und also in großen Zügen auch mit der Erzäh</w:t>
      </w:r>
      <w:r>
        <w:softHyphen/>
        <w:t>lung der Bibel, so hat hinsichtlich der Einzelheiten jeder Stamm augenscheinlich seine besondere Erzählung, oft ver</w:t>
      </w:r>
      <w:r>
        <w:softHyphen/>
        <w:t xml:space="preserve">mischt mit andern wichtigen </w:t>
      </w:r>
      <w:r>
        <w:t>Ereignissen aus der Weltge</w:t>
      </w:r>
      <w:r>
        <w:softHyphen/>
        <w:t>schichte, wie die Erschaffung und der Ursprung des ersten Weibes usw."</w:t>
      </w:r>
      <w:r>
        <w:rPr>
          <w:vertAlign w:val="superscript"/>
        </w:rPr>
        <w:t>329</w:t>
      </w:r>
    </w:p>
    <w:p w:rsidR="00BB7EDA" w:rsidRDefault="007D72B3">
      <w:pPr>
        <w:pStyle w:val="Bodytext60"/>
        <w:shd w:val="clear" w:color="auto" w:fill="auto"/>
        <w:spacing w:line="192" w:lineRule="exact"/>
        <w:ind w:left="320"/>
      </w:pPr>
      <w:r>
        <w:pict>
          <v:shape id="_x0000_s1089" type="#_x0000_t202" style="position:absolute;left:0;text-align:left;margin-left:-4.05pt;margin-top:-5.8pt;width:11.75pt;height:69.3pt;z-index:-125829361;mso-wrap-distance-left:5pt;mso-wrap-distance-right:5pt;mso-position-horizontal-relative:margin" filled="f" stroked="f">
            <v:textbox style="mso-fit-shape-to-text:t" inset="0,0,0,0">
              <w:txbxContent>
                <w:p w:rsidR="00BB7EDA" w:rsidRDefault="007D72B3">
                  <w:pPr>
                    <w:pStyle w:val="Bodytext150"/>
                    <w:shd w:val="clear" w:color="auto" w:fill="auto"/>
                    <w:spacing w:line="187" w:lineRule="exact"/>
                    <w:jc w:val="left"/>
                  </w:pPr>
                  <w:r>
                    <w:rPr>
                      <w:rStyle w:val="Bodytext15Exact"/>
                    </w:rPr>
                    <w:t>323</w:t>
                  </w:r>
                </w:p>
                <w:p w:rsidR="00BB7EDA" w:rsidRDefault="007D72B3">
                  <w:pPr>
                    <w:pStyle w:val="Bodytext150"/>
                    <w:shd w:val="clear" w:color="auto" w:fill="auto"/>
                    <w:spacing w:line="187" w:lineRule="exact"/>
                    <w:jc w:val="left"/>
                  </w:pPr>
                  <w:r>
                    <w:rPr>
                      <w:rStyle w:val="Bodytext15Exact"/>
                    </w:rPr>
                    <w:t>324</w:t>
                  </w:r>
                </w:p>
                <w:p w:rsidR="00BB7EDA" w:rsidRDefault="007D72B3">
                  <w:pPr>
                    <w:pStyle w:val="Bodytext150"/>
                    <w:shd w:val="clear" w:color="auto" w:fill="auto"/>
                    <w:spacing w:line="187" w:lineRule="exact"/>
                    <w:jc w:val="left"/>
                  </w:pPr>
                  <w:r>
                    <w:rPr>
                      <w:rStyle w:val="Bodytext15Exact"/>
                    </w:rPr>
                    <w:t>325</w:t>
                  </w:r>
                </w:p>
                <w:p w:rsidR="00BB7EDA" w:rsidRDefault="007D72B3">
                  <w:pPr>
                    <w:pStyle w:val="Bodytext150"/>
                    <w:shd w:val="clear" w:color="auto" w:fill="auto"/>
                    <w:spacing w:line="187" w:lineRule="exact"/>
                    <w:jc w:val="left"/>
                  </w:pPr>
                  <w:r>
                    <w:rPr>
                      <w:rStyle w:val="Bodytext15Exact"/>
                    </w:rPr>
                    <w:t>326</w:t>
                  </w:r>
                </w:p>
                <w:p w:rsidR="00BB7EDA" w:rsidRDefault="007D72B3">
                  <w:pPr>
                    <w:pStyle w:val="Bodytext150"/>
                    <w:shd w:val="clear" w:color="auto" w:fill="auto"/>
                    <w:spacing w:line="187" w:lineRule="exact"/>
                    <w:jc w:val="left"/>
                  </w:pPr>
                  <w:r>
                    <w:rPr>
                      <w:rStyle w:val="Bodytext15Exact"/>
                    </w:rPr>
                    <w:t>327</w:t>
                  </w:r>
                </w:p>
                <w:p w:rsidR="00BB7EDA" w:rsidRDefault="007D72B3">
                  <w:pPr>
                    <w:pStyle w:val="Bodytext11"/>
                    <w:shd w:val="clear" w:color="auto" w:fill="auto"/>
                    <w:spacing w:after="0" w:line="187" w:lineRule="exact"/>
                  </w:pPr>
                  <w:r>
                    <w:rPr>
                      <w:rStyle w:val="Bodytext11Exact0"/>
                    </w:rPr>
                    <w:t>328</w:t>
                  </w:r>
                </w:p>
                <w:p w:rsidR="00BB7EDA" w:rsidRDefault="007D72B3">
                  <w:pPr>
                    <w:pStyle w:val="Bodytext150"/>
                    <w:shd w:val="clear" w:color="auto" w:fill="auto"/>
                    <w:spacing w:line="187" w:lineRule="exact"/>
                    <w:jc w:val="left"/>
                  </w:pPr>
                  <w:r>
                    <w:rPr>
                      <w:rStyle w:val="Bodytext15Exact"/>
                    </w:rPr>
                    <w:t>329</w:t>
                  </w:r>
                </w:p>
              </w:txbxContent>
            </v:textbox>
            <w10:wrap type="square" side="right" anchorx="margin"/>
          </v:shape>
        </w:pict>
      </w:r>
      <w:r>
        <w:t>Vgl. Gen 11,9.</w:t>
      </w:r>
    </w:p>
    <w:p w:rsidR="00BB7EDA" w:rsidRDefault="007D72B3">
      <w:pPr>
        <w:pStyle w:val="Bodytext60"/>
        <w:shd w:val="clear" w:color="auto" w:fill="auto"/>
        <w:spacing w:line="192" w:lineRule="exact"/>
        <w:ind w:left="320"/>
      </w:pPr>
      <w:r>
        <w:t>Vgl. Gen 11,5-9.</w:t>
      </w:r>
    </w:p>
    <w:p w:rsidR="00BB7EDA" w:rsidRDefault="007D72B3">
      <w:pPr>
        <w:pStyle w:val="Bodytext60"/>
        <w:shd w:val="clear" w:color="auto" w:fill="auto"/>
        <w:spacing w:line="192" w:lineRule="exact"/>
        <w:ind w:left="320"/>
      </w:pPr>
      <w:r>
        <w:t>Vgl. Gen 11,9.</w:t>
      </w:r>
    </w:p>
    <w:p w:rsidR="00BB7EDA" w:rsidRDefault="007D72B3">
      <w:pPr>
        <w:pStyle w:val="Bodytext60"/>
        <w:shd w:val="clear" w:color="auto" w:fill="auto"/>
        <w:spacing w:line="192" w:lineRule="exact"/>
        <w:ind w:left="320"/>
      </w:pPr>
      <w:r>
        <w:t>Vgl. Gen 11,8.</w:t>
      </w:r>
    </w:p>
    <w:p w:rsidR="00BB7EDA" w:rsidRDefault="007D72B3">
      <w:pPr>
        <w:pStyle w:val="Bodytext60"/>
        <w:shd w:val="clear" w:color="auto" w:fill="auto"/>
        <w:spacing w:line="192" w:lineRule="exact"/>
        <w:ind w:left="320"/>
      </w:pPr>
      <w:r>
        <w:t>Vgl. Gen 10,32; 11,8-9.</w:t>
      </w:r>
    </w:p>
    <w:p w:rsidR="00BB7EDA" w:rsidRDefault="007D72B3">
      <w:pPr>
        <w:pStyle w:val="Bodytext60"/>
        <w:shd w:val="clear" w:color="auto" w:fill="auto"/>
        <w:spacing w:line="192" w:lineRule="exact"/>
        <w:ind w:left="320"/>
        <w:sectPr w:rsidR="00BB7EDA">
          <w:type w:val="continuous"/>
          <w:pgSz w:w="7266" w:h="11422"/>
          <w:pgMar w:top="890" w:right="800" w:bottom="1081" w:left="810" w:header="0" w:footer="3" w:gutter="0"/>
          <w:cols w:space="720"/>
          <w:noEndnote/>
          <w:docGrid w:linePitch="360"/>
        </w:sectPr>
      </w:pPr>
      <w:r>
        <w:rPr>
          <w:rStyle w:val="Bodytext67ptSmallCapsSpacing0pt"/>
        </w:rPr>
        <w:t xml:space="preserve">Truax: </w:t>
      </w:r>
      <w:r>
        <w:t>Genesis a</w:t>
      </w:r>
      <w:r>
        <w:t xml:space="preserve">ccording to the Miao People.; deutsche Übersetzung: RL. </w:t>
      </w:r>
      <w:r>
        <w:rPr>
          <w:rStyle w:val="Bodytext67ptSmallCapsSpacing0pt"/>
        </w:rPr>
        <w:t xml:space="preserve">Riem: </w:t>
      </w:r>
      <w:r>
        <w:t>Die Sintflut in Sage und Wissenschaft, S. 44-45.</w:t>
      </w:r>
    </w:p>
    <w:p w:rsidR="00BB7EDA" w:rsidRDefault="007D72B3">
      <w:pPr>
        <w:pStyle w:val="Bodytext20"/>
        <w:shd w:val="clear" w:color="auto" w:fill="auto"/>
        <w:spacing w:before="0" w:after="120"/>
      </w:pPr>
      <w:r>
        <w:t xml:space="preserve">Im Zusammenhang mit der Südsee enthält </w:t>
      </w:r>
      <w:r>
        <w:rPr>
          <w:rStyle w:val="Bodytext28ptSmallCaps"/>
        </w:rPr>
        <w:t xml:space="preserve">Lüken </w:t>
      </w:r>
      <w:r>
        <w:t>einen weiteren interessanten Abschnitt:</w:t>
      </w:r>
    </w:p>
    <w:p w:rsidR="00BB7EDA" w:rsidRDefault="007D72B3">
      <w:pPr>
        <w:pStyle w:val="Bodytext20"/>
        <w:shd w:val="clear" w:color="auto" w:fill="auto"/>
        <w:spacing w:before="0" w:after="400"/>
        <w:ind w:left="320" w:right="340"/>
      </w:pPr>
      <w:r>
        <w:t xml:space="preserve">„Befragen wir endlich noch den neuesten Welttheil, so </w:t>
      </w:r>
      <w:r>
        <w:t>treffen wir auch dort die Sagen vom Turmbau und der Sprachen</w:t>
      </w:r>
      <w:r>
        <w:softHyphen/>
        <w:t>verwirrung. Die Fidschi-Insulaner zeigen noch auf einer ihrer Inseln eine Stelle, wo in früheren Zeitaltern die Menschen einen großen Turm bauten,</w:t>
      </w:r>
      <w:r>
        <w:rPr>
          <w:vertAlign w:val="superscript"/>
        </w:rPr>
        <w:footnoteReference w:id="264"/>
      </w:r>
      <w:r>
        <w:t xml:space="preserve"> weil sie nach astronomischen Kenntnissen begier</w:t>
      </w:r>
      <w:r>
        <w:t>ig waren, besonders ob der Mond be</w:t>
      </w:r>
      <w:r>
        <w:softHyphen/>
        <w:t>wohnt sei oder nicht...</w:t>
      </w:r>
      <w:r>
        <w:rPr>
          <w:vertAlign w:val="superscript"/>
        </w:rPr>
        <w:footnoteReference w:id="265"/>
      </w:r>
      <w:r>
        <w:t xml:space="preserve"> Um ihren Zweck zu erreichen, führ</w:t>
      </w:r>
      <w:r>
        <w:softHyphen/>
        <w:t>ten sie einen hohen Damm auf und errichteten darauf ein großes hölzernes Gebäude. Der Turm hatte sich bereits weit himmelwärts</w:t>
      </w:r>
      <w:r>
        <w:rPr>
          <w:vertAlign w:val="superscript"/>
        </w:rPr>
        <w:footnoteReference w:id="266"/>
      </w:r>
      <w:r>
        <w:t xml:space="preserve"> erhoben, als die unteren Stützwerk</w:t>
      </w:r>
      <w:r>
        <w:t>e brachen und die Arbeiter sich dann über alle Theile Fidschis verbreite</w:t>
      </w:r>
      <w:r>
        <w:softHyphen/>
        <w:t>ten."</w:t>
      </w:r>
      <w:r>
        <w:rPr>
          <w:vertAlign w:val="superscript"/>
        </w:rPr>
        <w:footnoteReference w:id="267"/>
      </w:r>
    </w:p>
    <w:p w:rsidR="00BB7EDA" w:rsidRDefault="007D72B3">
      <w:pPr>
        <w:pStyle w:val="Bodytext90"/>
        <w:numPr>
          <w:ilvl w:val="0"/>
          <w:numId w:val="125"/>
        </w:numPr>
        <w:shd w:val="clear" w:color="auto" w:fill="auto"/>
        <w:tabs>
          <w:tab w:val="left" w:pos="510"/>
        </w:tabs>
        <w:spacing w:after="159" w:line="180" w:lineRule="exact"/>
      </w:pPr>
      <w:r>
        <w:t>Afrika</w:t>
      </w:r>
    </w:p>
    <w:p w:rsidR="00BB7EDA" w:rsidRDefault="007D72B3">
      <w:pPr>
        <w:pStyle w:val="Bodytext20"/>
        <w:shd w:val="clear" w:color="auto" w:fill="auto"/>
        <w:spacing w:before="0" w:after="124"/>
      </w:pPr>
      <w:r>
        <w:t>Stellvertretend für die in Afrika zu findenden Erzählungen, die Parallelen zu Gen 11 aufweisen, führe ich die Tradition der Akwapim an der Goldküste an:</w:t>
      </w:r>
    </w:p>
    <w:p w:rsidR="00BB7EDA" w:rsidRDefault="007D72B3">
      <w:pPr>
        <w:pStyle w:val="Bodytext20"/>
        <w:shd w:val="clear" w:color="auto" w:fill="auto"/>
        <w:spacing w:before="0" w:line="226" w:lineRule="exact"/>
        <w:ind w:left="320" w:right="340"/>
      </w:pPr>
      <w:r>
        <w:t>„Die Vorfahren d</w:t>
      </w:r>
      <w:r>
        <w:t xml:space="preserve">er </w:t>
      </w:r>
      <w:r>
        <w:rPr>
          <w:rStyle w:val="Bodytext2Italic0"/>
        </w:rPr>
        <w:t>Akwapim</w:t>
      </w:r>
      <w:r>
        <w:t xml:space="preserve"> wollten zu Gott Nyankupon hinauf und türmten dazu die Fufumörser aufeinander.</w:t>
      </w:r>
      <w:r>
        <w:rPr>
          <w:vertAlign w:val="superscript"/>
        </w:rPr>
        <w:footnoteReference w:id="268"/>
      </w:r>
      <w:r>
        <w:t xml:space="preserve"> Da einer fehlte, zogen sie den untersten hervor, - da fiel der ganze Turm zusammen. Nur durch die Flucht entkamen sie,</w:t>
      </w:r>
      <w:r>
        <w:rPr>
          <w:vertAlign w:val="superscript"/>
        </w:rPr>
        <w:footnoteReference w:id="269"/>
      </w:r>
      <w:r>
        <w:t xml:space="preserve"> und vor Schreck bildeten sie neue Sprachen;</w:t>
      </w:r>
      <w:r>
        <w:rPr>
          <w:vertAlign w:val="superscript"/>
        </w:rPr>
        <w:footnoteReference w:id="270"/>
      </w:r>
      <w:r>
        <w:t xml:space="preserve"> b</w:t>
      </w:r>
      <w:r>
        <w:t xml:space="preserve">is dahin hatte es nur </w:t>
      </w:r>
      <w:r>
        <w:rPr>
          <w:rStyle w:val="Bodytext2Italic0"/>
        </w:rPr>
        <w:t>eine</w:t>
      </w:r>
      <w:r>
        <w:rPr>
          <w:rStyle w:val="Bodytext2Italic0"/>
          <w:vertAlign w:val="superscript"/>
        </w:rPr>
        <w:footnoteReference w:id="271"/>
      </w:r>
      <w:r>
        <w:t xml:space="preserve"> gegeben."</w:t>
      </w:r>
      <w:r>
        <w:rPr>
          <w:vertAlign w:val="superscript"/>
        </w:rPr>
        <w:footnoteReference w:id="272"/>
      </w:r>
    </w:p>
    <w:p w:rsidR="00BB7EDA" w:rsidRDefault="007D72B3">
      <w:pPr>
        <w:pStyle w:val="Bodytext20"/>
        <w:shd w:val="clear" w:color="auto" w:fill="auto"/>
        <w:spacing w:before="0" w:line="226" w:lineRule="exact"/>
        <w:ind w:firstLine="320"/>
        <w:sectPr w:rsidR="00BB7EDA">
          <w:headerReference w:type="default" r:id="rId73"/>
          <w:footerReference w:type="even" r:id="rId74"/>
          <w:footerReference w:type="default" r:id="rId75"/>
          <w:headerReference w:type="first" r:id="rId76"/>
          <w:footerReference w:type="first" r:id="rId77"/>
          <w:pgSz w:w="7266" w:h="11422"/>
          <w:pgMar w:top="890" w:right="800" w:bottom="1081" w:left="810" w:header="0" w:footer="3" w:gutter="0"/>
          <w:cols w:space="720"/>
          <w:noEndnote/>
          <w:titlePg/>
          <w:docGrid w:linePitch="360"/>
        </w:sectPr>
      </w:pPr>
      <w:r>
        <w:t xml:space="preserve">Diese Beispiele aus ganz verschiedenen Teilen der Welt stehen stellvertretend für </w:t>
      </w:r>
      <w:r>
        <w:t>viele andere Traditionen. Ich denke, dass man anhand dieser Auswahl zeigen kann, dass es sich wirklich lohnt, sie als Argument in die Kontroverse um Schöpfung und Evolution mit gebührlichem Nachdruck einfließen zu lassen.</w:t>
      </w:r>
    </w:p>
    <w:p w:rsidR="00BB7EDA" w:rsidRDefault="007D72B3">
      <w:pPr>
        <w:pStyle w:val="Heading30"/>
        <w:keepNext/>
        <w:keepLines/>
        <w:numPr>
          <w:ilvl w:val="0"/>
          <w:numId w:val="126"/>
        </w:numPr>
        <w:shd w:val="clear" w:color="auto" w:fill="auto"/>
        <w:tabs>
          <w:tab w:val="left" w:pos="344"/>
        </w:tabs>
        <w:spacing w:after="354" w:line="336" w:lineRule="exact"/>
      </w:pPr>
      <w:bookmarkStart w:id="61" w:name="bookmark60"/>
      <w:r>
        <w:t>Methodik einer Konfrontation zwisc</w:t>
      </w:r>
      <w:r>
        <w:t>hen Schöpfung und Evolution</w:t>
      </w:r>
      <w:bookmarkEnd w:id="61"/>
    </w:p>
    <w:p w:rsidR="00BB7EDA" w:rsidRDefault="007D72B3">
      <w:pPr>
        <w:pStyle w:val="Heading40"/>
        <w:keepNext/>
        <w:keepLines/>
        <w:numPr>
          <w:ilvl w:val="1"/>
          <w:numId w:val="126"/>
        </w:numPr>
        <w:shd w:val="clear" w:color="auto" w:fill="auto"/>
        <w:tabs>
          <w:tab w:val="left" w:pos="390"/>
        </w:tabs>
        <w:spacing w:after="211" w:line="269" w:lineRule="exact"/>
        <w:jc w:val="left"/>
      </w:pPr>
      <w:bookmarkStart w:id="62" w:name="bookmark61"/>
      <w:r>
        <w:t>Wie kann man Sprachentstehungs-Aussagen überprüfen?</w:t>
      </w:r>
      <w:bookmarkEnd w:id="62"/>
    </w:p>
    <w:p w:rsidR="00BB7EDA" w:rsidRDefault="007D72B3">
      <w:pPr>
        <w:pStyle w:val="Bodytext20"/>
        <w:shd w:val="clear" w:color="auto" w:fill="auto"/>
        <w:spacing w:before="0" w:after="340"/>
      </w:pPr>
      <w:r>
        <w:t>Wir haben nun evolutionistische und biblische Darlegungen über den Ursprung der Sprachen einander gegenübergestellt. Jetzt stehen wir vor der Frage, wie wir sie auf ihren Wahrh</w:t>
      </w:r>
      <w:r>
        <w:t>eitsgehalt überprüfen können. Es ist uns ja verwehrt, in die Vergangenheit zurückzukeh</w:t>
      </w:r>
      <w:r>
        <w:softHyphen/>
        <w:t>ren, um nachzusehen, wie die Sprachen entstanden sind. Die Mög</w:t>
      </w:r>
      <w:r>
        <w:softHyphen/>
        <w:t xml:space="preserve">lichkeit der direkten Beobachtung ist uns völlig verschlossen. Es gibt keine Zeitmaschinen, um uns in die </w:t>
      </w:r>
      <w:r>
        <w:t>Vergangenheit zurückzuverset</w:t>
      </w:r>
      <w:r>
        <w:softHyphen/>
        <w:t>zen, damit wir etwa zuschauen könnten, wie sich die Sprach- entstehung ereignet hat.</w:t>
      </w:r>
    </w:p>
    <w:p w:rsidR="00BB7EDA" w:rsidRDefault="007D72B3">
      <w:pPr>
        <w:pStyle w:val="Bodytext90"/>
        <w:numPr>
          <w:ilvl w:val="2"/>
          <w:numId w:val="126"/>
        </w:numPr>
        <w:shd w:val="clear" w:color="auto" w:fill="auto"/>
        <w:tabs>
          <w:tab w:val="left" w:pos="486"/>
        </w:tabs>
        <w:spacing w:after="218" w:line="180" w:lineRule="exact"/>
      </w:pPr>
      <w:r>
        <w:t>Zur Methode der Deduktion</w:t>
      </w:r>
    </w:p>
    <w:p w:rsidR="00BB7EDA" w:rsidRDefault="007D72B3">
      <w:pPr>
        <w:pStyle w:val="Bodytext20"/>
        <w:shd w:val="clear" w:color="auto" w:fill="auto"/>
        <w:spacing w:before="0" w:after="180" w:line="226" w:lineRule="exact"/>
      </w:pPr>
      <w:r>
        <w:t xml:space="preserve">Von der Wissenschaftstheorie her bietet sich jedoch in solchen Fällen die </w:t>
      </w:r>
      <w:r>
        <w:rPr>
          <w:rStyle w:val="Bodytext2Italic0"/>
        </w:rPr>
        <w:t>Methode der Deduktion</w:t>
      </w:r>
      <w:r>
        <w:t xml:space="preserve"> an:</w:t>
      </w:r>
      <w:r>
        <w:rPr>
          <w:vertAlign w:val="superscript"/>
        </w:rPr>
        <w:footnoteReference w:id="273"/>
      </w:r>
      <w:r>
        <w:t xml:space="preserve"> Von jedem Stand</w:t>
      </w:r>
      <w:r>
        <w:t>punkt aus lassen sich durch Logik Schlussfolgerungen ziehen, die mit uns zugängli</w:t>
      </w:r>
      <w:r>
        <w:softHyphen/>
        <w:t>chem Faktenmaterial verglichen und kontrolliert werden können. Ein Ausgangspunkt, dessen durch Ableitung vorausgesagte Sach</w:t>
      </w:r>
      <w:r>
        <w:softHyphen/>
        <w:t>verhalte einer Prüfung nicht standhalten, wird dad</w:t>
      </w:r>
      <w:r>
        <w:t>urch in Frage gestellt oder sogar widerlegt. Ein Standpunkt, dessen Voraussagen sich mit dem untersuchbaren Faktenmaterial deckt, sollte wissen</w:t>
      </w:r>
      <w:r>
        <w:softHyphen/>
        <w:t>schaftlich ernst genommen und als in diesem Punkt bestätigt ange</w:t>
      </w:r>
      <w:r>
        <w:softHyphen/>
        <w:t>sehen werden.</w:t>
      </w:r>
    </w:p>
    <w:p w:rsidR="00BB7EDA" w:rsidRDefault="007D72B3">
      <w:pPr>
        <w:pStyle w:val="Bodytext100"/>
        <w:numPr>
          <w:ilvl w:val="3"/>
          <w:numId w:val="126"/>
        </w:numPr>
        <w:shd w:val="clear" w:color="auto" w:fill="auto"/>
        <w:tabs>
          <w:tab w:val="left" w:pos="644"/>
        </w:tabs>
        <w:spacing w:before="0"/>
        <w:ind w:firstLine="0"/>
      </w:pPr>
      <w:r>
        <w:t>Nur mit Fakten arbeiten</w:t>
      </w:r>
    </w:p>
    <w:p w:rsidR="00BB7EDA" w:rsidRDefault="007D72B3">
      <w:pPr>
        <w:pStyle w:val="Bodytext20"/>
        <w:shd w:val="clear" w:color="auto" w:fill="auto"/>
        <w:spacing w:before="0" w:line="226" w:lineRule="exact"/>
      </w:pPr>
      <w:r>
        <w:t xml:space="preserve">Mit dem </w:t>
      </w:r>
      <w:r>
        <w:t>Begriff „Faktenmaterial" meine ich in unserem Zusammen</w:t>
      </w:r>
      <w:r>
        <w:softHyphen/>
        <w:t>hang insbesondere die bekannten Daten über die alten und moder</w:t>
      </w:r>
      <w:r>
        <w:softHyphen/>
        <w:t>nen Sprachen der Welt, die real aus Textdokumenten und/oder aktueller Sprachbenützung gewonnen werden können. Wir verzich</w:t>
      </w:r>
      <w:r>
        <w:softHyphen/>
        <w:t>ten in der vorli</w:t>
      </w:r>
      <w:r>
        <w:t>egenden Arbeit bewusst auf jegliche theoretische</w:t>
      </w:r>
    </w:p>
    <w:p w:rsidR="00BB7EDA" w:rsidRDefault="007D72B3">
      <w:pPr>
        <w:pStyle w:val="Bodytext20"/>
        <w:shd w:val="clear" w:color="auto" w:fill="auto"/>
        <w:spacing w:before="0" w:line="226" w:lineRule="exact"/>
      </w:pPr>
      <w:r>
        <w:t>Rekonstruktionsversuche, die immer nur hypothetisch sein können. An ihrem Platz haben sie bestimmt eine angemessene Berechtigung, jedoch sollte man sich dabei immer ihres spekulativen Charakters wohl bewusst</w:t>
      </w:r>
      <w:r>
        <w:t xml:space="preserve"> sein. In der Sprachwissenschaft können hypotheti</w:t>
      </w:r>
      <w:r>
        <w:softHyphen/>
        <w:t>sche Rekonstruktionen leicht in die Irre führen. Dies kann man gut anhand von Fällen illustrieren, wo man versucht hatte, innerhalb einer bestimmten Sprache ältere Wortformen mit Hilfe von Lautge</w:t>
      </w:r>
      <w:r>
        <w:softHyphen/>
        <w:t xml:space="preserve">setzen zu </w:t>
      </w:r>
      <w:r>
        <w:t>rekonstruieren und die sich später, als bis anhin noch nicht bekannte Dokumente ans Licht gekommen waren, eindeutig als falsch erwiesen haben.</w:t>
      </w:r>
      <w:r>
        <w:rPr>
          <w:vertAlign w:val="superscript"/>
        </w:rPr>
        <w:footnoteReference w:id="274"/>
      </w:r>
      <w:r>
        <w:t xml:space="preserve"> Wenn also Rekonstruktionsversuche sich schon innerhalb einer bestimmten Sprache als mit manchen Ungewissheiten b</w:t>
      </w:r>
      <w:r>
        <w:t>ehaftet erweisen, wie viel mehr gilt dies, wenn man aufgrund einer Vielzahl von bekannten Sprachen eine Proto- Sprache, deren Existenz auf reiner Vermutung basiert, rekonstruie</w:t>
      </w:r>
      <w:r>
        <w:softHyphen/>
        <w:t>ren will.</w:t>
      </w:r>
    </w:p>
    <w:p w:rsidR="00BB7EDA" w:rsidRDefault="007D72B3">
      <w:pPr>
        <w:pStyle w:val="Bodytext20"/>
        <w:shd w:val="clear" w:color="auto" w:fill="auto"/>
        <w:spacing w:before="0" w:after="116" w:line="226" w:lineRule="exact"/>
        <w:ind w:firstLine="320"/>
      </w:pPr>
      <w:r>
        <w:t xml:space="preserve">Wenn nachfolgend gewissermaßen ausnahmsweise ab und zu mal am Rande </w:t>
      </w:r>
      <w:r>
        <w:t>auf hypothetische Rekonstruktionen verwiesen wird, so soll dies nur des Interessens halber nebenbei geschehen. Solche Rekonstruktionen haben in der Methodik der vorliegenden Arbeit aus wohl überlegten Gründen keinen Platz.</w:t>
      </w:r>
    </w:p>
    <w:p w:rsidR="00BB7EDA" w:rsidRDefault="007D72B3">
      <w:pPr>
        <w:pStyle w:val="Bodytext20"/>
        <w:numPr>
          <w:ilvl w:val="3"/>
          <w:numId w:val="126"/>
        </w:numPr>
        <w:shd w:val="clear" w:color="auto" w:fill="auto"/>
        <w:tabs>
          <w:tab w:val="left" w:pos="663"/>
        </w:tabs>
        <w:spacing w:before="0" w:after="124"/>
      </w:pPr>
      <w:r>
        <w:rPr>
          <w:rStyle w:val="Bodytext285ptBoldItalic"/>
        </w:rPr>
        <w:t>Hypothetische Sprachrekonstruktio</w:t>
      </w:r>
      <w:r>
        <w:rPr>
          <w:rStyle w:val="Bodytext285ptBoldItalic"/>
        </w:rPr>
        <w:t xml:space="preserve">nen </w:t>
      </w:r>
      <w:r>
        <w:t xml:space="preserve">Es scheint mir wichtig, an dieser Stelle noch einmal auf das bereits früher angeführte Zitat des bedeutenden Indogermanisten A. </w:t>
      </w:r>
      <w:r>
        <w:rPr>
          <w:rStyle w:val="Bodytext28ptSmallCaps"/>
        </w:rPr>
        <w:t xml:space="preserve">Meillet </w:t>
      </w:r>
      <w:r>
        <w:t xml:space="preserve">hinzuweisen, dessen komparative Grammatik, wie gesagt, trotz ihres relativ hohen Alters immer noch ein Referenzwerk </w:t>
      </w:r>
      <w:r>
        <w:t>ist. Er schrieb im Blick auf die Rekonstruktion des Indogermanischen:</w:t>
      </w:r>
    </w:p>
    <w:p w:rsidR="00BB7EDA" w:rsidRDefault="007D72B3">
      <w:pPr>
        <w:pStyle w:val="Bodytext20"/>
        <w:shd w:val="clear" w:color="auto" w:fill="auto"/>
        <w:spacing w:before="0" w:after="337" w:line="226" w:lineRule="exact"/>
        <w:ind w:left="320" w:right="320"/>
      </w:pPr>
      <w:r>
        <w:t xml:space="preserve">„Die vergleichende Grammatik der idg. Sprachen ist in der Lage, in der sich die der romanische! i Sprachen befände, wäre das Latein unbekannt: </w:t>
      </w:r>
      <w:r>
        <w:rPr>
          <w:rStyle w:val="Bodytext2Italic0"/>
        </w:rPr>
        <w:t>die einzigen Tatsachen, mit denen sie zu tu</w:t>
      </w:r>
      <w:r>
        <w:rPr>
          <w:rStyle w:val="Bodytext2Italic0"/>
        </w:rPr>
        <w:t>n hat, sind die Entsprechungen zwischen den überlieferten Spra</w:t>
      </w:r>
      <w:r>
        <w:rPr>
          <w:rStyle w:val="Bodytext2Italic0"/>
        </w:rPr>
        <w:softHyphen/>
        <w:t>chen.</w:t>
      </w:r>
      <w:r>
        <w:t xml:space="preserve"> Die Entsprechungen lassen die Annahme von etwas Gemeinsamem zu, aber dieses Gemeinsame bleibt unbekannt, und man kann sich davon nur auf Grund von Hypothesen ein Bild machen, von unbeweis</w:t>
      </w:r>
      <w:r>
        <w:t>baren Hypothesen: die Entspre</w:t>
      </w:r>
      <w:r>
        <w:softHyphen/>
        <w:t>chung allein ist also Gegenstand der Wissenschaft. Man kann eine verschwundene Sprache durch Vergleichung nicht re</w:t>
      </w:r>
      <w:r>
        <w:softHyphen/>
        <w:t>konstruieren: die Vergleichung der romanischen Sprachen gäbe weder eine genaue, noch eine vollständige Vorstell</w:t>
      </w:r>
      <w:r>
        <w:t>ung vom Vulgärlatein. Es besteht kein Grund zur Annahme, die Vergleichung der idg. Sprache sei lehrreicher; man kann das Indogermanische nicht rekonstruieren."</w:t>
      </w:r>
      <w:r>
        <w:rPr>
          <w:vertAlign w:val="superscript"/>
        </w:rPr>
        <w:t>341</w:t>
      </w:r>
    </w:p>
    <w:p w:rsidR="00BB7EDA" w:rsidRDefault="007D72B3">
      <w:pPr>
        <w:pStyle w:val="Heading50"/>
        <w:keepNext/>
        <w:keepLines/>
        <w:numPr>
          <w:ilvl w:val="2"/>
          <w:numId w:val="126"/>
        </w:numPr>
        <w:shd w:val="clear" w:color="auto" w:fill="auto"/>
        <w:tabs>
          <w:tab w:val="left" w:pos="500"/>
        </w:tabs>
        <w:spacing w:after="219" w:line="180" w:lineRule="exact"/>
      </w:pPr>
      <w:bookmarkStart w:id="63" w:name="bookmark62"/>
      <w:r>
        <w:t>Skizze der Deduktions-Methodologie</w:t>
      </w:r>
      <w:bookmarkEnd w:id="63"/>
    </w:p>
    <w:p w:rsidR="00BB7EDA" w:rsidRDefault="007D72B3">
      <w:pPr>
        <w:pStyle w:val="Bodytext20"/>
        <w:shd w:val="clear" w:color="auto" w:fill="auto"/>
        <w:spacing w:before="0"/>
      </w:pPr>
      <w:r>
        <w:t xml:space="preserve">Unsere methodische Vorgehensweise sieht einfach skizziert </w:t>
      </w:r>
      <w:r>
        <w:t>fol</w:t>
      </w:r>
      <w:r>
        <w:softHyphen/>
        <w:t>gendermaßen aus:</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4"/>
        <w:gridCol w:w="989"/>
        <w:gridCol w:w="1272"/>
        <w:gridCol w:w="970"/>
        <w:gridCol w:w="1061"/>
      </w:tblGrid>
      <w:tr w:rsidR="00BB7EDA">
        <w:tblPrEx>
          <w:tblCellMar>
            <w:top w:w="0" w:type="dxa"/>
            <w:bottom w:w="0" w:type="dxa"/>
          </w:tblCellMar>
        </w:tblPrEx>
        <w:trPr>
          <w:trHeight w:hRule="exact" w:val="355"/>
          <w:jc w:val="center"/>
        </w:trPr>
        <w:tc>
          <w:tcPr>
            <w:tcW w:w="1963" w:type="dxa"/>
            <w:gridSpan w:val="2"/>
            <w:tcBorders>
              <w:top w:val="single" w:sz="4" w:space="0" w:color="auto"/>
              <w:left w:val="single" w:sz="4" w:space="0" w:color="auto"/>
            </w:tcBorders>
            <w:shd w:val="clear" w:color="auto" w:fill="FFFFFF"/>
            <w:vAlign w:val="bottom"/>
          </w:tcPr>
          <w:p w:rsidR="00BB7EDA" w:rsidRDefault="007D72B3">
            <w:pPr>
              <w:pStyle w:val="Bodytext20"/>
              <w:framePr w:w="5266" w:wrap="notBeside" w:vAnchor="text" w:hAnchor="text" w:xAlign="center" w:y="1"/>
              <w:shd w:val="clear" w:color="auto" w:fill="auto"/>
              <w:spacing w:before="0" w:line="150" w:lineRule="exact"/>
              <w:jc w:val="center"/>
            </w:pPr>
            <w:r>
              <w:rPr>
                <w:rStyle w:val="Bodytext2Arial75pt"/>
              </w:rPr>
              <w:t>Hypothese</w:t>
            </w:r>
          </w:p>
        </w:tc>
        <w:tc>
          <w:tcPr>
            <w:tcW w:w="1272" w:type="dxa"/>
            <w:shd w:val="clear" w:color="auto" w:fill="FFFFFF"/>
            <w:vAlign w:val="bottom"/>
          </w:tcPr>
          <w:p w:rsidR="00BB7EDA" w:rsidRDefault="007D72B3">
            <w:pPr>
              <w:pStyle w:val="Bodytext20"/>
              <w:framePr w:w="5266" w:wrap="notBeside" w:vAnchor="text" w:hAnchor="text" w:xAlign="center" w:y="1"/>
              <w:shd w:val="clear" w:color="auto" w:fill="auto"/>
              <w:spacing w:before="0" w:line="120" w:lineRule="exact"/>
              <w:jc w:val="left"/>
            </w:pPr>
            <w:r>
              <w:rPr>
                <w:rStyle w:val="Bodytext2Arial6pt"/>
              </w:rPr>
              <w:t>| DEDUKTION</w:t>
            </w:r>
          </w:p>
        </w:tc>
        <w:tc>
          <w:tcPr>
            <w:tcW w:w="2031" w:type="dxa"/>
            <w:gridSpan w:val="2"/>
            <w:tcBorders>
              <w:top w:val="single" w:sz="4" w:space="0" w:color="auto"/>
              <w:left w:val="single" w:sz="4" w:space="0" w:color="auto"/>
            </w:tcBorders>
            <w:shd w:val="clear" w:color="auto" w:fill="FFFFFF"/>
            <w:vAlign w:val="bottom"/>
          </w:tcPr>
          <w:p w:rsidR="00BB7EDA" w:rsidRDefault="007D72B3">
            <w:pPr>
              <w:pStyle w:val="Bodytext20"/>
              <w:framePr w:w="5266" w:wrap="notBeside" w:vAnchor="text" w:hAnchor="text" w:xAlign="center" w:y="1"/>
              <w:shd w:val="clear" w:color="auto" w:fill="auto"/>
              <w:spacing w:before="0" w:line="150" w:lineRule="exact"/>
              <w:jc w:val="right"/>
            </w:pPr>
            <w:r>
              <w:rPr>
                <w:rStyle w:val="Bodytext2Arial6pt"/>
              </w:rPr>
              <w:t xml:space="preserve">durch Ableitung </w:t>
            </w:r>
            <w:r>
              <w:rPr>
                <w:rStyle w:val="Bodytext2Arial75pt"/>
              </w:rPr>
              <w:t>j</w:t>
            </w:r>
          </w:p>
        </w:tc>
      </w:tr>
      <w:tr w:rsidR="00BB7EDA">
        <w:tblPrEx>
          <w:tblCellMar>
            <w:top w:w="0" w:type="dxa"/>
            <w:bottom w:w="0" w:type="dxa"/>
          </w:tblCellMar>
        </w:tblPrEx>
        <w:trPr>
          <w:trHeight w:hRule="exact" w:val="365"/>
          <w:jc w:val="center"/>
        </w:trPr>
        <w:tc>
          <w:tcPr>
            <w:tcW w:w="1963" w:type="dxa"/>
            <w:gridSpan w:val="2"/>
            <w:tcBorders>
              <w:left w:val="single" w:sz="4" w:space="0" w:color="auto"/>
            </w:tcBorders>
            <w:shd w:val="clear" w:color="auto" w:fill="FFFFFF"/>
          </w:tcPr>
          <w:p w:rsidR="00BB7EDA" w:rsidRDefault="007D72B3">
            <w:pPr>
              <w:pStyle w:val="Bodytext20"/>
              <w:framePr w:w="5266" w:wrap="notBeside" w:vAnchor="text" w:hAnchor="text" w:xAlign="center" w:y="1"/>
              <w:shd w:val="clear" w:color="auto" w:fill="auto"/>
              <w:spacing w:before="0" w:line="150" w:lineRule="exact"/>
              <w:jc w:val="center"/>
            </w:pPr>
            <w:r>
              <w:rPr>
                <w:rStyle w:val="Bodytext2Arial75pt"/>
              </w:rPr>
              <w:t>Theorie</w:t>
            </w:r>
          </w:p>
        </w:tc>
        <w:tc>
          <w:tcPr>
            <w:tcW w:w="1272" w:type="dxa"/>
            <w:tcBorders>
              <w:top w:val="single" w:sz="4" w:space="0" w:color="auto"/>
            </w:tcBorders>
            <w:shd w:val="clear" w:color="auto" w:fill="FFFFFF"/>
          </w:tcPr>
          <w:p w:rsidR="00BB7EDA" w:rsidRDefault="00BB7EDA">
            <w:pPr>
              <w:framePr w:w="5266" w:wrap="notBeside" w:vAnchor="text" w:hAnchor="text" w:xAlign="center" w:y="1"/>
              <w:rPr>
                <w:sz w:val="10"/>
                <w:szCs w:val="10"/>
              </w:rPr>
            </w:pPr>
          </w:p>
        </w:tc>
        <w:tc>
          <w:tcPr>
            <w:tcW w:w="2031" w:type="dxa"/>
            <w:gridSpan w:val="2"/>
            <w:tcBorders>
              <w:left w:val="single" w:sz="4" w:space="0" w:color="auto"/>
            </w:tcBorders>
            <w:shd w:val="clear" w:color="auto" w:fill="FFFFFF"/>
          </w:tcPr>
          <w:p w:rsidR="00BB7EDA" w:rsidRDefault="007D72B3">
            <w:pPr>
              <w:pStyle w:val="Bodytext20"/>
              <w:framePr w:w="5266" w:wrap="notBeside" w:vAnchor="text" w:hAnchor="text" w:xAlign="center" w:y="1"/>
              <w:shd w:val="clear" w:color="auto" w:fill="auto"/>
              <w:spacing w:before="0" w:line="120" w:lineRule="exact"/>
              <w:jc w:val="right"/>
            </w:pPr>
            <w:r>
              <w:rPr>
                <w:rStyle w:val="Bodytext2Arial6pt"/>
              </w:rPr>
              <w:t>vorausgesagter Sachverhalt |</w:t>
            </w:r>
          </w:p>
        </w:tc>
      </w:tr>
      <w:tr w:rsidR="00BB7EDA">
        <w:tblPrEx>
          <w:tblCellMar>
            <w:top w:w="0" w:type="dxa"/>
            <w:bottom w:w="0" w:type="dxa"/>
          </w:tblCellMar>
        </w:tblPrEx>
        <w:trPr>
          <w:trHeight w:hRule="exact" w:val="394"/>
          <w:jc w:val="center"/>
        </w:trPr>
        <w:tc>
          <w:tcPr>
            <w:tcW w:w="974" w:type="dxa"/>
            <w:tcBorders>
              <w:top w:val="single" w:sz="4" w:space="0" w:color="auto"/>
            </w:tcBorders>
            <w:shd w:val="clear" w:color="auto" w:fill="FFFFFF"/>
            <w:vAlign w:val="center"/>
          </w:tcPr>
          <w:p w:rsidR="00BB7EDA" w:rsidRDefault="007D72B3">
            <w:pPr>
              <w:pStyle w:val="Bodytext20"/>
              <w:framePr w:w="5266" w:wrap="notBeside" w:vAnchor="text" w:hAnchor="text" w:xAlign="center" w:y="1"/>
              <w:shd w:val="clear" w:color="auto" w:fill="auto"/>
              <w:spacing w:before="0" w:line="150" w:lineRule="exact"/>
              <w:jc w:val="right"/>
            </w:pPr>
            <w:r>
              <w:rPr>
                <w:rStyle w:val="Bodytext2Arial75pt"/>
              </w:rPr>
              <w:t>i</w:t>
            </w:r>
          </w:p>
        </w:tc>
        <w:tc>
          <w:tcPr>
            <w:tcW w:w="989" w:type="dxa"/>
            <w:vMerge w:val="restart"/>
            <w:tcBorders>
              <w:top w:val="single" w:sz="4" w:space="0" w:color="auto"/>
              <w:left w:val="single" w:sz="4" w:space="0" w:color="auto"/>
            </w:tcBorders>
            <w:shd w:val="clear" w:color="auto" w:fill="FFFFFF"/>
          </w:tcPr>
          <w:p w:rsidR="00BB7EDA" w:rsidRDefault="007D72B3">
            <w:pPr>
              <w:pStyle w:val="Bodytext20"/>
              <w:framePr w:w="5266" w:wrap="notBeside" w:vAnchor="text" w:hAnchor="text" w:xAlign="center" w:y="1"/>
              <w:shd w:val="clear" w:color="auto" w:fill="auto"/>
              <w:spacing w:before="0" w:after="60" w:line="80" w:lineRule="exact"/>
              <w:jc w:val="left"/>
            </w:pPr>
            <w:r>
              <w:rPr>
                <w:rStyle w:val="Bodytext24ptBoldItalic"/>
              </w:rPr>
              <w:t>i</w:t>
            </w:r>
          </w:p>
          <w:p w:rsidR="00BB7EDA" w:rsidRDefault="007D72B3">
            <w:pPr>
              <w:pStyle w:val="Bodytext20"/>
              <w:framePr w:w="5266" w:wrap="notBeside" w:vAnchor="text" w:hAnchor="text" w:xAlign="center" w:y="1"/>
              <w:shd w:val="clear" w:color="auto" w:fill="auto"/>
              <w:spacing w:before="60" w:line="120" w:lineRule="exact"/>
              <w:jc w:val="left"/>
            </w:pPr>
            <w:r>
              <w:rPr>
                <w:rStyle w:val="Bodytext2Arial6pt"/>
              </w:rPr>
              <w:t>INDUKTION</w:t>
            </w:r>
          </w:p>
        </w:tc>
        <w:tc>
          <w:tcPr>
            <w:tcW w:w="1272" w:type="dxa"/>
            <w:vMerge w:val="restart"/>
            <w:shd w:val="clear" w:color="auto" w:fill="FFFFFF"/>
          </w:tcPr>
          <w:p w:rsidR="00BB7EDA" w:rsidRDefault="00BB7EDA">
            <w:pPr>
              <w:framePr w:w="5266" w:wrap="notBeside" w:vAnchor="text" w:hAnchor="text" w:xAlign="center" w:y="1"/>
              <w:rPr>
                <w:sz w:val="10"/>
                <w:szCs w:val="10"/>
              </w:rPr>
            </w:pPr>
          </w:p>
        </w:tc>
        <w:tc>
          <w:tcPr>
            <w:tcW w:w="970" w:type="dxa"/>
            <w:tcBorders>
              <w:top w:val="single" w:sz="4" w:space="0" w:color="auto"/>
            </w:tcBorders>
            <w:shd w:val="clear" w:color="auto" w:fill="FFFFFF"/>
          </w:tcPr>
          <w:p w:rsidR="00BB7EDA" w:rsidRDefault="00BB7EDA">
            <w:pPr>
              <w:framePr w:w="5266" w:wrap="notBeside" w:vAnchor="text" w:hAnchor="text" w:xAlign="center" w:y="1"/>
              <w:rPr>
                <w:sz w:val="10"/>
                <w:szCs w:val="10"/>
              </w:rPr>
            </w:pPr>
          </w:p>
        </w:tc>
        <w:tc>
          <w:tcPr>
            <w:tcW w:w="1061" w:type="dxa"/>
            <w:vMerge w:val="restart"/>
            <w:tcBorders>
              <w:top w:val="single" w:sz="4" w:space="0" w:color="auto"/>
              <w:left w:val="single" w:sz="4" w:space="0" w:color="auto"/>
            </w:tcBorders>
            <w:shd w:val="clear" w:color="auto" w:fill="FFFFFF"/>
            <w:vAlign w:val="bottom"/>
          </w:tcPr>
          <w:p w:rsidR="00BB7EDA" w:rsidRDefault="007D72B3">
            <w:pPr>
              <w:pStyle w:val="Bodytext20"/>
              <w:framePr w:w="5266" w:wrap="notBeside" w:vAnchor="text" w:hAnchor="text" w:xAlign="center" w:y="1"/>
              <w:shd w:val="clear" w:color="auto" w:fill="auto"/>
              <w:spacing w:before="0" w:after="180" w:line="120" w:lineRule="exact"/>
              <w:jc w:val="left"/>
            </w:pPr>
            <w:r>
              <w:rPr>
                <w:rStyle w:val="Bodytext2Arial6pt"/>
              </w:rPr>
              <w:t>Prüfung</w:t>
            </w:r>
          </w:p>
          <w:p w:rsidR="00BB7EDA" w:rsidRDefault="007D72B3">
            <w:pPr>
              <w:pStyle w:val="Bodytext20"/>
              <w:framePr w:w="5266" w:wrap="notBeside" w:vAnchor="text" w:hAnchor="text" w:xAlign="center" w:y="1"/>
              <w:shd w:val="clear" w:color="auto" w:fill="auto"/>
              <w:spacing w:before="180" w:line="80" w:lineRule="exact"/>
              <w:jc w:val="left"/>
            </w:pPr>
            <w:r>
              <w:rPr>
                <w:rStyle w:val="Bodytext24ptBoldItalic"/>
              </w:rPr>
              <w:t>r</w:t>
            </w:r>
          </w:p>
        </w:tc>
      </w:tr>
      <w:tr w:rsidR="00BB7EDA">
        <w:tblPrEx>
          <w:tblCellMar>
            <w:top w:w="0" w:type="dxa"/>
            <w:bottom w:w="0" w:type="dxa"/>
          </w:tblCellMar>
        </w:tblPrEx>
        <w:trPr>
          <w:trHeight w:hRule="exact" w:val="413"/>
          <w:jc w:val="center"/>
        </w:trPr>
        <w:tc>
          <w:tcPr>
            <w:tcW w:w="974" w:type="dxa"/>
            <w:tcBorders>
              <w:top w:val="single" w:sz="4" w:space="0" w:color="auto"/>
            </w:tcBorders>
            <w:shd w:val="clear" w:color="auto" w:fill="FFFFFF"/>
          </w:tcPr>
          <w:p w:rsidR="00BB7EDA" w:rsidRDefault="00BB7EDA">
            <w:pPr>
              <w:framePr w:w="5266" w:wrap="notBeside" w:vAnchor="text" w:hAnchor="text" w:xAlign="center" w:y="1"/>
              <w:rPr>
                <w:sz w:val="10"/>
                <w:szCs w:val="10"/>
              </w:rPr>
            </w:pPr>
          </w:p>
        </w:tc>
        <w:tc>
          <w:tcPr>
            <w:tcW w:w="989" w:type="dxa"/>
            <w:vMerge/>
            <w:tcBorders>
              <w:left w:val="single" w:sz="4" w:space="0" w:color="auto"/>
            </w:tcBorders>
            <w:shd w:val="clear" w:color="auto" w:fill="FFFFFF"/>
          </w:tcPr>
          <w:p w:rsidR="00BB7EDA" w:rsidRDefault="00BB7EDA">
            <w:pPr>
              <w:framePr w:w="5266" w:wrap="notBeside" w:vAnchor="text" w:hAnchor="text" w:xAlign="center" w:y="1"/>
            </w:pPr>
          </w:p>
        </w:tc>
        <w:tc>
          <w:tcPr>
            <w:tcW w:w="1272" w:type="dxa"/>
            <w:vMerge/>
            <w:shd w:val="clear" w:color="auto" w:fill="FFFFFF"/>
          </w:tcPr>
          <w:p w:rsidR="00BB7EDA" w:rsidRDefault="00BB7EDA">
            <w:pPr>
              <w:framePr w:w="5266" w:wrap="notBeside" w:vAnchor="text" w:hAnchor="text" w:xAlign="center" w:y="1"/>
            </w:pPr>
          </w:p>
        </w:tc>
        <w:tc>
          <w:tcPr>
            <w:tcW w:w="970" w:type="dxa"/>
            <w:shd w:val="clear" w:color="auto" w:fill="FFFFFF"/>
            <w:vAlign w:val="center"/>
          </w:tcPr>
          <w:p w:rsidR="00BB7EDA" w:rsidRDefault="007D72B3">
            <w:pPr>
              <w:pStyle w:val="Bodytext20"/>
              <w:framePr w:w="5266" w:wrap="notBeside" w:vAnchor="text" w:hAnchor="text" w:xAlign="center" w:y="1"/>
              <w:shd w:val="clear" w:color="auto" w:fill="auto"/>
              <w:spacing w:before="0" w:line="120" w:lineRule="exact"/>
              <w:jc w:val="right"/>
            </w:pPr>
            <w:r>
              <w:rPr>
                <w:rStyle w:val="Bodytext2Arial6pt"/>
              </w:rPr>
              <w:t>'</w:t>
            </w:r>
          </w:p>
        </w:tc>
        <w:tc>
          <w:tcPr>
            <w:tcW w:w="1061" w:type="dxa"/>
            <w:vMerge/>
            <w:tcBorders>
              <w:left w:val="single" w:sz="4" w:space="0" w:color="auto"/>
            </w:tcBorders>
            <w:shd w:val="clear" w:color="auto" w:fill="FFFFFF"/>
            <w:vAlign w:val="bottom"/>
          </w:tcPr>
          <w:p w:rsidR="00BB7EDA" w:rsidRDefault="00BB7EDA">
            <w:pPr>
              <w:framePr w:w="5266" w:wrap="notBeside" w:vAnchor="text" w:hAnchor="text" w:xAlign="center" w:y="1"/>
            </w:pPr>
          </w:p>
        </w:tc>
      </w:tr>
      <w:tr w:rsidR="00BB7EDA">
        <w:tblPrEx>
          <w:tblCellMar>
            <w:top w:w="0" w:type="dxa"/>
            <w:bottom w:w="0" w:type="dxa"/>
          </w:tblCellMar>
        </w:tblPrEx>
        <w:trPr>
          <w:trHeight w:hRule="exact" w:val="744"/>
          <w:jc w:val="center"/>
        </w:trPr>
        <w:tc>
          <w:tcPr>
            <w:tcW w:w="1963" w:type="dxa"/>
            <w:gridSpan w:val="2"/>
            <w:tcBorders>
              <w:top w:val="single" w:sz="4" w:space="0" w:color="auto"/>
              <w:left w:val="single" w:sz="4" w:space="0" w:color="auto"/>
              <w:bottom w:val="single" w:sz="4" w:space="0" w:color="auto"/>
            </w:tcBorders>
            <w:shd w:val="clear" w:color="auto" w:fill="FFFFFF"/>
            <w:vAlign w:val="center"/>
          </w:tcPr>
          <w:p w:rsidR="00BB7EDA" w:rsidRDefault="007D72B3">
            <w:pPr>
              <w:pStyle w:val="Bodytext20"/>
              <w:framePr w:w="5266" w:wrap="notBeside" w:vAnchor="text" w:hAnchor="text" w:xAlign="center" w:y="1"/>
              <w:shd w:val="clear" w:color="auto" w:fill="auto"/>
              <w:spacing w:before="0" w:line="149" w:lineRule="exact"/>
              <w:ind w:firstLine="580"/>
              <w:jc w:val="left"/>
            </w:pPr>
            <w:r>
              <w:rPr>
                <w:rStyle w:val="Bodytext2Arial6pt"/>
              </w:rPr>
              <w:t>OBJEKTIVE DATEN Ergebnisse von Beobachtungen und Experimenten</w:t>
            </w:r>
          </w:p>
        </w:tc>
        <w:tc>
          <w:tcPr>
            <w:tcW w:w="1272" w:type="dxa"/>
            <w:shd w:val="clear" w:color="auto" w:fill="FFFFFF"/>
          </w:tcPr>
          <w:p w:rsidR="00BB7EDA" w:rsidRDefault="00BB7EDA">
            <w:pPr>
              <w:framePr w:w="5266" w:wrap="notBeside" w:vAnchor="text" w:hAnchor="text" w:xAlign="center" w:y="1"/>
              <w:rPr>
                <w:sz w:val="10"/>
                <w:szCs w:val="10"/>
              </w:rPr>
            </w:pPr>
          </w:p>
        </w:tc>
        <w:tc>
          <w:tcPr>
            <w:tcW w:w="2031" w:type="dxa"/>
            <w:gridSpan w:val="2"/>
            <w:tcBorders>
              <w:top w:val="single" w:sz="4" w:space="0" w:color="auto"/>
              <w:left w:val="single" w:sz="4" w:space="0" w:color="auto"/>
              <w:bottom w:val="single" w:sz="4" w:space="0" w:color="auto"/>
            </w:tcBorders>
            <w:shd w:val="clear" w:color="auto" w:fill="FFFFFF"/>
          </w:tcPr>
          <w:p w:rsidR="00BB7EDA" w:rsidRDefault="007D72B3">
            <w:pPr>
              <w:pStyle w:val="Bodytext20"/>
              <w:framePr w:w="5266" w:wrap="notBeside" w:vAnchor="text" w:hAnchor="text" w:xAlign="center" w:y="1"/>
              <w:shd w:val="clear" w:color="auto" w:fill="auto"/>
              <w:spacing w:before="0" w:line="120" w:lineRule="exact"/>
              <w:ind w:left="300"/>
              <w:jc w:val="left"/>
            </w:pPr>
            <w:r>
              <w:rPr>
                <w:rStyle w:val="Bodytext2Arial6pt"/>
              </w:rPr>
              <w:t>Beobachtung. Experiment j</w:t>
            </w:r>
          </w:p>
        </w:tc>
      </w:tr>
    </w:tbl>
    <w:p w:rsidR="00BB7EDA" w:rsidRDefault="00BB7EDA">
      <w:pPr>
        <w:framePr w:w="5266" w:wrap="notBeside" w:vAnchor="text" w:hAnchor="text" w:xAlign="center" w:y="1"/>
        <w:rPr>
          <w:sz w:val="2"/>
          <w:szCs w:val="2"/>
        </w:rPr>
      </w:pPr>
    </w:p>
    <w:p w:rsidR="00BB7EDA" w:rsidRDefault="00BB7EDA">
      <w:pPr>
        <w:rPr>
          <w:sz w:val="2"/>
          <w:szCs w:val="2"/>
        </w:rPr>
      </w:pPr>
    </w:p>
    <w:p w:rsidR="00BB7EDA" w:rsidRDefault="007D72B3">
      <w:pPr>
        <w:pStyle w:val="Heading40"/>
        <w:keepNext/>
        <w:keepLines/>
        <w:numPr>
          <w:ilvl w:val="1"/>
          <w:numId w:val="126"/>
        </w:numPr>
        <w:shd w:val="clear" w:color="auto" w:fill="auto"/>
        <w:tabs>
          <w:tab w:val="left" w:pos="394"/>
        </w:tabs>
        <w:spacing w:before="405" w:after="0" w:line="442" w:lineRule="exact"/>
      </w:pPr>
      <w:bookmarkStart w:id="64" w:name="bookmark63"/>
      <w:r>
        <w:t xml:space="preserve">Deduktionen im Blick auf die </w:t>
      </w:r>
      <w:r>
        <w:t>ältesten Sprachen</w:t>
      </w:r>
      <w:bookmarkEnd w:id="64"/>
    </w:p>
    <w:p w:rsidR="00BB7EDA" w:rsidRDefault="007D72B3">
      <w:pPr>
        <w:pStyle w:val="Heading50"/>
        <w:keepNext/>
        <w:keepLines/>
        <w:numPr>
          <w:ilvl w:val="2"/>
          <w:numId w:val="126"/>
        </w:numPr>
        <w:shd w:val="clear" w:color="auto" w:fill="auto"/>
        <w:tabs>
          <w:tab w:val="left" w:pos="495"/>
        </w:tabs>
        <w:spacing w:line="442" w:lineRule="exact"/>
      </w:pPr>
      <w:bookmarkStart w:id="65" w:name="bookmark64"/>
      <w:r>
        <w:t>Evolution: Primitiver Anfang</w:t>
      </w:r>
      <w:bookmarkEnd w:id="65"/>
    </w:p>
    <w:p w:rsidR="00BB7EDA" w:rsidRDefault="007D72B3">
      <w:pPr>
        <w:pStyle w:val="Bodytext20"/>
        <w:shd w:val="clear" w:color="auto" w:fill="auto"/>
        <w:spacing w:before="0" w:after="335" w:line="226" w:lineRule="exact"/>
      </w:pPr>
      <w:r>
        <w:t xml:space="preserve">Die Evolutionslehre geht von der Annahme aus, dass sich im Bereich der Sprachen Komplexes aus Einfacherem entwickelt hat, und zwar beginnend in der Altsteinzeit, weiter verlaufend über die Mittel-, die Jung- </w:t>
      </w:r>
      <w:r>
        <w:t>und die Kupfersteinzeit,</w:t>
      </w:r>
      <w:r>
        <w:rPr>
          <w:vertAlign w:val="superscript"/>
        </w:rPr>
        <w:t>342</w:t>
      </w:r>
      <w:r>
        <w:t xml:space="preserve"> sodann über die Bronzezeit etc. bis heute.</w:t>
      </w:r>
    </w:p>
    <w:p w:rsidR="00BB7EDA" w:rsidRDefault="007D72B3">
      <w:pPr>
        <w:pStyle w:val="Bodytext60"/>
        <w:numPr>
          <w:ilvl w:val="0"/>
          <w:numId w:val="127"/>
        </w:numPr>
        <w:shd w:val="clear" w:color="auto" w:fill="auto"/>
        <w:tabs>
          <w:tab w:val="left" w:pos="351"/>
        </w:tabs>
        <w:spacing w:line="182" w:lineRule="exact"/>
        <w:ind w:left="320" w:hanging="320"/>
      </w:pPr>
      <w:r>
        <w:rPr>
          <w:rStyle w:val="Bodytext67ptSmallCaps"/>
        </w:rPr>
        <w:t xml:space="preserve">Meillet: </w:t>
      </w:r>
      <w:r>
        <w:t>Einführung in die vergleichende Grammatik der indogermanischen Sprachen, S. 17.</w:t>
      </w:r>
    </w:p>
    <w:p w:rsidR="00BB7EDA" w:rsidRDefault="007D72B3">
      <w:pPr>
        <w:pStyle w:val="Bodytext150"/>
        <w:numPr>
          <w:ilvl w:val="0"/>
          <w:numId w:val="127"/>
        </w:numPr>
        <w:shd w:val="clear" w:color="auto" w:fill="auto"/>
        <w:tabs>
          <w:tab w:val="left" w:pos="351"/>
        </w:tabs>
        <w:spacing w:line="182" w:lineRule="exact"/>
      </w:pPr>
      <w:r>
        <w:t>_ Chalkolithikum.</w:t>
      </w:r>
    </w:p>
    <w:p w:rsidR="00BB7EDA" w:rsidRDefault="007D72B3">
      <w:pPr>
        <w:pStyle w:val="Bodytext20"/>
        <w:shd w:val="clear" w:color="auto" w:fill="auto"/>
        <w:spacing w:before="0" w:line="226" w:lineRule="exact"/>
        <w:ind w:firstLine="320"/>
      </w:pPr>
      <w:r>
        <w:t>Die in diesem Konzept zeitlich eigentlich unglaublich lang ange</w:t>
      </w:r>
      <w:r>
        <w:softHyphen/>
        <w:t>setzte Kulture</w:t>
      </w:r>
      <w:r>
        <w:t>ntwicklung in der Steinzeit wird in äußerst flachem Verlauf gesehen, bis es im Übergang zur Bronzezeit (je nach Ort auf der Welt um etwa 3000-1800 v. Chr.) zu einer Kulturexplosion gekommen sei.</w:t>
      </w:r>
    </w:p>
    <w:p w:rsidR="00BB7EDA" w:rsidRDefault="007D72B3">
      <w:pPr>
        <w:pStyle w:val="Bodytext80"/>
        <w:shd w:val="clear" w:color="auto" w:fill="auto"/>
        <w:ind w:firstLine="320"/>
      </w:pPr>
      <w:r>
        <w:rPr>
          <w:rStyle w:val="Bodytext8NotItalic"/>
        </w:rPr>
        <w:t>Aus all dem folgt im Blick auf die Entstehung und Entwicklung</w:t>
      </w:r>
      <w:r>
        <w:rPr>
          <w:rStyle w:val="Bodytext8NotItalic"/>
        </w:rPr>
        <w:t xml:space="preserve"> der Sprachen: Je weiter wir in die Vergangenheit zurückgehen, desto primitiver müssten die Sprachen im Prinzip gewesen sein, und zwar auf allen Ebenen der Langue. </w:t>
      </w:r>
      <w:r>
        <w:t xml:space="preserve">Aus der Sicht der Evolutionslehre sollte man daher logischerweise erwarten, dass die </w:t>
      </w:r>
      <w:r>
        <w:t>ältesten Sprachen der Welt im Vergleich zu den modernen Sprachen der hoch zivilisierten Staaten abend</w:t>
      </w:r>
      <w:r>
        <w:softHyphen/>
        <w:t>ländischer Kultur bedeutend primitiver waren.</w:t>
      </w:r>
    </w:p>
    <w:p w:rsidR="00BB7EDA" w:rsidRDefault="007D72B3">
      <w:pPr>
        <w:pStyle w:val="Bodytext20"/>
        <w:shd w:val="clear" w:color="auto" w:fill="auto"/>
        <w:spacing w:before="0" w:after="165" w:line="226" w:lineRule="exact"/>
        <w:ind w:firstLine="320"/>
      </w:pPr>
      <w:r>
        <w:t>Die Folgerichtigkeit dieser Deduktion soll anhand einiger sehr wertvoller Zitate aus der Frühzeit des Sprach</w:t>
      </w:r>
      <w:r>
        <w:t>evolutionismus belegt und bestätigt werden. Die Evolutions-Vorstellungen im Zusam</w:t>
      </w:r>
      <w:r>
        <w:softHyphen/>
        <w:t xml:space="preserve">menhang mit den Sprachen kamen, wie wir gesehen haben, bereits im </w:t>
      </w:r>
      <w:r>
        <w:rPr>
          <w:rStyle w:val="Bodytext28ptBold"/>
        </w:rPr>
        <w:t xml:space="preserve">18. </w:t>
      </w:r>
      <w:r>
        <w:t xml:space="preserve">Jahrhundert auf, also schon viele Jahrzehnte vor </w:t>
      </w:r>
      <w:r>
        <w:rPr>
          <w:rStyle w:val="Bodytext28ptBoldSmallCaps"/>
        </w:rPr>
        <w:t xml:space="preserve">Darwins </w:t>
      </w:r>
      <w:r>
        <w:t>biologischer Entwicklungshypothese. Damals ware</w:t>
      </w:r>
      <w:r>
        <w:t xml:space="preserve">n die ältesten heute bekannten Sprachen wie das Sumerische, das Ägyptische und das Akkadische noch überhaupt nicht bekannt. Leute wie z.B. </w:t>
      </w:r>
      <w:r>
        <w:rPr>
          <w:rStyle w:val="Bodytext28ptBoldSmallCaps"/>
        </w:rPr>
        <w:t>Her</w:t>
      </w:r>
      <w:r>
        <w:rPr>
          <w:rStyle w:val="Bodytext28ptBoldSmallCaps"/>
        </w:rPr>
        <w:softHyphen/>
        <w:t xml:space="preserve">der, Humboldt, </w:t>
      </w:r>
      <w:r>
        <w:t xml:space="preserve">die Gebrüder </w:t>
      </w:r>
      <w:r>
        <w:rPr>
          <w:rStyle w:val="Bodytext28ptBoldSmallCaps"/>
        </w:rPr>
        <w:t xml:space="preserve">Schlegel </w:t>
      </w:r>
      <w:r>
        <w:t xml:space="preserve">oder </w:t>
      </w:r>
      <w:r>
        <w:rPr>
          <w:rStyle w:val="Bodytext28ptBoldSmallCaps"/>
        </w:rPr>
        <w:t xml:space="preserve">Adelung </w:t>
      </w:r>
      <w:r>
        <w:t>gingen davon aus, dass am Anfang der Sprachentwicklung ein prim</w:t>
      </w:r>
      <w:r>
        <w:t>itiver Typus bestanden hatte, der durch Einsilbigkeit und Formlosigkeit gekenn</w:t>
      </w:r>
      <w:r>
        <w:softHyphen/>
        <w:t>zeichnet war.</w:t>
      </w:r>
      <w:r>
        <w:rPr>
          <w:vertAlign w:val="superscript"/>
        </w:rPr>
        <w:footnoteReference w:id="275"/>
      </w:r>
    </w:p>
    <w:p w:rsidR="00BB7EDA" w:rsidRDefault="007D72B3">
      <w:pPr>
        <w:pStyle w:val="Bodytext100"/>
        <w:numPr>
          <w:ilvl w:val="0"/>
          <w:numId w:val="128"/>
        </w:numPr>
        <w:shd w:val="clear" w:color="auto" w:fill="auto"/>
        <w:tabs>
          <w:tab w:val="left" w:pos="654"/>
        </w:tabs>
        <w:spacing w:before="0" w:after="16" w:line="170" w:lineRule="exact"/>
        <w:ind w:firstLine="0"/>
      </w:pPr>
      <w:r>
        <w:t xml:space="preserve">Johann Christian </w:t>
      </w:r>
      <w:r>
        <w:rPr>
          <w:rStyle w:val="Bodytext10NotBoldSmallCaps"/>
          <w:i/>
          <w:iCs/>
        </w:rPr>
        <w:t>Adelung</w:t>
      </w:r>
    </w:p>
    <w:p w:rsidR="00BB7EDA" w:rsidRDefault="007D72B3">
      <w:pPr>
        <w:pStyle w:val="Bodytext20"/>
        <w:shd w:val="clear" w:color="auto" w:fill="auto"/>
        <w:spacing w:before="0" w:after="163" w:line="180" w:lineRule="exact"/>
      </w:pPr>
      <w:r>
        <w:rPr>
          <w:rStyle w:val="Bodytext28ptBoldSmallCaps"/>
        </w:rPr>
        <w:t xml:space="preserve">Adelung </w:t>
      </w:r>
      <w:r>
        <w:t>drückte sich um 1806 im Blick auf eine Ursprache so aus:</w:t>
      </w:r>
    </w:p>
    <w:p w:rsidR="00BB7EDA" w:rsidRDefault="007D72B3">
      <w:pPr>
        <w:pStyle w:val="Bodytext20"/>
        <w:shd w:val="clear" w:color="auto" w:fill="auto"/>
        <w:spacing w:before="0" w:after="120" w:line="226" w:lineRule="exact"/>
        <w:ind w:left="320" w:right="320"/>
      </w:pPr>
      <w:r>
        <w:t>„Bey der rohen Einsilbigkeit lagen noch alle Begriffe unge</w:t>
      </w:r>
      <w:r>
        <w:softHyphen/>
        <w:t xml:space="preserve">schieden </w:t>
      </w:r>
      <w:r>
        <w:t>unter einander ... die Redetheilc waren noch nicht abgesondert; jeder Wurzellaut war Substantiv, Verbum, Adjectiv, oder was man sonst wollte ,.."</w:t>
      </w:r>
      <w:r>
        <w:rPr>
          <w:vertAlign w:val="superscript"/>
        </w:rPr>
        <w:footnoteReference w:id="276"/>
      </w:r>
    </w:p>
    <w:p w:rsidR="00BB7EDA" w:rsidRDefault="007D72B3">
      <w:pPr>
        <w:pStyle w:val="Bodytext160"/>
        <w:numPr>
          <w:ilvl w:val="0"/>
          <w:numId w:val="128"/>
        </w:numPr>
        <w:shd w:val="clear" w:color="auto" w:fill="auto"/>
        <w:tabs>
          <w:tab w:val="left" w:pos="658"/>
        </w:tabs>
        <w:spacing w:before="0"/>
      </w:pPr>
      <w:r>
        <w:rPr>
          <w:rStyle w:val="Bodytext16Bold"/>
          <w:i/>
          <w:iCs/>
        </w:rPr>
        <w:t xml:space="preserve">August </w:t>
      </w:r>
      <w:r>
        <w:rPr>
          <w:rStyle w:val="Bodytext16SmallCaps"/>
          <w:i/>
          <w:iCs/>
        </w:rPr>
        <w:t>Schleicher</w:t>
      </w:r>
    </w:p>
    <w:p w:rsidR="00BB7EDA" w:rsidRDefault="007D72B3">
      <w:pPr>
        <w:pStyle w:val="Bodytext20"/>
        <w:shd w:val="clear" w:color="auto" w:fill="auto"/>
        <w:spacing w:before="0" w:line="226" w:lineRule="exact"/>
      </w:pPr>
      <w:r>
        <w:t xml:space="preserve">Mit August </w:t>
      </w:r>
      <w:r>
        <w:rPr>
          <w:rStyle w:val="Bodytext28ptBoldSmallCaps"/>
        </w:rPr>
        <w:t xml:space="preserve">Schleicher </w:t>
      </w:r>
      <w:r>
        <w:t>eroberte der Darwinismus die Sprach</w:t>
      </w:r>
      <w:r>
        <w:softHyphen/>
        <w:t>geschichtsforschung. Um 1863 schr</w:t>
      </w:r>
      <w:r>
        <w:t>ieb er in seinem „Die Darwinsche</w:t>
      </w:r>
    </w:p>
    <w:p w:rsidR="00BB7EDA" w:rsidRDefault="007D72B3">
      <w:pPr>
        <w:pStyle w:val="Bodytext20"/>
        <w:shd w:val="clear" w:color="auto" w:fill="auto"/>
        <w:spacing w:before="0" w:after="176" w:line="226" w:lineRule="exact"/>
      </w:pPr>
      <w:r>
        <w:t>Theorie und die Sprachwissenschaft" betitelten offenen Sendschrei</w:t>
      </w:r>
      <w:r>
        <w:softHyphen/>
        <w:t xml:space="preserve">ben an Ernst </w:t>
      </w:r>
      <w:r>
        <w:rPr>
          <w:rStyle w:val="Bodytext28ptBoldSmallCaps"/>
        </w:rPr>
        <w:t>Haeckel:</w:t>
      </w:r>
    </w:p>
    <w:p w:rsidR="00BB7EDA" w:rsidRDefault="007D72B3">
      <w:pPr>
        <w:pStyle w:val="Bodytext20"/>
        <w:shd w:val="clear" w:color="auto" w:fill="auto"/>
        <w:spacing w:before="0" w:after="220"/>
        <w:ind w:left="320" w:right="320"/>
      </w:pPr>
      <w:r>
        <w:t>„Die Glottik, die Wissenschaft der Sprache, ist... eine Natur</w:t>
      </w:r>
      <w:r>
        <w:softHyphen/>
        <w:t>wissenschaft; ihre Methode ist im Ganzen und Allgemeinen dieselbe, wie di</w:t>
      </w:r>
      <w:r>
        <w:t>e der übrigen Naturwissenschaften."</w:t>
      </w:r>
      <w:r>
        <w:rPr>
          <w:vertAlign w:val="superscript"/>
        </w:rPr>
        <w:footnoteReference w:id="277"/>
      </w:r>
    </w:p>
    <w:p w:rsidR="00BB7EDA" w:rsidRDefault="007D72B3">
      <w:pPr>
        <w:pStyle w:val="Bodytext20"/>
        <w:shd w:val="clear" w:color="auto" w:fill="auto"/>
        <w:spacing w:before="0" w:after="94" w:line="180" w:lineRule="exact"/>
        <w:ind w:firstLine="320"/>
      </w:pPr>
      <w:r>
        <w:t>Etwas weiter im Kontext heißt es:</w:t>
      </w:r>
    </w:p>
    <w:p w:rsidR="00BB7EDA" w:rsidRDefault="007D72B3">
      <w:pPr>
        <w:pStyle w:val="Bodytext20"/>
        <w:shd w:val="clear" w:color="auto" w:fill="auto"/>
        <w:spacing w:before="0" w:after="180"/>
        <w:ind w:left="320" w:right="320"/>
      </w:pPr>
      <w:r>
        <w:t>„Darwins Lehre ist eine Notwendigkeit. Das was Darwin für die Arten der Thiere und Pflanzen geltend macht, gilt nun aber auch, wenigstens in seinen haupsächlichsten Zügen, für die Organ</w:t>
      </w:r>
      <w:r>
        <w:t>ismen der Sprache."</w:t>
      </w:r>
      <w:r>
        <w:rPr>
          <w:vertAlign w:val="superscript"/>
        </w:rPr>
        <w:footnoteReference w:id="278"/>
      </w:r>
    </w:p>
    <w:p w:rsidR="00BB7EDA" w:rsidRDefault="007D72B3">
      <w:pPr>
        <w:pStyle w:val="Bodytext20"/>
        <w:shd w:val="clear" w:color="auto" w:fill="auto"/>
        <w:spacing w:before="0" w:after="184"/>
        <w:ind w:firstLine="320"/>
      </w:pPr>
      <w:r>
        <w:t xml:space="preserve">August </w:t>
      </w:r>
      <w:r>
        <w:rPr>
          <w:rStyle w:val="Bodytext28ptBoldSmallCaps"/>
        </w:rPr>
        <w:t xml:space="preserve">Schleicher </w:t>
      </w:r>
      <w:r>
        <w:t>ist wegen seines Einflusses, den er im 19. Jahrhundert auf die Sprachwissenschaft ausgeübt hatte, nachträg</w:t>
      </w:r>
      <w:r>
        <w:softHyphen/>
        <w:t>lich als „der Chomsky seiner Zeit" betitelt worden. Er „rekonstruier</w:t>
      </w:r>
      <w:r>
        <w:softHyphen/>
        <w:t>te" ein spekulatives Ur-Indogermanisch, i</w:t>
      </w:r>
      <w:r>
        <w:t>n dem es angeblich nur Bedeutungslaute gegeben habe. Er formulierte es so:</w:t>
      </w:r>
    </w:p>
    <w:p w:rsidR="00BB7EDA" w:rsidRDefault="007D72B3">
      <w:pPr>
        <w:pStyle w:val="Bodytext20"/>
        <w:shd w:val="clear" w:color="auto" w:fill="auto"/>
        <w:spacing w:before="0" w:after="337" w:line="226" w:lineRule="exact"/>
        <w:ind w:left="320" w:right="320"/>
      </w:pPr>
      <w:r>
        <w:t xml:space="preserve">„...einfache Lautbilder für Anschauungen, Vorstellungen, Begriffe, die in jeder Beziehung, d.h. als jede grammatische Form fungieren konnten, ohne daß für diese Functionen ein </w:t>
      </w:r>
      <w:r>
        <w:t>lautlicher Ausdruck, so zu sagen, ein Organ vorhanden war. Auf dieser urältesten Stufe sprachgeschichtlichen Lebens gibt es also, lautlich unterschieden, weder Verba noch Nomina, weder Conjugation noch Deklination u.s.f."</w:t>
      </w:r>
      <w:r>
        <w:rPr>
          <w:vertAlign w:val="superscript"/>
        </w:rPr>
        <w:footnoteReference w:id="279"/>
      </w:r>
    </w:p>
    <w:p w:rsidR="00BB7EDA" w:rsidRDefault="007D72B3">
      <w:pPr>
        <w:pStyle w:val="Bodytext90"/>
        <w:numPr>
          <w:ilvl w:val="2"/>
          <w:numId w:val="126"/>
        </w:numPr>
        <w:shd w:val="clear" w:color="auto" w:fill="auto"/>
        <w:tabs>
          <w:tab w:val="left" w:pos="495"/>
        </w:tabs>
        <w:spacing w:after="94" w:line="180" w:lineRule="exact"/>
      </w:pPr>
      <w:r>
        <w:t>Bibel: Komplexer Anfang</w:t>
      </w:r>
    </w:p>
    <w:p w:rsidR="00BB7EDA" w:rsidRDefault="007D72B3">
      <w:pPr>
        <w:pStyle w:val="Bodytext20"/>
        <w:shd w:val="clear" w:color="auto" w:fill="auto"/>
        <w:spacing w:before="0" w:after="184"/>
      </w:pPr>
      <w:r>
        <w:t>Die Aussa</w:t>
      </w:r>
      <w:r>
        <w:t>gen der Bibel über den Ursprung der Sprachen zwingen einen zum Schluss, dass die ältesten Sprachen der Welt strukturell hoch stehend und komplex gewesen sein mussten, da sie ja, gemäß dem Zeugnis der Heiligen Schrift in Gen 1-2 und 11 als Schöpfungs</w:t>
      </w:r>
      <w:r>
        <w:softHyphen/>
        <w:t>werk a</w:t>
      </w:r>
      <w:r>
        <w:t>us der Hand Gottes hervorgegangen sind. Sie standen dem Zeitpunkt ihrer Erschaffung am nächsten. Falls man davon ausge</w:t>
      </w:r>
      <w:r>
        <w:softHyphen/>
        <w:t>hen müsste, dass im Laufe der Sprachgeschichte eine gewisse Dege</w:t>
      </w:r>
      <w:r>
        <w:softHyphen/>
        <w:t>neration eingetreten ist, so wären sie jedenfalls dem perfekten Urzu</w:t>
      </w:r>
      <w:r>
        <w:softHyphen/>
        <w:t>sta</w:t>
      </w:r>
      <w:r>
        <w:t>nd noch am allernächsten gestanden. Was aus der Hand Gottes hervorgeht, muss, wie z.B. der Bericht in Gen 1 eindringlich bezeugt, stets „sehr gut" sein (Gen 1,31; vgl. Gen 1,5.10.12.19.21.25).</w:t>
      </w:r>
    </w:p>
    <w:p w:rsidR="00BB7EDA" w:rsidRDefault="007D72B3">
      <w:pPr>
        <w:pStyle w:val="Bodytext100"/>
        <w:numPr>
          <w:ilvl w:val="3"/>
          <w:numId w:val="126"/>
        </w:numPr>
        <w:shd w:val="clear" w:color="auto" w:fill="auto"/>
        <w:tabs>
          <w:tab w:val="left" w:pos="644"/>
        </w:tabs>
        <w:spacing w:before="0"/>
        <w:ind w:firstLine="0"/>
      </w:pPr>
      <w:r>
        <w:t>Zinn Gerichtsakt in Genesis 11</w:t>
      </w:r>
    </w:p>
    <w:p w:rsidR="00BB7EDA" w:rsidRDefault="007D72B3">
      <w:pPr>
        <w:pStyle w:val="Bodytext20"/>
        <w:shd w:val="clear" w:color="auto" w:fill="auto"/>
        <w:spacing w:before="0" w:line="226" w:lineRule="exact"/>
      </w:pPr>
      <w:r>
        <w:t>Im Blick auf Gen 11 könnte man n</w:t>
      </w:r>
      <w:r>
        <w:t xml:space="preserve">atürlich einwenden, dass es sich dort um einen </w:t>
      </w:r>
      <w:r>
        <w:rPr>
          <w:rStyle w:val="Bodytext2Italic0"/>
        </w:rPr>
        <w:t>Gerichtsakt</w:t>
      </w:r>
      <w:r>
        <w:t xml:space="preserve"> handelte und man deswegen nicht zwin</w:t>
      </w:r>
      <w:r>
        <w:softHyphen/>
        <w:t>gend annehmen müsste, dass diese Sprachen auch das Qualitäts</w:t>
      </w:r>
      <w:r>
        <w:softHyphen/>
        <w:t>siegel „sehr gut" aus dem Schöpfungsbericht von Gen 1 trugen.</w:t>
      </w:r>
    </w:p>
    <w:p w:rsidR="00BB7EDA" w:rsidRDefault="007D72B3">
      <w:pPr>
        <w:pStyle w:val="Bodytext20"/>
        <w:shd w:val="clear" w:color="auto" w:fill="auto"/>
        <w:spacing w:before="0" w:line="226" w:lineRule="exact"/>
        <w:ind w:firstLine="320"/>
      </w:pPr>
      <w:r>
        <w:t>Eine solche Meinung ist allerdings th</w:t>
      </w:r>
      <w:r>
        <w:t>eologisch ein schwerer Irrtum. Gottes Handeln ist gemäß dem Zeugnis der Bibel immer perfekt, unabhängig davon, ob es um Schöpfungs-, Heils- oder gar Gerichtshandeln geht. Das göttliche Gericht in der Apokalypse ist ja durch die Zahl 7, die oft symbolisch v</w:t>
      </w:r>
      <w:r>
        <w:t>on Vollkommenheit spricht,</w:t>
      </w:r>
      <w:r>
        <w:rPr>
          <w:vertAlign w:val="superscript"/>
        </w:rPr>
        <w:footnoteReference w:id="280"/>
      </w:r>
      <w:r>
        <w:rPr>
          <w:vertAlign w:val="superscript"/>
        </w:rPr>
        <w:t xml:space="preserve"> </w:t>
      </w:r>
      <w:r>
        <w:t>förmlich charakterisiert: Das Buch des Gerichts am Ende der Bibel enthält sieben Siegel, wobei das siebte Siegel aus sieben Posaunen- Gerichten besteht, deren Letztes wiederum aus sieben Schalen- Gerichten zusammengesetzt ist.</w:t>
      </w:r>
      <w:r>
        <w:rPr>
          <w:vertAlign w:val="superscript"/>
        </w:rPr>
        <w:footnoteReference w:id="281"/>
      </w:r>
    </w:p>
    <w:p w:rsidR="00BB7EDA" w:rsidRDefault="007D72B3">
      <w:pPr>
        <w:pStyle w:val="Bodytext20"/>
        <w:shd w:val="clear" w:color="auto" w:fill="auto"/>
        <w:spacing w:before="0" w:line="226" w:lineRule="exact"/>
        <w:ind w:firstLine="320"/>
      </w:pPr>
      <w:r>
        <w:t>Im Zusammenhang mit der Vorbereitung auf den Höhepunkt der apokalyptischen Gerichte sah Johannes wie der himmlische Tempel mit der Schechina, der Wolke der Herrlichkeit Gottes, ge</w:t>
      </w:r>
      <w:r>
        <w:softHyphen/>
        <w:t>füllt wurde, sodass niemand in die unmittelbare Gegenwart des Allmächtigen t</w:t>
      </w:r>
      <w:r>
        <w:t>reten konnte (Off 15,5-8). Dies drückt eine ganz wich</w:t>
      </w:r>
      <w:r>
        <w:softHyphen/>
        <w:t xml:space="preserve">tige gesamtbiblische Botschaft aus: </w:t>
      </w:r>
      <w:r>
        <w:rPr>
          <w:rStyle w:val="Bodytext2Italic0"/>
        </w:rPr>
        <w:t>Selbst das Gericht Gottes muss letztlich der Herrlichkeit, Majestät und Ehre Gottes dienen.</w:t>
      </w:r>
    </w:p>
    <w:p w:rsidR="00BB7EDA" w:rsidRDefault="007D72B3">
      <w:pPr>
        <w:pStyle w:val="Bodytext20"/>
        <w:shd w:val="clear" w:color="auto" w:fill="auto"/>
        <w:spacing w:before="0" w:line="226" w:lineRule="exact"/>
        <w:ind w:firstLine="320"/>
        <w:sectPr w:rsidR="00BB7EDA">
          <w:pgSz w:w="7266" w:h="11422"/>
          <w:pgMar w:top="781" w:right="775" w:bottom="1134" w:left="812" w:header="0" w:footer="3" w:gutter="0"/>
          <w:cols w:space="720"/>
          <w:noEndnote/>
          <w:docGrid w:linePitch="360"/>
        </w:sectPr>
      </w:pPr>
      <w:r>
        <w:t>Der in Gen 3,14.17.18 als Folge des Sündenfalles über d</w:t>
      </w:r>
      <w:r>
        <w:t>ie Tier- und Pflanzenwelt verhängte Fluch</w:t>
      </w:r>
      <w:r>
        <w:rPr>
          <w:vertAlign w:val="superscript"/>
        </w:rPr>
        <w:footnoteReference w:id="282"/>
      </w:r>
      <w:r>
        <w:t xml:space="preserve"> hatte gewaltige und einschnei</w:t>
      </w:r>
      <w:r>
        <w:softHyphen/>
        <w:t>dende biologische, chemisch-physikalische und ökologische Aus-</w:t>
      </w:r>
    </w:p>
    <w:p w:rsidR="00BB7EDA" w:rsidRDefault="007D72B3">
      <w:pPr>
        <w:pStyle w:val="Bodytext20"/>
        <w:shd w:val="clear" w:color="auto" w:fill="auto"/>
        <w:spacing w:before="0"/>
      </w:pPr>
      <w:r>
        <w:t>Wirkungen:</w:t>
      </w:r>
      <w:r>
        <w:rPr>
          <w:vertAlign w:val="superscript"/>
        </w:rPr>
        <w:t>331</w:t>
      </w:r>
      <w:r>
        <w:t xml:space="preserve"> Verlängerung der Nahrungsketten, Neuausbildung von Strukturen zum Erwerb tierischer Nahrung, Bildung von V</w:t>
      </w:r>
      <w:r>
        <w:t>er</w:t>
      </w:r>
      <w:r>
        <w:softHyphen/>
        <w:t>haltensweisen zur Feindabwehr (Tarnung, Mimese,</w:t>
      </w:r>
      <w:r>
        <w:rPr>
          <w:vertAlign w:val="superscript"/>
        </w:rPr>
        <w:t>332</w:t>
      </w:r>
      <w:r>
        <w:t xml:space="preserve"> Mimikry</w:t>
      </w:r>
      <w:r>
        <w:rPr>
          <w:vertAlign w:val="superscript"/>
        </w:rPr>
        <w:t>333</w:t>
      </w:r>
      <w:r>
        <w:t xml:space="preserve">). Wiewohl all diese Dinge deutlich den Stempel des Fluches über die Schöpfung tragen, so verblüffen sie den Betrachter insbesondere durch die Perfektion ihrer Funktionsweise und den dahinter </w:t>
      </w:r>
      <w:r>
        <w:t>zu erblickenden erfinderischen Ideenreichtum.</w:t>
      </w:r>
    </w:p>
    <w:p w:rsidR="00BB7EDA" w:rsidRDefault="007D72B3">
      <w:pPr>
        <w:pStyle w:val="Bodytext20"/>
        <w:shd w:val="clear" w:color="auto" w:fill="auto"/>
        <w:spacing w:before="0" w:after="389"/>
        <w:ind w:firstLine="320"/>
      </w:pPr>
      <w:r>
        <w:t>Aus dem Gesagten folgt: Die biblischen Aussagen über die Ent</w:t>
      </w:r>
      <w:r>
        <w:softHyphen/>
        <w:t>stehung der Sprachen führen uns zur Schlussfolgerung, dass die ältesten Sprachen komplex und hoch stehend gewesen sein müssen.</w:t>
      </w:r>
    </w:p>
    <w:p w:rsidR="00BB7EDA" w:rsidRDefault="007D72B3">
      <w:pPr>
        <w:pStyle w:val="Heading40"/>
        <w:keepNext/>
        <w:keepLines/>
        <w:numPr>
          <w:ilvl w:val="1"/>
          <w:numId w:val="126"/>
        </w:numPr>
        <w:shd w:val="clear" w:color="auto" w:fill="auto"/>
        <w:tabs>
          <w:tab w:val="left" w:pos="394"/>
        </w:tabs>
        <w:spacing w:after="211" w:line="269" w:lineRule="exact"/>
        <w:jc w:val="left"/>
      </w:pPr>
      <w:bookmarkStart w:id="66" w:name="bookmark65"/>
      <w:r>
        <w:t xml:space="preserve">Deduktionen im Blick </w:t>
      </w:r>
      <w:r>
        <w:t>auf die Sprachen der Eingeborenen-Völker</w:t>
      </w:r>
      <w:bookmarkEnd w:id="66"/>
    </w:p>
    <w:p w:rsidR="00BB7EDA" w:rsidRDefault="007D72B3">
      <w:pPr>
        <w:pStyle w:val="Bodytext90"/>
        <w:numPr>
          <w:ilvl w:val="2"/>
          <w:numId w:val="126"/>
        </w:numPr>
        <w:shd w:val="clear" w:color="auto" w:fill="auto"/>
        <w:tabs>
          <w:tab w:val="left" w:pos="500"/>
        </w:tabs>
        <w:spacing w:after="184" w:line="230" w:lineRule="exact"/>
      </w:pPr>
      <w:r>
        <w:t>Evolution: Die Sprachen der Eingeborenen müssen primiti</w:t>
      </w:r>
      <w:r>
        <w:softHyphen/>
        <w:t>ver sein als die der hoch zivilisierten Völker</w:t>
      </w:r>
    </w:p>
    <w:p w:rsidR="00BB7EDA" w:rsidRDefault="007D72B3">
      <w:pPr>
        <w:pStyle w:val="Bodytext20"/>
        <w:shd w:val="clear" w:color="auto" w:fill="auto"/>
        <w:spacing w:before="0" w:after="176" w:line="226" w:lineRule="exact"/>
      </w:pPr>
      <w:r>
        <w:t>Aus der Sicht der Evolutionslehre ist die Entstehung und Entwick</w:t>
      </w:r>
      <w:r>
        <w:softHyphen/>
        <w:t>lung der Sprachen eng an die kulturelle Entwick</w:t>
      </w:r>
      <w:r>
        <w:t xml:space="preserve">lung gekoppelt. </w:t>
      </w:r>
      <w:r>
        <w:rPr>
          <w:rStyle w:val="Bodytext2Italic0"/>
        </w:rPr>
        <w:t>Dieses Axiom fiihrt logischerweise ungezwungen zur Annahme, dass Völker, die heute noch in einer Steinzeitkultur leben oder sich sonst auf einem einfacheren Entwicklungsniveau befinden, eine primitivere Spra</w:t>
      </w:r>
      <w:r>
        <w:rPr>
          <w:rStyle w:val="Bodytext2Italic0"/>
        </w:rPr>
        <w:softHyphen/>
        <w:t>chen besitzen müssten als Mensch</w:t>
      </w:r>
      <w:r>
        <w:rPr>
          <w:rStyle w:val="Bodytext2Italic0"/>
        </w:rPr>
        <w:t xml:space="preserve">en aus dem hoch zivilisierten Abendland, </w:t>
      </w:r>
      <w:r>
        <w:t>schließlich soll ja nach der Evolution die Sprache in der Altsteinzeit entstanden sein und im Verlauf immer weiter gehender kultureller Entwicklungen durch Evolution stets höhere Ebenen erreicht haben.</w:t>
      </w:r>
    </w:p>
    <w:p w:rsidR="00BB7EDA" w:rsidRDefault="007D72B3">
      <w:pPr>
        <w:pStyle w:val="Bodytext100"/>
        <w:numPr>
          <w:ilvl w:val="0"/>
          <w:numId w:val="129"/>
        </w:numPr>
        <w:shd w:val="clear" w:color="auto" w:fill="auto"/>
        <w:tabs>
          <w:tab w:val="left" w:pos="658"/>
        </w:tabs>
        <w:spacing w:before="0" w:line="230" w:lineRule="exact"/>
        <w:ind w:firstLine="0"/>
      </w:pPr>
      <w:r>
        <w:t>Johann Christ</w:t>
      </w:r>
      <w:r>
        <w:t xml:space="preserve">ian </w:t>
      </w:r>
      <w:r>
        <w:rPr>
          <w:rStyle w:val="Bodytext10NotBoldSmallCaps"/>
          <w:i/>
          <w:iCs/>
        </w:rPr>
        <w:t>Adelung</w:t>
      </w:r>
    </w:p>
    <w:p w:rsidR="00BB7EDA" w:rsidRDefault="007D72B3">
      <w:pPr>
        <w:pStyle w:val="Bodytext20"/>
        <w:shd w:val="clear" w:color="auto" w:fill="auto"/>
        <w:spacing w:before="0" w:after="271"/>
      </w:pPr>
      <w:r>
        <w:t xml:space="preserve">Ich habe oben bereits </w:t>
      </w:r>
      <w:r>
        <w:rPr>
          <w:rStyle w:val="Bodytext28ptBoldSmallCaps"/>
        </w:rPr>
        <w:t xml:space="preserve">Adelungs </w:t>
      </w:r>
      <w:r>
        <w:t xml:space="preserve">Sicht aus dem Jahr </w:t>
      </w:r>
      <w:r>
        <w:rPr>
          <w:rStyle w:val="Bodytext28ptBold"/>
        </w:rPr>
        <w:t xml:space="preserve">1806 </w:t>
      </w:r>
      <w:r>
        <w:t>angeführt, wo er seine Meinung im Blick auf eine Ursprache zum Ausdruck brachte. Er unterschied zwischen einsilbigen und mehrsilbigen Sprachen, die</w:t>
      </w:r>
    </w:p>
    <w:p w:rsidR="00BB7EDA" w:rsidRDefault="007D72B3">
      <w:pPr>
        <w:pStyle w:val="Bodytext60"/>
        <w:shd w:val="clear" w:color="auto" w:fill="auto"/>
        <w:spacing w:line="192" w:lineRule="exact"/>
        <w:ind w:left="320"/>
        <w:jc w:val="both"/>
      </w:pPr>
      <w:r>
        <w:t xml:space="preserve">(„verfluchter als"; vgl. </w:t>
      </w:r>
      <w:r>
        <w:rPr>
          <w:rStyle w:val="Bodytext665ptSmallCapsSpacing0pt"/>
        </w:rPr>
        <w:t xml:space="preserve">Joüon/Muraoka: </w:t>
      </w:r>
      <w:r>
        <w:t>A</w:t>
      </w:r>
      <w:r>
        <w:t xml:space="preserve"> Grammar of Biblical Hebrew, § 141): „Und der HERR Gott sprach zur Schlange: Weil du dieses getan hast, sollst du mehr verflucht sein als alles Vieh, und mehr als alle Tiere des Feldes!"</w:t>
      </w:r>
    </w:p>
    <w:p w:rsidR="00BB7EDA" w:rsidRDefault="007D72B3">
      <w:pPr>
        <w:pStyle w:val="Bodytext60"/>
        <w:numPr>
          <w:ilvl w:val="0"/>
          <w:numId w:val="130"/>
        </w:numPr>
        <w:shd w:val="clear" w:color="auto" w:fill="auto"/>
        <w:tabs>
          <w:tab w:val="left" w:pos="324"/>
        </w:tabs>
        <w:spacing w:line="192" w:lineRule="exact"/>
        <w:jc w:val="both"/>
      </w:pPr>
      <w:r>
        <w:t xml:space="preserve">Vgl. </w:t>
      </w:r>
      <w:r>
        <w:rPr>
          <w:rStyle w:val="Bodytext67ptSmallCaps"/>
        </w:rPr>
        <w:t xml:space="preserve">Junker: </w:t>
      </w:r>
      <w:r>
        <w:t xml:space="preserve">Sündenfall und Biologie, S. </w:t>
      </w:r>
      <w:r>
        <w:rPr>
          <w:rStyle w:val="Bodytext67pt"/>
        </w:rPr>
        <w:t>17.</w:t>
      </w:r>
    </w:p>
    <w:p w:rsidR="00BB7EDA" w:rsidRDefault="007D72B3">
      <w:pPr>
        <w:pStyle w:val="Bodytext60"/>
        <w:numPr>
          <w:ilvl w:val="0"/>
          <w:numId w:val="130"/>
        </w:numPr>
        <w:shd w:val="clear" w:color="auto" w:fill="auto"/>
        <w:tabs>
          <w:tab w:val="left" w:pos="324"/>
        </w:tabs>
        <w:spacing w:line="192" w:lineRule="exact"/>
        <w:ind w:left="320" w:hanging="320"/>
      </w:pPr>
      <w:r>
        <w:t>Nachahmung einer anderen</w:t>
      </w:r>
      <w:r>
        <w:t xml:space="preserve"> Lebensstruktur; vgl. z.B. die tropische Gespen</w:t>
      </w:r>
      <w:r>
        <w:softHyphen/>
        <w:t>sterheuschrecke, die gestaltet ist wie ein Blatt.</w:t>
      </w:r>
    </w:p>
    <w:p w:rsidR="00BB7EDA" w:rsidRDefault="007D72B3">
      <w:pPr>
        <w:pStyle w:val="Bodytext60"/>
        <w:numPr>
          <w:ilvl w:val="0"/>
          <w:numId w:val="130"/>
        </w:numPr>
        <w:shd w:val="clear" w:color="auto" w:fill="auto"/>
        <w:tabs>
          <w:tab w:val="left" w:pos="324"/>
        </w:tabs>
        <w:spacing w:line="192" w:lineRule="exact"/>
        <w:ind w:left="320" w:hanging="320"/>
      </w:pPr>
      <w:r>
        <w:t>Scheinwarntrocht; vgl. z.B. beim harmlosen Homissenschwärmer, der die gefährliche Hornisse imitiert.</w:t>
      </w:r>
    </w:p>
    <w:p w:rsidR="00BB7EDA" w:rsidRDefault="007D72B3">
      <w:pPr>
        <w:pStyle w:val="Bodytext20"/>
        <w:shd w:val="clear" w:color="auto" w:fill="auto"/>
        <w:spacing w:before="0" w:after="116" w:line="226" w:lineRule="exact"/>
      </w:pPr>
      <w:r>
        <w:t xml:space="preserve">er als „primitive" bzw. „entwickelte" Sprachen </w:t>
      </w:r>
      <w:r>
        <w:t>titulierte. Nachfol</w:t>
      </w:r>
      <w:r>
        <w:softHyphen/>
        <w:t>gend gebe ich dieses Zitat noch etwas breiter wieder, weil dort auch noch seine Bewertung der Eingeborenensprachen zum Tragen kommt:</w:t>
      </w:r>
    </w:p>
    <w:p w:rsidR="00BB7EDA" w:rsidRDefault="007D72B3">
      <w:pPr>
        <w:pStyle w:val="Bodytext20"/>
        <w:shd w:val="clear" w:color="auto" w:fill="auto"/>
        <w:spacing w:before="0" w:after="120"/>
        <w:ind w:left="320" w:right="320"/>
      </w:pPr>
      <w:r>
        <w:t>„Bey der rohen Einsilbigkeit lagen noch alle Begriffe unge</w:t>
      </w:r>
      <w:r>
        <w:softHyphen/>
        <w:t>schieden unter einander ... die Redetheile w</w:t>
      </w:r>
      <w:r>
        <w:t>aren noch nicht abgesondert; jeder Wurzellaut war Substantiv, Verbum, Adjectiv, oder was man sonst wollte... So einsylbig leben und weben noch ganze Millionen Menschen in dem südöstlichen Asien fort, ohne zu ahnden, dass ihre Sprachen noch einer größeren A</w:t>
      </w:r>
      <w:r>
        <w:t>usbildung fähig sey ... Der Sinese hat sich durch seine steife Einsylbigkeit den Weg zu aller weitern Cultur des Geistes verschlossen; aber die Sprache des Huronen und Grönländers hat alles in sich, sich zu der Sprache eines Plato und Voltaire zu erheben."</w:t>
      </w:r>
      <w:r>
        <w:rPr>
          <w:vertAlign w:val="superscript"/>
        </w:rPr>
        <w:footnoteReference w:id="283"/>
      </w:r>
    </w:p>
    <w:p w:rsidR="00BB7EDA" w:rsidRDefault="007D72B3">
      <w:pPr>
        <w:pStyle w:val="Bodytext160"/>
        <w:shd w:val="clear" w:color="auto" w:fill="auto"/>
        <w:spacing w:before="0" w:line="230" w:lineRule="exact"/>
      </w:pPr>
      <w:r>
        <w:t xml:space="preserve">5.3.1.2 </w:t>
      </w:r>
      <w:r>
        <w:rPr>
          <w:rStyle w:val="Bodytext16Bold"/>
          <w:i/>
          <w:iCs/>
        </w:rPr>
        <w:t xml:space="preserve">Heymann </w:t>
      </w:r>
      <w:r>
        <w:rPr>
          <w:rStyle w:val="Bodytext16SmallCaps"/>
          <w:i/>
          <w:iCs/>
        </w:rPr>
        <w:t>Steinthal</w:t>
      </w:r>
    </w:p>
    <w:p w:rsidR="00BB7EDA" w:rsidRDefault="007D72B3">
      <w:pPr>
        <w:pStyle w:val="Bodytext20"/>
        <w:shd w:val="clear" w:color="auto" w:fill="auto"/>
        <w:spacing w:before="0" w:after="124"/>
      </w:pPr>
      <w:r>
        <w:t xml:space="preserve">Der Berliner Sprachpsychologe Heymann </w:t>
      </w:r>
      <w:r>
        <w:rPr>
          <w:rStyle w:val="Bodytext28ptSmallCaps"/>
        </w:rPr>
        <w:t xml:space="preserve">Steinthal </w:t>
      </w:r>
      <w:r>
        <w:t xml:space="preserve">legte 1867 in seinem Werk „Die Mande-Neger-Sprachen - psychologisch und phonetisch betrachtet" dar, wie er damals unter dem Eindruck der Evolutionslehre die Struktur von </w:t>
      </w:r>
      <w:r>
        <w:t>Eingeborenen-Sprachen beurteilte:</w:t>
      </w:r>
    </w:p>
    <w:p w:rsidR="00BB7EDA" w:rsidRDefault="007D72B3">
      <w:pPr>
        <w:pStyle w:val="Bodytext20"/>
        <w:shd w:val="clear" w:color="auto" w:fill="auto"/>
        <w:spacing w:before="0" w:after="157" w:line="226" w:lineRule="exact"/>
        <w:ind w:left="320" w:right="320"/>
      </w:pPr>
      <w:r>
        <w:t>„Mit der gegenwärtigen Schrift beabsichtigt der Verfasser zu zeigen, daß es in der That Sprachen gibt,... welche mit unseren höher organisierten indoeuropäischen Sprachen rücksichtlich des inneren Baues zu vergleichen so w</w:t>
      </w:r>
      <w:r>
        <w:t>enig möglich ist, als es angeht, ein Insekt mit einem Säugetier zu vergleichen ..."</w:t>
      </w:r>
    </w:p>
    <w:p w:rsidR="00BB7EDA" w:rsidRDefault="007D72B3">
      <w:pPr>
        <w:pStyle w:val="Bodytext20"/>
        <w:shd w:val="clear" w:color="auto" w:fill="auto"/>
        <w:spacing w:before="0" w:after="43" w:line="180" w:lineRule="exact"/>
        <w:jc w:val="right"/>
      </w:pPr>
      <w:r>
        <w:t>Des Weiteren finden sich dort auch noch folgende Formulierungen:</w:t>
      </w:r>
    </w:p>
    <w:p w:rsidR="00BB7EDA" w:rsidRDefault="007D72B3">
      <w:pPr>
        <w:pStyle w:val="Bodytext20"/>
        <w:shd w:val="clear" w:color="auto" w:fill="auto"/>
        <w:spacing w:before="0" w:line="226" w:lineRule="exact"/>
        <w:ind w:left="320" w:right="320"/>
      </w:pPr>
      <w:r>
        <w:t xml:space="preserve">„Wie der Frosch und dei Mensch aihmei, so haben die Soso- Sprache und das Sanskrit Wörter für Thätigkeiten </w:t>
      </w:r>
      <w:r>
        <w:t>und Sub</w:t>
      </w:r>
      <w:r>
        <w:softHyphen/>
        <w:t>stanzen ... wie aber physiologisch genommen das menschli</w:t>
      </w:r>
      <w:r>
        <w:softHyphen/>
        <w:t>che Athmen vermittelst der Brust bei den Fröschen und noch niederen Thieren nicht zu finden ist, so geht auch dem Soso das Nomen und Verbum des Sanskrit ab."</w:t>
      </w:r>
      <w:r>
        <w:rPr>
          <w:vertAlign w:val="superscript"/>
        </w:rPr>
        <w:footnoteReference w:id="284"/>
      </w:r>
    </w:p>
    <w:p w:rsidR="00BB7EDA" w:rsidRDefault="007D72B3">
      <w:pPr>
        <w:pStyle w:val="Bodytext20"/>
        <w:shd w:val="clear" w:color="auto" w:fill="auto"/>
        <w:spacing w:before="0" w:after="420" w:line="226" w:lineRule="exact"/>
        <w:ind w:firstLine="320"/>
      </w:pPr>
      <w:r>
        <w:rPr>
          <w:rStyle w:val="Bodytext28ptBoldSmallCaps"/>
        </w:rPr>
        <w:t xml:space="preserve">Steinthal </w:t>
      </w:r>
      <w:r>
        <w:t xml:space="preserve">beschrieb die vier </w:t>
      </w:r>
      <w:r>
        <w:t>Mande-Sprachen Soso, Vai, Bambara und Mandingo, wiewohl er selbst nie mit einem Vertreter dieser Sprachen in Berührung gekommen war. Er stützte sich lediglich auf frühe Veröffentlichungen zu diesen Sprachen aus der ersten Hälfte des 19. Jahrhunderts ab. Er</w:t>
      </w:r>
      <w:r>
        <w:t xml:space="preserve"> tat dies zu einem Zeitpunkt, als die moderne Afrikanistik noch auf sich warten ließ. Für die west</w:t>
      </w:r>
      <w:r>
        <w:softHyphen/>
        <w:t xml:space="preserve">afrikanischen Sprachen, mit denen sich </w:t>
      </w:r>
      <w:r>
        <w:rPr>
          <w:rStyle w:val="Bodytext28ptBoldSmallCaps"/>
        </w:rPr>
        <w:t xml:space="preserve">Steinthal </w:t>
      </w:r>
      <w:r>
        <w:rPr>
          <w:rStyle w:val="Bodytext255ptSmallCapsSpacing1pt"/>
        </w:rPr>
        <w:t xml:space="preserve">zu </w:t>
      </w:r>
      <w:r>
        <w:t xml:space="preserve">beschäftigen suchte, wurde erst </w:t>
      </w:r>
      <w:r>
        <w:rPr>
          <w:rStyle w:val="Bodytext28ptBold"/>
        </w:rPr>
        <w:t xml:space="preserve">1911 </w:t>
      </w:r>
      <w:r>
        <w:t xml:space="preserve">mit D. </w:t>
      </w:r>
      <w:r>
        <w:rPr>
          <w:rStyle w:val="Bodytext28ptBoldSmallCaps"/>
        </w:rPr>
        <w:t xml:space="preserve">Westermanns </w:t>
      </w:r>
      <w:r>
        <w:t>Werk „Die Sudan</w:t>
      </w:r>
      <w:r>
        <w:softHyphen/>
        <w:t>sprachen" ein tragfähiges Fundame</w:t>
      </w:r>
      <w:r>
        <w:t>nt gelegt. Vor diesem Zeit</w:t>
      </w:r>
      <w:r>
        <w:softHyphen/>
        <w:t>punkt war eine angemessene Einschätzung und Beurteilung dieser Sprachen gar nicht möglich. In der Zeit davor fehlte es an gründli</w:t>
      </w:r>
      <w:r>
        <w:softHyphen/>
        <w:t xml:space="preserve">chen Beschreibungen. Dennoch wurden im </w:t>
      </w:r>
      <w:r>
        <w:rPr>
          <w:rStyle w:val="Bodytext28ptBold"/>
        </w:rPr>
        <w:t xml:space="preserve">19. </w:t>
      </w:r>
      <w:r>
        <w:t>Jahrhundert schwer wiegende Urteile über unerforschte Ei</w:t>
      </w:r>
      <w:r>
        <w:t>ngeborenen-Sprachen aus der Sicht der Evolution gefällt. Solche Zitate sind für unsere Studi</w:t>
      </w:r>
      <w:r>
        <w:softHyphen/>
        <w:t>en aber besonders wertvoll, weil sie deutlich machen, dass die Evolutionslehre einen logischerweise dazu führen muss, solche Schlussfolgerungen im Blick auf die Sp</w:t>
      </w:r>
      <w:r>
        <w:t>rachen der Eingeborenen zu ziehen.</w:t>
      </w:r>
    </w:p>
    <w:p w:rsidR="00BB7EDA" w:rsidRDefault="007D72B3">
      <w:pPr>
        <w:pStyle w:val="Heading50"/>
        <w:keepNext/>
        <w:keepLines/>
        <w:numPr>
          <w:ilvl w:val="2"/>
          <w:numId w:val="126"/>
        </w:numPr>
        <w:shd w:val="clear" w:color="auto" w:fill="auto"/>
        <w:tabs>
          <w:tab w:val="left" w:pos="510"/>
        </w:tabs>
        <w:spacing w:after="180" w:line="226" w:lineRule="exact"/>
        <w:jc w:val="left"/>
      </w:pPr>
      <w:bookmarkStart w:id="67" w:name="bookmark66"/>
      <w:r>
        <w:t>Bibel: Die Sprachen der Eingeborenen müssen nicht primitiver sein als die der hochzivilisierten Völker</w:t>
      </w:r>
      <w:bookmarkEnd w:id="67"/>
    </w:p>
    <w:p w:rsidR="00BB7EDA" w:rsidRDefault="007D72B3">
      <w:pPr>
        <w:pStyle w:val="Bodytext20"/>
        <w:shd w:val="clear" w:color="auto" w:fill="auto"/>
        <w:spacing w:before="0" w:line="226" w:lineRule="exact"/>
      </w:pPr>
      <w:r>
        <w:t>Aus der Sicht der Bibel müssen die Sprachsysteme (Langues) der Eingeborenen-Völker keineswegs primitiv sein. Diese Völ</w:t>
      </w:r>
      <w:r>
        <w:t>ker und Stämme haben ja gemäß Gen 11 genauso wie die Völker des We</w:t>
      </w:r>
      <w:r>
        <w:softHyphen/>
        <w:t>stens ihre Sprachen aus der Hand des Schöpfers bekommen. Ge</w:t>
      </w:r>
      <w:r>
        <w:softHyphen/>
        <w:t xml:space="preserve">mäß der Bibel sind die Sprachen ein Produkt aus einem göttlichen Schöpfungsakt und nicht wie im Blickfeld der Evolutionisten ein </w:t>
      </w:r>
      <w:r>
        <w:t>Produkt menschlicher Kulturleistung.</w:t>
      </w:r>
    </w:p>
    <w:p w:rsidR="00BB7EDA" w:rsidRDefault="007D72B3">
      <w:pPr>
        <w:pStyle w:val="Bodytext20"/>
        <w:shd w:val="clear" w:color="auto" w:fill="auto"/>
        <w:spacing w:before="0" w:line="226" w:lineRule="exact"/>
        <w:ind w:firstLine="320"/>
      </w:pPr>
      <w:r>
        <w:t>Allerdings ist es tatsächlich so, wie ich es oben ausgeführt habe, dass gewisse Aspekte der Sprachen, insbesondere die Lexik und die Syntax, offen sind für kulturelle Weiterführung. Selbst wenn gewisse Völker die kultur</w:t>
      </w:r>
      <w:r>
        <w:t>elle Entwicklung ihrer Sprachen in die</w:t>
      </w:r>
      <w:r>
        <w:softHyphen/>
        <w:t xml:space="preserve">sen Bereichen vernachlässigt hätten, so ändert das überhaupt nichts an der Tatsache, dass ihre Sprachsysteme nichtsdestotrotz hoch stehend und komplex sein müssen. Im Bereich der Lexik ist jedoch zu erwarten, dass er </w:t>
      </w:r>
      <w:r>
        <w:t>ein Spiegelbild des jeweiligen kulturellen Standes ist.</w:t>
      </w:r>
    </w:p>
    <w:p w:rsidR="00BB7EDA" w:rsidRDefault="007D72B3">
      <w:pPr>
        <w:pStyle w:val="Heading40"/>
        <w:keepNext/>
        <w:keepLines/>
        <w:numPr>
          <w:ilvl w:val="1"/>
          <w:numId w:val="126"/>
        </w:numPr>
        <w:shd w:val="clear" w:color="auto" w:fill="auto"/>
        <w:tabs>
          <w:tab w:val="left" w:pos="392"/>
        </w:tabs>
        <w:spacing w:after="247" w:line="264" w:lineRule="exact"/>
        <w:jc w:val="left"/>
      </w:pPr>
      <w:bookmarkStart w:id="68" w:name="bookmark67"/>
      <w:r>
        <w:t>Deduktionen im Blick auf den Verlauf der Sprachgeschichte</w:t>
      </w:r>
      <w:bookmarkEnd w:id="68"/>
    </w:p>
    <w:p w:rsidR="00BB7EDA" w:rsidRDefault="007D72B3">
      <w:pPr>
        <w:pStyle w:val="Bodytext90"/>
        <w:numPr>
          <w:ilvl w:val="2"/>
          <w:numId w:val="126"/>
        </w:numPr>
        <w:shd w:val="clear" w:color="auto" w:fill="auto"/>
        <w:tabs>
          <w:tab w:val="left" w:pos="490"/>
        </w:tabs>
        <w:spacing w:after="158" w:line="180" w:lineRule="exact"/>
      </w:pPr>
      <w:r>
        <w:t>Evolution: Aufwärtsentwicklung auf allen Ebenen</w:t>
      </w:r>
    </w:p>
    <w:p w:rsidR="00BB7EDA" w:rsidRDefault="007D72B3">
      <w:pPr>
        <w:pStyle w:val="Bodytext20"/>
        <w:shd w:val="clear" w:color="auto" w:fill="auto"/>
        <w:spacing w:before="0" w:after="397" w:line="226" w:lineRule="exact"/>
      </w:pPr>
      <w:r>
        <w:t>Bekanntlich sind Sprachen komplexe Code-Systeme mit den Ebe</w:t>
      </w:r>
      <w:r>
        <w:softHyphen/>
        <w:t xml:space="preserve">nen </w:t>
      </w:r>
      <w:r>
        <w:rPr>
          <w:rStyle w:val="Bodytext2Italic0"/>
        </w:rPr>
        <w:t>Phonologie, Morphologie, Synta</w:t>
      </w:r>
      <w:r>
        <w:rPr>
          <w:rStyle w:val="Bodytext2Italic0"/>
        </w:rPr>
        <w:t>x</w:t>
      </w:r>
      <w:r>
        <w:t xml:space="preserve"> und </w:t>
      </w:r>
      <w:r>
        <w:rPr>
          <w:rStyle w:val="Bodytext2Italic0"/>
        </w:rPr>
        <w:t>Semantik.</w:t>
      </w:r>
      <w:r>
        <w:t xml:space="preserve"> Nach der Evolutionslehre wäre zu erwarten, dass man bei Sprachen, deren Geschichte über große Zeiträume hinweg dokumentiert sind, </w:t>
      </w:r>
      <w:r>
        <w:rPr>
          <w:rStyle w:val="Bodytext2Italic0"/>
        </w:rPr>
        <w:t>Entwicklungstendenzen</w:t>
      </w:r>
      <w:r>
        <w:t xml:space="preserve"> von unten nach oben auf </w:t>
      </w:r>
      <w:r>
        <w:rPr>
          <w:rStyle w:val="Bodytext2Italic0"/>
        </w:rPr>
        <w:t>allen</w:t>
      </w:r>
      <w:r>
        <w:t xml:space="preserve"> Ebenen der Langue festgestellt werden könnten. Ebenso soll</w:t>
      </w:r>
      <w:r>
        <w:t xml:space="preserve">te es möglich sein, in der real nachvollziehbaren Sprachgeschichte </w:t>
      </w:r>
      <w:r>
        <w:rPr>
          <w:rStyle w:val="Bodytext2Italic0"/>
        </w:rPr>
        <w:t>Mechanismen zu entdecken, die evolutive Tendenzen</w:t>
      </w:r>
      <w:r>
        <w:t xml:space="preserve"> auf </w:t>
      </w:r>
      <w:r>
        <w:rPr>
          <w:rStyle w:val="Bodytext2Italic0"/>
        </w:rPr>
        <w:t>allen</w:t>
      </w:r>
      <w:r>
        <w:t xml:space="preserve"> Sprachebenen überhaupt </w:t>
      </w:r>
      <w:r>
        <w:rPr>
          <w:rStyle w:val="Bodytext2Italic0"/>
        </w:rPr>
        <w:t>ermöglichen.</w:t>
      </w:r>
    </w:p>
    <w:p w:rsidR="00BB7EDA" w:rsidRDefault="007D72B3">
      <w:pPr>
        <w:pStyle w:val="Bodytext90"/>
        <w:numPr>
          <w:ilvl w:val="2"/>
          <w:numId w:val="126"/>
        </w:numPr>
        <w:shd w:val="clear" w:color="auto" w:fill="auto"/>
        <w:tabs>
          <w:tab w:val="left" w:pos="505"/>
        </w:tabs>
        <w:spacing w:after="163" w:line="180" w:lineRule="exact"/>
      </w:pPr>
      <w:r>
        <w:t>Bibel: Aufwärts- und Abwärtsentwicklungen</w:t>
      </w:r>
    </w:p>
    <w:p w:rsidR="00BB7EDA" w:rsidRDefault="007D72B3">
      <w:pPr>
        <w:pStyle w:val="Bodytext100"/>
        <w:numPr>
          <w:ilvl w:val="3"/>
          <w:numId w:val="126"/>
        </w:numPr>
        <w:shd w:val="clear" w:color="auto" w:fill="auto"/>
        <w:tabs>
          <w:tab w:val="left" w:pos="654"/>
        </w:tabs>
        <w:spacing w:before="0"/>
        <w:ind w:right="160" w:firstLine="0"/>
      </w:pPr>
      <w:r>
        <w:t xml:space="preserve">Entwicklungsmöglichkeiten im Bereich der Lexik und </w:t>
      </w:r>
      <w:r>
        <w:t>der Semantik</w:t>
      </w:r>
    </w:p>
    <w:p w:rsidR="00BB7EDA" w:rsidRDefault="007D72B3">
      <w:pPr>
        <w:pStyle w:val="Bodytext20"/>
        <w:shd w:val="clear" w:color="auto" w:fill="auto"/>
        <w:spacing w:before="0" w:line="226" w:lineRule="exact"/>
      </w:pPr>
      <w:r>
        <w:t xml:space="preserve">Aus der Sicht der Bibel sind menschliche Sprachen Systeme, die zwar einerseits durch Schöpfung vorgegeben sind, jedoch durch ihren flexiblen offenen Charakter Möglichkeiten zur kulturellen Entwicklung enthalten. Dies gilt insbesondere in der </w:t>
      </w:r>
      <w:r>
        <w:rPr>
          <w:rStyle w:val="Bodytext2Italic0"/>
        </w:rPr>
        <w:t>L</w:t>
      </w:r>
      <w:r>
        <w:rPr>
          <w:rStyle w:val="Bodytext2Italic0"/>
        </w:rPr>
        <w:t>exik</w:t>
      </w:r>
      <w:r>
        <w:t xml:space="preserve"> und in der </w:t>
      </w:r>
      <w:r>
        <w:rPr>
          <w:rStyle w:val="Bodytext2Italic0"/>
        </w:rPr>
        <w:t>Syntax.</w:t>
      </w:r>
    </w:p>
    <w:p w:rsidR="00BB7EDA" w:rsidRDefault="007D72B3">
      <w:pPr>
        <w:pStyle w:val="Bodytext20"/>
        <w:shd w:val="clear" w:color="auto" w:fill="auto"/>
        <w:spacing w:before="0" w:line="226" w:lineRule="exact"/>
        <w:ind w:firstLine="320"/>
      </w:pPr>
      <w:r>
        <w:t>Es ist somit denkbar, dass im Bereich des Vokabulars je nach</w:t>
      </w:r>
      <w:r>
        <w:softHyphen/>
        <w:t>dem mit großen Fortschritten zu rechnen ist, da der Mensch gemäß Gen 2 prinzipiell zur Bildung von neuen Wörtern (Neolo</w:t>
      </w:r>
      <w:r>
        <w:softHyphen/>
        <w:t>gismen) befähigt worden ist. Allgemein kann sogar g</w:t>
      </w:r>
      <w:r>
        <w:t>esagt wer</w:t>
      </w:r>
      <w:r>
        <w:softHyphen/>
        <w:t xml:space="preserve">den, dass damit genereil im Bereich der </w:t>
      </w:r>
      <w:r>
        <w:rPr>
          <w:rStyle w:val="Bodytext2Italic0"/>
        </w:rPr>
        <w:t>Semantik,</w:t>
      </w:r>
      <w:r>
        <w:t xml:space="preserve"> Verfeinerun</w:t>
      </w:r>
      <w:r>
        <w:softHyphen/>
        <w:t>gen, Bereicherungen und Aufwärtsentwicklungen durchaus er</w:t>
      </w:r>
      <w:r>
        <w:softHyphen/>
        <w:t>wartet werden können - immer unter der Bedingung, dass sich eine bestimmte Sprachgruppe auch wirklich darum bemüht hat. Dies i</w:t>
      </w:r>
      <w:r>
        <w:t>st aber nicht zwingend. Wenn eine Sprachgruppe ihren durch Gen 1,28 begründeten Kulturauftrag in diesem Bereich vernachlässigt hat, könnte man auch mit Verarmung bzw. Ab</w:t>
      </w:r>
      <w:r>
        <w:softHyphen/>
        <w:t>wärtsentwicklung rechnen.</w:t>
      </w:r>
    </w:p>
    <w:p w:rsidR="00BB7EDA" w:rsidRDefault="007D72B3">
      <w:pPr>
        <w:pStyle w:val="Bodytext20"/>
        <w:shd w:val="clear" w:color="auto" w:fill="auto"/>
        <w:spacing w:before="0" w:line="226" w:lineRule="exact"/>
        <w:ind w:firstLine="320"/>
      </w:pPr>
      <w:r>
        <w:t>Wir haben gesehen, dass der Mensch gemäß Gen 2 von Anfang an</w:t>
      </w:r>
      <w:r>
        <w:t xml:space="preserve"> mit poetischen Fähigkeiten ausgerüstet worden ist. Dabei haben wir festgestellt, dass diese Fähigkeiten zu einem gewichtigen Teil durch eine künstlerisch-kreative Wirksamkeit im Bereich der </w:t>
      </w:r>
      <w:r>
        <w:rPr>
          <w:rStyle w:val="Bodytext2Italic0"/>
        </w:rPr>
        <w:t>Syn</w:t>
      </w:r>
      <w:r>
        <w:rPr>
          <w:rStyle w:val="Bodytext2Italic0"/>
        </w:rPr>
        <w:softHyphen/>
        <w:t>tax</w:t>
      </w:r>
      <w:r>
        <w:t xml:space="preserve"> zum Ausdruck kommen. Daher muss man erwarten, dass im Ver</w:t>
      </w:r>
      <w:r>
        <w:t>lauf der Geschichte einer bestimmten Sprache, unter Umstän</w:t>
      </w:r>
      <w:r>
        <w:softHyphen/>
        <w:t>den - auch hier gilt: falls eine Sprachgruppe ihren Kulturauftrag erfüllt hat - bereichernde Entwicklungen auf der Ebene der Syntax festgestellt werden könnten.</w:t>
      </w:r>
    </w:p>
    <w:p w:rsidR="00BB7EDA" w:rsidRDefault="007D72B3">
      <w:pPr>
        <w:pStyle w:val="Bodytext20"/>
        <w:shd w:val="clear" w:color="auto" w:fill="auto"/>
        <w:spacing w:before="0" w:after="184"/>
        <w:ind w:firstLine="320"/>
      </w:pPr>
      <w:r>
        <w:t>Im den Domänen der Semantik und Synt</w:t>
      </w:r>
      <w:r>
        <w:t>ax sind also nebst Abwärtsentwicklungen unter Umständen auch bedeutende Auf</w:t>
      </w:r>
      <w:r>
        <w:softHyphen/>
        <w:t>wärtsentwicklungen zu erwarten.</w:t>
      </w:r>
    </w:p>
    <w:p w:rsidR="00BB7EDA" w:rsidRDefault="007D72B3">
      <w:pPr>
        <w:pStyle w:val="Bodytext20"/>
        <w:numPr>
          <w:ilvl w:val="3"/>
          <w:numId w:val="126"/>
        </w:numPr>
        <w:shd w:val="clear" w:color="auto" w:fill="auto"/>
        <w:tabs>
          <w:tab w:val="left" w:pos="658"/>
        </w:tabs>
        <w:spacing w:before="0" w:line="226" w:lineRule="exact"/>
      </w:pPr>
      <w:r>
        <w:rPr>
          <w:rStyle w:val="Bodytext2Italic0"/>
        </w:rPr>
        <w:t xml:space="preserve">Zerfallserscheinungen auf dem Gebiet der Formenlehre </w:t>
      </w:r>
      <w:r>
        <w:t>Es bleiben nun noch die beiden untersten Ebenen des Sprachsy</w:t>
      </w:r>
      <w:r>
        <w:softHyphen/>
        <w:t>stems, wenn wir, wie bereits frühe</w:t>
      </w:r>
      <w:r>
        <w:t>r dargelegt, in unserem Zusam</w:t>
      </w:r>
      <w:r>
        <w:softHyphen/>
        <w:t xml:space="preserve">menhang von der Graphemik absehen: die </w:t>
      </w:r>
      <w:r>
        <w:rPr>
          <w:rStyle w:val="Bodytext2Italic0"/>
        </w:rPr>
        <w:t>Morphologie</w:t>
      </w:r>
      <w:r>
        <w:t xml:space="preserve"> und die </w:t>
      </w:r>
      <w:r>
        <w:rPr>
          <w:rStyle w:val="Bodytext2Italic0"/>
        </w:rPr>
        <w:t>Phonologie.</w:t>
      </w:r>
      <w:r>
        <w:t xml:space="preserve"> Bereits an früherer Stelle haben wir jedoch gesehen, dass die Phonologie für die Frage von Evolution bzw. Devolution nicht viel bringt, da man eine Redukti</w:t>
      </w:r>
      <w:r>
        <w:t>on bzw. eine Zunahme, je nach Betrachtungsstandpunkt, so oder so deuten kann.</w:t>
      </w:r>
      <w:r>
        <w:rPr>
          <w:vertAlign w:val="superscript"/>
        </w:rPr>
        <w:footnoteReference w:id="285"/>
      </w:r>
      <w:r>
        <w:t xml:space="preserve"> So bleibt uns nun noch die Ebene der Morphologie. Dieser Bereich entzieht sich (wie die Phonologie) in besonderem Maße dem kreativen Umgang mit der Sprache. Wer käme denn schon auf den Gedanken z.B. im Deutschen urplötzlich eine neue Fallform, eine neue Z</w:t>
      </w:r>
      <w:r>
        <w:t>eitform oder Morpheme eines neuen Aspekts einzuführen? Speziell im Bereich der Formenlehre ist mit der Möglichkeit von Zerfallserscheinungen im Lauf ihrer Geschichte zu rechnen!</w:t>
      </w:r>
    </w:p>
    <w:p w:rsidR="00BB7EDA" w:rsidRDefault="007D72B3">
      <w:pPr>
        <w:pStyle w:val="Bodytext20"/>
        <w:shd w:val="clear" w:color="auto" w:fill="auto"/>
        <w:spacing w:before="0" w:after="176" w:line="226" w:lineRule="exact"/>
        <w:ind w:firstLine="320"/>
      </w:pPr>
      <w:r>
        <w:t>Dies erklärt sich aus folgenden biblisch-theologischen Überle</w:t>
      </w:r>
      <w:r>
        <w:softHyphen/>
        <w:t>gungen: Gemäß Rö</w:t>
      </w:r>
      <w:r>
        <w:t>m 8,20 ist die ganze (!) Natur (durch den Sünden</w:t>
      </w:r>
      <w:r>
        <w:softHyphen/>
        <w:t>fall Adams) dem Gesetz des Zerfalls anheim gestellt worden. Es heißt dort:</w:t>
      </w:r>
    </w:p>
    <w:p w:rsidR="00BB7EDA" w:rsidRDefault="007D72B3">
      <w:pPr>
        <w:pStyle w:val="Bodytext20"/>
        <w:shd w:val="clear" w:color="auto" w:fill="auto"/>
        <w:spacing w:before="0" w:after="180"/>
        <w:ind w:left="320" w:right="300"/>
      </w:pPr>
      <w:r>
        <w:t>„Denn die Schöpfung ist der Vergänglichkeit unterworfen worden..."</w:t>
      </w:r>
    </w:p>
    <w:p w:rsidR="00BB7EDA" w:rsidRDefault="007D72B3">
      <w:pPr>
        <w:pStyle w:val="Bodytext20"/>
        <w:shd w:val="clear" w:color="auto" w:fill="auto"/>
        <w:spacing w:before="0" w:after="184"/>
        <w:ind w:firstLine="320"/>
      </w:pPr>
      <w:r>
        <w:t xml:space="preserve">Mit anderen Worten wird dieses Prinzip im Hebräerbrief durch ein </w:t>
      </w:r>
      <w:r>
        <w:t>Zitat aus den Psalmen</w:t>
      </w:r>
      <w:r>
        <w:rPr>
          <w:vertAlign w:val="superscript"/>
        </w:rPr>
        <w:footnoteReference w:id="286"/>
      </w:r>
      <w:r>
        <w:t xml:space="preserve"> umschrieben (Heb 1,10-12):</w:t>
      </w:r>
    </w:p>
    <w:p w:rsidR="00BB7EDA" w:rsidRDefault="007D72B3">
      <w:pPr>
        <w:pStyle w:val="Bodytext20"/>
        <w:shd w:val="clear" w:color="auto" w:fill="auto"/>
        <w:spacing w:before="0" w:line="226" w:lineRule="exact"/>
        <w:ind w:left="320" w:right="300"/>
        <w:sectPr w:rsidR="00BB7EDA">
          <w:footerReference w:type="even" r:id="rId78"/>
          <w:footerReference w:type="default" r:id="rId79"/>
          <w:headerReference w:type="first" r:id="rId80"/>
          <w:footerReference w:type="first" r:id="rId81"/>
          <w:pgSz w:w="7266" w:h="11422"/>
          <w:pgMar w:top="781" w:right="775" w:bottom="1134" w:left="812" w:header="0" w:footer="3" w:gutter="0"/>
          <w:cols w:space="720"/>
          <w:noEndnote/>
          <w:titlePg/>
          <w:docGrid w:linePitch="360"/>
        </w:sectPr>
      </w:pPr>
      <w:r>
        <w:t>„[10]... Du, Herr, hast im Anfang die Erde gegründet, und die Himmel sind Werke deiner Hände; [11] sie werden unterge</w:t>
      </w:r>
      <w:r>
        <w:softHyphen/>
        <w:t>hen,</w:t>
      </w:r>
      <w:r>
        <w:t xml:space="preserve"> du aber bleibst; und sie alle werden veralten wie ein</w:t>
      </w:r>
    </w:p>
    <w:p w:rsidR="00BB7EDA" w:rsidRDefault="007D72B3">
      <w:pPr>
        <w:pStyle w:val="Bodytext20"/>
        <w:shd w:val="clear" w:color="auto" w:fill="auto"/>
        <w:spacing w:before="0" w:after="176" w:line="226" w:lineRule="exact"/>
        <w:ind w:left="320" w:right="300"/>
      </w:pPr>
      <w:r>
        <w:t>Kleid, [12] und wie ein Gewand wirst du sie zusammenwik- keln, und sie werden verwandelt werden. Du aber bist dersel</w:t>
      </w:r>
      <w:r>
        <w:softHyphen/>
        <w:t>be, und deine Jahre werden nicht vergehen."</w:t>
      </w:r>
      <w:r>
        <w:rPr>
          <w:vertAlign w:val="superscript"/>
        </w:rPr>
        <w:footnoteReference w:id="287"/>
      </w:r>
    </w:p>
    <w:p w:rsidR="00BB7EDA" w:rsidRDefault="007D72B3">
      <w:pPr>
        <w:pStyle w:val="Bodytext20"/>
        <w:shd w:val="clear" w:color="auto" w:fill="auto"/>
        <w:spacing w:before="0" w:after="180"/>
        <w:ind w:firstLine="320"/>
      </w:pPr>
      <w:r>
        <w:t xml:space="preserve">Diesem allgemeinen Gesetz des Zerfalls </w:t>
      </w:r>
      <w:r>
        <w:t>stellt sich zwar in gewis</w:t>
      </w:r>
      <w:r>
        <w:softHyphen/>
        <w:t>sen Bereichen das Potenzial zur kreativen Kulturentwicklung als Gegenpol entgegen, doch in den Bereichen, die sich dem kreativen Zugriff entziehen oder zumindest weitgehend entziehen, müsste mit der Möglichkeit gerechnet werden, d</w:t>
      </w:r>
      <w:r>
        <w:t>ass durch das Gesetz der Vergänglichkeit bedingte Spuren feststellbar sind.</w:t>
      </w:r>
    </w:p>
    <w:p w:rsidR="00BB7EDA" w:rsidRDefault="007D72B3">
      <w:pPr>
        <w:pStyle w:val="Bodytext20"/>
        <w:numPr>
          <w:ilvl w:val="3"/>
          <w:numId w:val="126"/>
        </w:numPr>
        <w:shd w:val="clear" w:color="auto" w:fill="auto"/>
        <w:tabs>
          <w:tab w:val="left" w:pos="668"/>
        </w:tabs>
        <w:spacing w:before="0" w:after="436"/>
      </w:pPr>
      <w:r>
        <w:rPr>
          <w:rStyle w:val="Bodytext285ptBoldItalic"/>
        </w:rPr>
        <w:t xml:space="preserve">Der ergiebigste Bereich: Die Formenlehre </w:t>
      </w:r>
      <w:r>
        <w:t>Die Erwartungen aus den Standpunkten der Evolution und der Bibel können sich in den Bereichen der Lexik, der Semantik und der Syntax durcha</w:t>
      </w:r>
      <w:r>
        <w:t>us decken. Somit sind diese Domänen nicht so sehr geeignet, um die beiden Standpunkte gegeneinander auszuspielen. Aus ande</w:t>
      </w:r>
      <w:r>
        <w:softHyphen/>
        <w:t xml:space="preserve">ren, bereits genannten Gründen, gilt dies auch für die Phonologie. Dafür kann insbesondere </w:t>
      </w:r>
      <w:r>
        <w:rPr>
          <w:rStyle w:val="Bodytext2Italic0"/>
        </w:rPr>
        <w:t>der Bereich der Formenlehre</w:t>
      </w:r>
      <w:r>
        <w:t xml:space="preserve"> sehr gut verwe</w:t>
      </w:r>
      <w:r>
        <w:t>n</w:t>
      </w:r>
      <w:r>
        <w:softHyphen/>
        <w:t>det werden, um die jeweiligen Voraussagen zu überprüfen.</w:t>
      </w:r>
    </w:p>
    <w:p w:rsidR="00BB7EDA" w:rsidRDefault="007D72B3">
      <w:pPr>
        <w:pStyle w:val="Heading40"/>
        <w:keepNext/>
        <w:keepLines/>
        <w:numPr>
          <w:ilvl w:val="1"/>
          <w:numId w:val="126"/>
        </w:numPr>
        <w:shd w:val="clear" w:color="auto" w:fill="auto"/>
        <w:tabs>
          <w:tab w:val="left" w:pos="404"/>
        </w:tabs>
        <w:spacing w:after="177" w:line="210" w:lineRule="exact"/>
        <w:ind w:left="320" w:hanging="320"/>
      </w:pPr>
      <w:bookmarkStart w:id="69" w:name="bookmark68"/>
      <w:r>
        <w:t>Zusammenfassung</w:t>
      </w:r>
      <w:bookmarkEnd w:id="69"/>
    </w:p>
    <w:p w:rsidR="00BB7EDA" w:rsidRDefault="007D72B3">
      <w:pPr>
        <w:pStyle w:val="Bodytext20"/>
        <w:shd w:val="clear" w:color="auto" w:fill="auto"/>
        <w:spacing w:before="0" w:after="220"/>
      </w:pPr>
      <w:r>
        <w:t>Der Übersichtlichkeit halber stelle ich die in diesem Kapitel erarbei</w:t>
      </w:r>
      <w:r>
        <w:softHyphen/>
        <w:t>teten Deduktionen in geraffter Form für jeden Standpunkt noch einmal zusammen:</w:t>
      </w:r>
    </w:p>
    <w:p w:rsidR="00BB7EDA" w:rsidRDefault="007D72B3">
      <w:pPr>
        <w:pStyle w:val="Heading50"/>
        <w:keepNext/>
        <w:keepLines/>
        <w:numPr>
          <w:ilvl w:val="2"/>
          <w:numId w:val="126"/>
        </w:numPr>
        <w:shd w:val="clear" w:color="auto" w:fill="auto"/>
        <w:tabs>
          <w:tab w:val="left" w:pos="500"/>
        </w:tabs>
        <w:spacing w:after="163" w:line="180" w:lineRule="exact"/>
        <w:ind w:left="320" w:hanging="320"/>
      </w:pPr>
      <w:bookmarkStart w:id="70" w:name="bookmark69"/>
      <w:r>
        <w:t xml:space="preserve">Deduktionen aus den </w:t>
      </w:r>
      <w:r>
        <w:t>evolutionistischen Aussagen</w:t>
      </w:r>
      <w:bookmarkEnd w:id="70"/>
    </w:p>
    <w:p w:rsidR="00BB7EDA" w:rsidRDefault="007D72B3">
      <w:pPr>
        <w:pStyle w:val="Bodytext20"/>
        <w:numPr>
          <w:ilvl w:val="0"/>
          <w:numId w:val="131"/>
        </w:numPr>
        <w:shd w:val="clear" w:color="auto" w:fill="auto"/>
        <w:tabs>
          <w:tab w:val="left" w:pos="331"/>
        </w:tabs>
        <w:spacing w:before="0" w:after="56" w:line="226" w:lineRule="exact"/>
        <w:ind w:left="320" w:hanging="320"/>
      </w:pPr>
      <w:r>
        <w:t>Aus der Sicht der Evolutionslehre müsste man logischerweise erwarten, dass die ältesten Sprachen der Welt im Vergleich zu den modernen Sprachen der hoch zivilisierten Staaten abendlän</w:t>
      </w:r>
      <w:r>
        <w:softHyphen/>
        <w:t xml:space="preserve">discher Kultur bedeutend </w:t>
      </w:r>
      <w:r>
        <w:rPr>
          <w:rStyle w:val="Bodytext2Italic0"/>
        </w:rPr>
        <w:t>primitiver</w:t>
      </w:r>
      <w:r>
        <w:t xml:space="preserve"> waren, u</w:t>
      </w:r>
      <w:r>
        <w:t xml:space="preserve">nd zwar auf </w:t>
      </w:r>
      <w:r>
        <w:rPr>
          <w:rStyle w:val="Bodytext2Italic0"/>
        </w:rPr>
        <w:t xml:space="preserve">allen </w:t>
      </w:r>
      <w:r>
        <w:t>Ebenen der Langue.</w:t>
      </w:r>
    </w:p>
    <w:p w:rsidR="00BB7EDA" w:rsidRDefault="007D72B3">
      <w:pPr>
        <w:pStyle w:val="Bodytext20"/>
        <w:numPr>
          <w:ilvl w:val="0"/>
          <w:numId w:val="131"/>
        </w:numPr>
        <w:shd w:val="clear" w:color="auto" w:fill="auto"/>
        <w:tabs>
          <w:tab w:val="left" w:pos="331"/>
        </w:tabs>
        <w:spacing w:before="0"/>
        <w:ind w:left="320" w:hanging="320"/>
      </w:pPr>
      <w:r>
        <w:t>Der Standpunkt des Darwinismus legt nahe, dass die Sprachen der Stämme und Volksgruppen auf tieferer Zivilisationsstufe im Vergleich mit den Sprachen der modernen Hochkulturen (be</w:t>
      </w:r>
      <w:r>
        <w:softHyphen/>
        <w:t xml:space="preserve">deutend) </w:t>
      </w:r>
      <w:r>
        <w:rPr>
          <w:rStyle w:val="Bodytext2Italic0"/>
        </w:rPr>
        <w:t>primitiver</w:t>
      </w:r>
      <w:r>
        <w:t xml:space="preserve"> sein müssten.</w:t>
      </w:r>
    </w:p>
    <w:p w:rsidR="00BB7EDA" w:rsidRDefault="007D72B3">
      <w:pPr>
        <w:pStyle w:val="Bodytext20"/>
        <w:numPr>
          <w:ilvl w:val="0"/>
          <w:numId w:val="132"/>
        </w:numPr>
        <w:shd w:val="clear" w:color="auto" w:fill="auto"/>
        <w:tabs>
          <w:tab w:val="left" w:pos="286"/>
        </w:tabs>
        <w:spacing w:before="0" w:after="397" w:line="226" w:lineRule="exact"/>
        <w:ind w:left="320" w:hanging="320"/>
      </w:pPr>
      <w:r>
        <w:t>Folge</w:t>
      </w:r>
      <w:r>
        <w:t xml:space="preserve">richtig müsste im Lauf der Geschichte einer bestimmten Sprache eine (stete) Höherentwicklung auf </w:t>
      </w:r>
      <w:r>
        <w:rPr>
          <w:rStyle w:val="Bodytext2Italic0"/>
        </w:rPr>
        <w:t>allen</w:t>
      </w:r>
      <w:r>
        <w:t xml:space="preserve"> Ebenen des Code-Systems festgestellt werden können. Zudem sollten </w:t>
      </w:r>
      <w:r>
        <w:rPr>
          <w:rStyle w:val="Bodytext2Italic0"/>
        </w:rPr>
        <w:t>Entwicklungsmechanismen</w:t>
      </w:r>
      <w:r>
        <w:t xml:space="preserve"> gefunden werden, die eine Evolution auf </w:t>
      </w:r>
      <w:r>
        <w:rPr>
          <w:rStyle w:val="Bodytext2Italic0"/>
        </w:rPr>
        <w:t>allen</w:t>
      </w:r>
      <w:r>
        <w:t xml:space="preserve"> vier Ebenen der Langue überhaupt ermöglichen.</w:t>
      </w:r>
    </w:p>
    <w:p w:rsidR="00BB7EDA" w:rsidRDefault="007D72B3">
      <w:pPr>
        <w:pStyle w:val="Bodytext90"/>
        <w:numPr>
          <w:ilvl w:val="0"/>
          <w:numId w:val="133"/>
        </w:numPr>
        <w:shd w:val="clear" w:color="auto" w:fill="auto"/>
        <w:tabs>
          <w:tab w:val="left" w:pos="500"/>
        </w:tabs>
        <w:spacing w:after="99" w:line="180" w:lineRule="exact"/>
      </w:pPr>
      <w:r>
        <w:t>Deduktionen aus den biblischen Aussagen</w:t>
      </w:r>
    </w:p>
    <w:p w:rsidR="00BB7EDA" w:rsidRDefault="007D72B3">
      <w:pPr>
        <w:pStyle w:val="Bodytext20"/>
        <w:numPr>
          <w:ilvl w:val="0"/>
          <w:numId w:val="134"/>
        </w:numPr>
        <w:shd w:val="clear" w:color="auto" w:fill="auto"/>
        <w:tabs>
          <w:tab w:val="left" w:pos="286"/>
        </w:tabs>
        <w:spacing w:before="0" w:after="64"/>
        <w:ind w:left="320" w:hanging="320"/>
      </w:pPr>
      <w:r>
        <w:t>Die Aussagen der Bibel über den Ursprung der Sprachen zwin</w:t>
      </w:r>
      <w:r>
        <w:softHyphen/>
        <w:t xml:space="preserve">gen einen zum Schluss, dass die ältesten Sprachen der Welt strukturell </w:t>
      </w:r>
      <w:r>
        <w:rPr>
          <w:rStyle w:val="Bodytext2Italic0"/>
        </w:rPr>
        <w:t>besonders hoch stehend und komplex</w:t>
      </w:r>
      <w:r>
        <w:t xml:space="preserve"> sein müssten, da sie ja, gemäß dem Zeugnis der Heiligen Schrift in Gen 11, als Schöpfungswerk aus der Hand Gottes hervorgegangen sind und dem Zeitpunkt der Erschaffung am nächsten stehen. Was aus der Hand Gottes hervorgeht, muss, wie z.B. der Bericht in G</w:t>
      </w:r>
      <w:r>
        <w:t>en 1 bezeugt, stets sehr gut sein.</w:t>
      </w:r>
    </w:p>
    <w:p w:rsidR="00BB7EDA" w:rsidRDefault="007D72B3">
      <w:pPr>
        <w:pStyle w:val="Bodytext20"/>
        <w:numPr>
          <w:ilvl w:val="0"/>
          <w:numId w:val="134"/>
        </w:numPr>
        <w:shd w:val="clear" w:color="auto" w:fill="auto"/>
        <w:tabs>
          <w:tab w:val="left" w:pos="286"/>
        </w:tabs>
        <w:spacing w:before="0" w:after="60" w:line="226" w:lineRule="exact"/>
        <w:ind w:left="320" w:hanging="320"/>
      </w:pPr>
      <w:r>
        <w:t xml:space="preserve">Der Standpunkt der Bibel zwingt </w:t>
      </w:r>
      <w:r>
        <w:rPr>
          <w:rStyle w:val="Bodytext2Italic0"/>
        </w:rPr>
        <w:t>nicht</w:t>
      </w:r>
      <w:r>
        <w:t xml:space="preserve"> zur Annahme, dass die Sprachsysteme (Langues) von Eingeborenen-Völker </w:t>
      </w:r>
      <w:r>
        <w:rPr>
          <w:rStyle w:val="Bodytext2Italic0"/>
        </w:rPr>
        <w:t xml:space="preserve">primitiver </w:t>
      </w:r>
      <w:r>
        <w:t>sein müssten als die Sprachen der so genannten Hochkulturen. Ihre Sprachen sind der Heiligen Schrift z</w:t>
      </w:r>
      <w:r>
        <w:t>ufolge genauso aus der Schöpferhand Gottes hervorgegangen, wie die Sprachen der hoch zivilisierten Nationen.</w:t>
      </w:r>
    </w:p>
    <w:p w:rsidR="00BB7EDA" w:rsidRDefault="007D72B3">
      <w:pPr>
        <w:pStyle w:val="Bodytext20"/>
        <w:numPr>
          <w:ilvl w:val="0"/>
          <w:numId w:val="134"/>
        </w:numPr>
        <w:shd w:val="clear" w:color="auto" w:fill="auto"/>
        <w:tabs>
          <w:tab w:val="left" w:pos="286"/>
        </w:tabs>
        <w:spacing w:before="0" w:after="180" w:line="226" w:lineRule="exact"/>
        <w:ind w:left="320" w:hanging="320"/>
      </w:pPr>
      <w:r>
        <w:t>Es ist damit zu rechnen, dass eine Sprache im Laufe ihrer Ge</w:t>
      </w:r>
      <w:r>
        <w:softHyphen/>
        <w:t>schichte insbesondere in den Bereichen, die sich dem kreativen Zugriff des Menschen en</w:t>
      </w:r>
      <w:r>
        <w:t>tziehen (</w:t>
      </w:r>
      <w:r>
        <w:rPr>
          <w:rStyle w:val="Bodytext2Italic0"/>
        </w:rPr>
        <w:t>Formenlehre</w:t>
      </w:r>
      <w:r>
        <w:t xml:space="preserve">), </w:t>
      </w:r>
      <w:r>
        <w:rPr>
          <w:rStyle w:val="Bodytext2Italic0"/>
        </w:rPr>
        <w:t>Zerfallserschei</w:t>
      </w:r>
      <w:r>
        <w:rPr>
          <w:rStyle w:val="Bodytext2Italic0"/>
        </w:rPr>
        <w:softHyphen/>
        <w:t>nungen</w:t>
      </w:r>
      <w:r>
        <w:t xml:space="preserve"> unterliegt, weil die Schöpfung gemäß Röm 8,20 durch den Sündenfall der Vergänglichkeit anheim gestellt worden ist. In den Bereichen wie </w:t>
      </w:r>
      <w:r>
        <w:rPr>
          <w:rStyle w:val="Bodytext2Italic0"/>
        </w:rPr>
        <w:t>Lexik, Syntax</w:t>
      </w:r>
      <w:r>
        <w:t xml:space="preserve"> und </w:t>
      </w:r>
      <w:r>
        <w:rPr>
          <w:rStyle w:val="Bodytext2Italic0"/>
        </w:rPr>
        <w:t>Semantik</w:t>
      </w:r>
      <w:r>
        <w:t xml:space="preserve"> ist </w:t>
      </w:r>
      <w:r>
        <w:rPr>
          <w:rStyle w:val="Bodytext2Italic0"/>
        </w:rPr>
        <w:t>auch</w:t>
      </w:r>
      <w:r>
        <w:t xml:space="preserve"> mit </w:t>
      </w:r>
      <w:r>
        <w:rPr>
          <w:rStyle w:val="Bodytext2Italic0"/>
        </w:rPr>
        <w:t>Aufwärtsentwicklungen</w:t>
      </w:r>
      <w:r>
        <w:t xml:space="preserve"> zu rechnen, </w:t>
      </w:r>
      <w:r>
        <w:t>da der Mensch in diesen Sphä</w:t>
      </w:r>
      <w:r>
        <w:softHyphen/>
        <w:t>ren kreativ veranlagt ist, und auf diese Weise dort dem Zerfall</w:t>
      </w:r>
      <w:r>
        <w:softHyphen/>
        <w:t>gesetz entgegenwirken kann.</w:t>
      </w:r>
    </w:p>
    <w:p w:rsidR="00BB7EDA" w:rsidRDefault="007D72B3">
      <w:pPr>
        <w:pStyle w:val="Bodytext20"/>
        <w:shd w:val="clear" w:color="auto" w:fill="auto"/>
        <w:spacing w:before="0" w:line="226" w:lineRule="exact"/>
        <w:sectPr w:rsidR="00BB7EDA">
          <w:footerReference w:type="even" r:id="rId82"/>
          <w:footerReference w:type="default" r:id="rId83"/>
          <w:footerReference w:type="first" r:id="rId84"/>
          <w:pgSz w:w="7266" w:h="11422"/>
          <w:pgMar w:top="781" w:right="775" w:bottom="1134" w:left="812" w:header="0" w:footer="3" w:gutter="0"/>
          <w:cols w:space="720"/>
          <w:noEndnote/>
          <w:titlePg/>
          <w:docGrid w:linePitch="360"/>
        </w:sectPr>
      </w:pPr>
      <w:r>
        <w:t>In den folgenden drei Kapiteln wollen wir nun die be</w:t>
      </w:r>
      <w:r>
        <w:t>iden einander entgegengesetzten Standpunkte im Rahmen dreier Untersuchun</w:t>
      </w:r>
      <w:r>
        <w:softHyphen/>
        <w:t>gen einem Test unterziehen. Im Anschluss werden wir aus den daraus resultierenden Ergebnissen Folgerungen ziehen.</w:t>
      </w:r>
    </w:p>
    <w:p w:rsidR="00BB7EDA" w:rsidRDefault="007D72B3">
      <w:pPr>
        <w:spacing w:line="360" w:lineRule="exact"/>
      </w:pPr>
      <w:r>
        <w:pict>
          <v:shape id="_x0000_s1098" type="#_x0000_t202" style="position:absolute;margin-left:.3pt;margin-top:.1pt;width:4.1pt;height:14.3pt;z-index:251657728;mso-wrap-distance-left:5pt;mso-wrap-distance-right:5pt;mso-position-horizontal-relative:margin" filled="f" stroked="f">
            <v:textbox style="mso-fit-shape-to-text:t" inset="0,0,0,0">
              <w:txbxContent>
                <w:p w:rsidR="00BB7EDA" w:rsidRDefault="00BB7EDA"/>
              </w:txbxContent>
            </v:textbox>
            <w10:wrap anchorx="margin"/>
          </v:shape>
        </w:pict>
      </w:r>
      <w:r>
        <w:pict>
          <v:shape id="_x0000_s1099" type="#_x0000_t202" style="position:absolute;margin-left:-3.55pt;margin-top:129.85pt;width:4.1pt;height:15.5pt;z-index:251657729;mso-wrap-distance-left:5pt;mso-wrap-distance-right:5pt;mso-position-horizontal-relative:margin" filled="f" stroked="f">
            <v:textbox style="mso-fit-shape-to-text:t" inset="0,0,0,0">
              <w:txbxContent>
                <w:p w:rsidR="00BB7EDA" w:rsidRDefault="00BB7EDA"/>
              </w:txbxContent>
            </v:textbox>
            <w10:wrap anchorx="margin"/>
          </v:shape>
        </w:pict>
      </w:r>
      <w:r>
        <w:pict>
          <v:shape id="_x0000_s1100" type="#_x0000_t202" style="position:absolute;margin-left:-3.55pt;margin-top:148.8pt;width:4.1pt;height:23.15pt;z-index:251657730;mso-wrap-distance-left:5pt;mso-wrap-distance-right:5pt;mso-position-horizontal-relative:margin" filled="f" stroked="f">
            <v:textbox style="mso-fit-shape-to-text:t" inset="0,0,0,0">
              <w:txbxContent>
                <w:p w:rsidR="00BB7EDA" w:rsidRDefault="00BB7EDA"/>
              </w:txbxContent>
            </v:textbox>
            <w10:wrap anchorx="margin"/>
          </v:shape>
        </w:pict>
      </w: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415" w:lineRule="exact"/>
      </w:pPr>
    </w:p>
    <w:p w:rsidR="00BB7EDA" w:rsidRDefault="00BB7EDA">
      <w:pPr>
        <w:rPr>
          <w:sz w:val="2"/>
          <w:szCs w:val="2"/>
        </w:rPr>
        <w:sectPr w:rsidR="00BB7EDA">
          <w:pgSz w:w="7266" w:h="11422"/>
          <w:pgMar w:top="3358" w:right="6911" w:bottom="3358" w:left="196" w:header="0" w:footer="3" w:gutter="0"/>
          <w:cols w:space="720"/>
          <w:noEndnote/>
          <w:docGrid w:linePitch="360"/>
        </w:sectPr>
      </w:pPr>
    </w:p>
    <w:p w:rsidR="00BB7EDA" w:rsidRDefault="007D72B3">
      <w:pPr>
        <w:pStyle w:val="Heading30"/>
        <w:keepNext/>
        <w:keepLines/>
        <w:numPr>
          <w:ilvl w:val="0"/>
          <w:numId w:val="135"/>
        </w:numPr>
        <w:shd w:val="clear" w:color="auto" w:fill="auto"/>
        <w:tabs>
          <w:tab w:val="left" w:pos="322"/>
        </w:tabs>
        <w:spacing w:after="448" w:line="336" w:lineRule="exact"/>
        <w:jc w:val="left"/>
      </w:pPr>
      <w:bookmarkStart w:id="71" w:name="bookmark70"/>
      <w:r>
        <w:t xml:space="preserve">Erste Untersuchung: Die </w:t>
      </w:r>
      <w:r>
        <w:t>ältesten Sprachen der Welt</w:t>
      </w:r>
      <w:bookmarkEnd w:id="71"/>
    </w:p>
    <w:p w:rsidR="00BB7EDA" w:rsidRDefault="007D72B3">
      <w:pPr>
        <w:pStyle w:val="Bodytext20"/>
        <w:shd w:val="clear" w:color="auto" w:fill="auto"/>
        <w:spacing w:before="0" w:line="226" w:lineRule="exact"/>
      </w:pPr>
      <w:r>
        <w:t>Die ältesten drei der heute bekannten Sprachen sind das Sumerische, das Ägyptische und das Akkadische.</w:t>
      </w:r>
    </w:p>
    <w:p w:rsidR="00BB7EDA" w:rsidRDefault="007D72B3">
      <w:pPr>
        <w:pStyle w:val="Bodytext20"/>
        <w:shd w:val="clear" w:color="auto" w:fill="auto"/>
        <w:spacing w:before="0" w:line="226" w:lineRule="exact"/>
        <w:ind w:firstLine="320"/>
      </w:pPr>
      <w:r>
        <w:t xml:space="preserve">Die allerfrühesten erhaltenen und entzifferten Sprachzeugnisse sind auf Sumerisch abgefasst. Sie führen uns - gemäß </w:t>
      </w:r>
      <w:r>
        <w:t>traditioneller archäologischer Datierung</w:t>
      </w:r>
      <w:r>
        <w:rPr>
          <w:vertAlign w:val="superscript"/>
        </w:rPr>
        <w:footnoteReference w:id="288"/>
      </w:r>
      <w:r>
        <w:t xml:space="preserve"> - in die Zeit um ca. 3100 v. Chr. zurück. Es ist somit möglich, anhand des heute zugänglichen Faktenmaterials viele Jahrtausende in die Vergangenheit der Sprachgeschichte zu</w:t>
      </w:r>
      <w:r>
        <w:softHyphen/>
        <w:t>rückzugehen.</w:t>
      </w:r>
    </w:p>
    <w:p w:rsidR="00BB7EDA" w:rsidRDefault="007D72B3">
      <w:pPr>
        <w:pStyle w:val="Bodytext20"/>
        <w:shd w:val="clear" w:color="auto" w:fill="auto"/>
        <w:spacing w:before="0" w:line="226" w:lineRule="exact"/>
        <w:ind w:firstLine="320"/>
      </w:pPr>
      <w:r>
        <w:t xml:space="preserve">Es stellt sich uns nun die </w:t>
      </w:r>
      <w:r>
        <w:t>Frage, ob die ältesten Sprachen der Welt im Vergleich zu den modernen Sprachen des 3. nachchristlichen Millenniums besonders primitiv und einfach oder äußerst komplex und hochstehend sind.</w:t>
      </w:r>
    </w:p>
    <w:p w:rsidR="00BB7EDA" w:rsidRDefault="007D72B3">
      <w:pPr>
        <w:pStyle w:val="Bodytext20"/>
        <w:shd w:val="clear" w:color="auto" w:fill="auto"/>
        <w:spacing w:before="0" w:line="226" w:lineRule="exact"/>
        <w:ind w:firstLine="320"/>
      </w:pPr>
      <w:r>
        <w:t xml:space="preserve">Wir werden dies im Folgenden insbesondere im </w:t>
      </w:r>
      <w:r>
        <w:rPr>
          <w:rStyle w:val="Bodytext2Italic0"/>
        </w:rPr>
        <w:t>Bereich der For</w:t>
      </w:r>
      <w:r>
        <w:rPr>
          <w:rStyle w:val="Bodytext2Italic0"/>
        </w:rPr>
        <w:softHyphen/>
        <w:t>menleh</w:t>
      </w:r>
      <w:r>
        <w:rPr>
          <w:rStyle w:val="Bodytext2Italic0"/>
        </w:rPr>
        <w:t>re</w:t>
      </w:r>
      <w:r>
        <w:t xml:space="preserve"> untersuchen, dies im vollen Wissen darum, dass die vier verschiedenen Ebenen des Sprachsystems damit eng verzahnt sind. Schon allein die Betrachtung der Formenlehre wird sich für unsere Untersuchung als äußerst aufschlussreich erweisen.</w:t>
      </w:r>
    </w:p>
    <w:p w:rsidR="00BB7EDA" w:rsidRDefault="007D72B3">
      <w:pPr>
        <w:pStyle w:val="Bodytext20"/>
        <w:shd w:val="clear" w:color="auto" w:fill="auto"/>
        <w:spacing w:before="0" w:after="397" w:line="226" w:lineRule="exact"/>
        <w:ind w:firstLine="320"/>
      </w:pPr>
      <w:r>
        <w:t>Anschauliche Dat</w:t>
      </w:r>
      <w:r>
        <w:t>en können besonders dem Nominal und dem Verbalsystem entnommen werden.</w:t>
      </w:r>
    </w:p>
    <w:p w:rsidR="00BB7EDA" w:rsidRDefault="007D72B3">
      <w:pPr>
        <w:pStyle w:val="Bodytext90"/>
        <w:numPr>
          <w:ilvl w:val="1"/>
          <w:numId w:val="135"/>
        </w:numPr>
        <w:shd w:val="clear" w:color="auto" w:fill="auto"/>
        <w:tabs>
          <w:tab w:val="left" w:pos="356"/>
        </w:tabs>
        <w:spacing w:after="187" w:line="180" w:lineRule="exact"/>
      </w:pPr>
      <w:r>
        <w:t>Das Sumerische</w:t>
      </w:r>
    </w:p>
    <w:p w:rsidR="00BB7EDA" w:rsidRDefault="007D72B3">
      <w:pPr>
        <w:pStyle w:val="Bodytext20"/>
        <w:shd w:val="clear" w:color="auto" w:fill="auto"/>
        <w:spacing w:before="0" w:line="226" w:lineRule="exact"/>
        <w:sectPr w:rsidR="00BB7EDA">
          <w:pgSz w:w="7266" w:h="11422"/>
          <w:pgMar w:top="786" w:right="754" w:bottom="1115" w:left="876" w:header="0" w:footer="3" w:gutter="0"/>
          <w:cols w:space="720"/>
          <w:noEndnote/>
          <w:docGrid w:linePitch="360"/>
        </w:sectPr>
      </w:pPr>
      <w:r>
        <w:t>Die frühesten Überlieferungen in sumerischer Sprache</w:t>
      </w:r>
      <w:r>
        <w:rPr>
          <w:vertAlign w:val="superscript"/>
        </w:rPr>
        <w:footnoteReference w:id="289"/>
      </w:r>
      <w:r>
        <w:t xml:space="preserve"> gehen, wie bereits gesagt, auf die Zeit um etwa 3100 v. Chr. zurück. Diese Zeugnisse stammen au</w:t>
      </w:r>
      <w:r>
        <w:t>s Süd-Mesopotamien. Es handelt sich stets um keilinschriftliche Dokumente.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7"/>
        <w:gridCol w:w="1512"/>
        <w:gridCol w:w="2918"/>
      </w:tblGrid>
      <w:tr w:rsidR="00BB7EDA">
        <w:tblPrEx>
          <w:tblCellMar>
            <w:top w:w="0" w:type="dxa"/>
            <w:bottom w:w="0" w:type="dxa"/>
          </w:tblCellMar>
        </w:tblPrEx>
        <w:trPr>
          <w:trHeight w:hRule="exact" w:val="581"/>
          <w:jc w:val="center"/>
        </w:trPr>
        <w:tc>
          <w:tcPr>
            <w:tcW w:w="1147" w:type="dxa"/>
            <w:tcBorders>
              <w:top w:val="single" w:sz="4" w:space="0" w:color="auto"/>
              <w:left w:val="single" w:sz="4" w:space="0" w:color="auto"/>
            </w:tcBorders>
            <w:shd w:val="clear" w:color="auto" w:fill="FFFFFF"/>
          </w:tcPr>
          <w:p w:rsidR="00BB7EDA" w:rsidRDefault="00BB7EDA">
            <w:pPr>
              <w:framePr w:w="5578" w:wrap="notBeside" w:vAnchor="text" w:hAnchor="text" w:xAlign="center" w:y="1"/>
              <w:rPr>
                <w:sz w:val="10"/>
                <w:szCs w:val="10"/>
              </w:rPr>
            </w:pPr>
          </w:p>
        </w:tc>
        <w:tc>
          <w:tcPr>
            <w:tcW w:w="1512" w:type="dxa"/>
            <w:tcBorders>
              <w:top w:val="single" w:sz="4" w:space="0" w:color="auto"/>
            </w:tcBorders>
            <w:shd w:val="clear" w:color="auto" w:fill="FFFFFF"/>
            <w:vAlign w:val="center"/>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ku</w:t>
            </w:r>
          </w:p>
        </w:tc>
        <w:tc>
          <w:tcPr>
            <w:tcW w:w="2918" w:type="dxa"/>
            <w:tcBorders>
              <w:top w:val="single" w:sz="4" w:space="0" w:color="auto"/>
              <w:right w:val="single" w:sz="4" w:space="0" w:color="auto"/>
            </w:tcBorders>
            <w:shd w:val="clear" w:color="auto" w:fill="FFFFFF"/>
            <w:vAlign w:val="center"/>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Fisch</w:t>
            </w:r>
          </w:p>
        </w:tc>
      </w:tr>
      <w:tr w:rsidR="00BB7EDA">
        <w:tblPrEx>
          <w:tblCellMar>
            <w:top w:w="0" w:type="dxa"/>
            <w:bottom w:w="0" w:type="dxa"/>
          </w:tblCellMar>
        </w:tblPrEx>
        <w:trPr>
          <w:trHeight w:hRule="exact" w:val="413"/>
          <w:jc w:val="center"/>
        </w:trPr>
        <w:tc>
          <w:tcPr>
            <w:tcW w:w="1147" w:type="dxa"/>
            <w:tcBorders>
              <w:left w:val="single" w:sz="4" w:space="0" w:color="auto"/>
            </w:tcBorders>
            <w:shd w:val="clear" w:color="auto" w:fill="FFFFFF"/>
          </w:tcPr>
          <w:p w:rsidR="00BB7EDA" w:rsidRDefault="00BB7EDA">
            <w:pPr>
              <w:framePr w:w="5578" w:wrap="notBeside" w:vAnchor="text" w:hAnchor="text" w:xAlign="center" w:y="1"/>
              <w:rPr>
                <w:sz w:val="10"/>
                <w:szCs w:val="10"/>
              </w:rPr>
            </w:pPr>
          </w:p>
        </w:tc>
        <w:tc>
          <w:tcPr>
            <w:tcW w:w="1512" w:type="dxa"/>
            <w:shd w:val="clear" w:color="auto" w:fill="FFFFFF"/>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gud</w:t>
            </w:r>
          </w:p>
        </w:tc>
        <w:tc>
          <w:tcPr>
            <w:tcW w:w="2918" w:type="dxa"/>
            <w:tcBorders>
              <w:right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Ochse</w:t>
            </w:r>
          </w:p>
        </w:tc>
      </w:tr>
      <w:tr w:rsidR="00BB7EDA">
        <w:tblPrEx>
          <w:tblCellMar>
            <w:top w:w="0" w:type="dxa"/>
            <w:bottom w:w="0" w:type="dxa"/>
          </w:tblCellMar>
        </w:tblPrEx>
        <w:trPr>
          <w:trHeight w:hRule="exact" w:val="413"/>
          <w:jc w:val="center"/>
        </w:trPr>
        <w:tc>
          <w:tcPr>
            <w:tcW w:w="1147" w:type="dxa"/>
            <w:tcBorders>
              <w:left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340" w:lineRule="exact"/>
              <w:ind w:left="300"/>
              <w:jc w:val="left"/>
            </w:pPr>
            <w:r>
              <w:rPr>
                <w:rStyle w:val="Bodytext217ptSpacing0pt"/>
                <w:b w:val="0"/>
                <w:bCs w:val="0"/>
              </w:rPr>
              <w:t>■«ö-</w:t>
            </w:r>
          </w:p>
        </w:tc>
        <w:tc>
          <w:tcPr>
            <w:tcW w:w="1512" w:type="dxa"/>
            <w:shd w:val="clear" w:color="auto" w:fill="FFFFFF"/>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ansu</w:t>
            </w:r>
          </w:p>
        </w:tc>
        <w:tc>
          <w:tcPr>
            <w:tcW w:w="2918" w:type="dxa"/>
            <w:tcBorders>
              <w:right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Esel</w:t>
            </w:r>
          </w:p>
        </w:tc>
      </w:tr>
      <w:tr w:rsidR="00BB7EDA">
        <w:tblPrEx>
          <w:tblCellMar>
            <w:top w:w="0" w:type="dxa"/>
            <w:bottom w:w="0" w:type="dxa"/>
          </w:tblCellMar>
        </w:tblPrEx>
        <w:trPr>
          <w:trHeight w:hRule="exact" w:val="456"/>
          <w:jc w:val="center"/>
        </w:trPr>
        <w:tc>
          <w:tcPr>
            <w:tcW w:w="1147" w:type="dxa"/>
            <w:tcBorders>
              <w:lef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400" w:lineRule="exact"/>
              <w:ind w:left="300"/>
              <w:jc w:val="left"/>
            </w:pPr>
            <w:r>
              <w:rPr>
                <w:rStyle w:val="Bodytext220ptItalicSpacing-2pt"/>
                <w:b w:val="0"/>
                <w:bCs w:val="0"/>
              </w:rPr>
              <w:t>•m</w:t>
            </w:r>
          </w:p>
        </w:tc>
        <w:tc>
          <w:tcPr>
            <w:tcW w:w="1512" w:type="dxa"/>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se</w:t>
            </w:r>
          </w:p>
        </w:tc>
        <w:tc>
          <w:tcPr>
            <w:tcW w:w="2918" w:type="dxa"/>
            <w:tcBorders>
              <w:righ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Korn</w:t>
            </w:r>
          </w:p>
        </w:tc>
      </w:tr>
      <w:tr w:rsidR="00BB7EDA">
        <w:tblPrEx>
          <w:tblCellMar>
            <w:top w:w="0" w:type="dxa"/>
            <w:bottom w:w="0" w:type="dxa"/>
          </w:tblCellMar>
        </w:tblPrEx>
        <w:trPr>
          <w:trHeight w:hRule="exact" w:val="408"/>
          <w:jc w:val="center"/>
        </w:trPr>
        <w:tc>
          <w:tcPr>
            <w:tcW w:w="1147" w:type="dxa"/>
            <w:tcBorders>
              <w:left w:val="single" w:sz="4" w:space="0" w:color="auto"/>
            </w:tcBorders>
            <w:shd w:val="clear" w:color="auto" w:fill="FFFFFF"/>
          </w:tcPr>
          <w:p w:rsidR="00BB7EDA" w:rsidRDefault="00BB7EDA">
            <w:pPr>
              <w:framePr w:w="5578" w:wrap="notBeside" w:vAnchor="text" w:hAnchor="text" w:xAlign="center" w:y="1"/>
              <w:rPr>
                <w:sz w:val="10"/>
                <w:szCs w:val="10"/>
              </w:rPr>
            </w:pPr>
          </w:p>
        </w:tc>
        <w:tc>
          <w:tcPr>
            <w:tcW w:w="1512" w:type="dxa"/>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dingir</w:t>
            </w:r>
          </w:p>
        </w:tc>
        <w:tc>
          <w:tcPr>
            <w:tcW w:w="2918" w:type="dxa"/>
            <w:tcBorders>
              <w:righ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Gott, Himmel</w:t>
            </w:r>
          </w:p>
        </w:tc>
      </w:tr>
      <w:tr w:rsidR="00BB7EDA">
        <w:tblPrEx>
          <w:tblCellMar>
            <w:top w:w="0" w:type="dxa"/>
            <w:bottom w:w="0" w:type="dxa"/>
          </w:tblCellMar>
        </w:tblPrEx>
        <w:trPr>
          <w:trHeight w:hRule="exact" w:val="432"/>
          <w:jc w:val="center"/>
        </w:trPr>
        <w:tc>
          <w:tcPr>
            <w:tcW w:w="1147" w:type="dxa"/>
            <w:tcBorders>
              <w:left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340" w:lineRule="exact"/>
              <w:ind w:left="300"/>
              <w:jc w:val="left"/>
            </w:pPr>
            <w:r>
              <w:rPr>
                <w:rStyle w:val="Bodytext217ptSpacing0pt"/>
                <w:b w:val="0"/>
                <w:bCs w:val="0"/>
              </w:rPr>
              <w:t>&lt;&gt;</w:t>
            </w:r>
          </w:p>
        </w:tc>
        <w:tc>
          <w:tcPr>
            <w:tcW w:w="1512" w:type="dxa"/>
            <w:shd w:val="clear" w:color="auto" w:fill="FFFFFF"/>
            <w:vAlign w:val="center"/>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utu</w:t>
            </w:r>
          </w:p>
        </w:tc>
        <w:tc>
          <w:tcPr>
            <w:tcW w:w="2918" w:type="dxa"/>
            <w:tcBorders>
              <w:right w:val="single" w:sz="4" w:space="0" w:color="auto"/>
            </w:tcBorders>
            <w:shd w:val="clear" w:color="auto" w:fill="FFFFFF"/>
            <w:vAlign w:val="center"/>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Sonne, Tag, Licht</w:t>
            </w:r>
          </w:p>
        </w:tc>
      </w:tr>
      <w:tr w:rsidR="00BB7EDA">
        <w:tblPrEx>
          <w:tblCellMar>
            <w:top w:w="0" w:type="dxa"/>
            <w:bottom w:w="0" w:type="dxa"/>
          </w:tblCellMar>
        </w:tblPrEx>
        <w:trPr>
          <w:trHeight w:hRule="exact" w:val="422"/>
          <w:jc w:val="center"/>
        </w:trPr>
        <w:tc>
          <w:tcPr>
            <w:tcW w:w="1147" w:type="dxa"/>
            <w:tcBorders>
              <w:lef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400" w:lineRule="exact"/>
              <w:ind w:left="300"/>
              <w:jc w:val="left"/>
            </w:pPr>
            <w:r>
              <w:rPr>
                <w:rStyle w:val="Bodytext220ptItalicSpacing-2pt"/>
                <w:b w:val="0"/>
                <w:bCs w:val="0"/>
              </w:rPr>
              <w:t>Sa</w:t>
            </w:r>
          </w:p>
        </w:tc>
        <w:tc>
          <w:tcPr>
            <w:tcW w:w="1512" w:type="dxa"/>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apin</w:t>
            </w:r>
          </w:p>
        </w:tc>
        <w:tc>
          <w:tcPr>
            <w:tcW w:w="2918" w:type="dxa"/>
            <w:tcBorders>
              <w:righ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bebauen, pflügen</w:t>
            </w:r>
          </w:p>
        </w:tc>
      </w:tr>
      <w:tr w:rsidR="00BB7EDA">
        <w:tblPrEx>
          <w:tblCellMar>
            <w:top w:w="0" w:type="dxa"/>
            <w:bottom w:w="0" w:type="dxa"/>
          </w:tblCellMar>
        </w:tblPrEx>
        <w:trPr>
          <w:trHeight w:hRule="exact" w:val="432"/>
          <w:jc w:val="center"/>
        </w:trPr>
        <w:tc>
          <w:tcPr>
            <w:tcW w:w="1147" w:type="dxa"/>
            <w:tcBorders>
              <w:lef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340" w:lineRule="exact"/>
              <w:ind w:left="300"/>
              <w:jc w:val="left"/>
            </w:pPr>
            <w:r>
              <w:rPr>
                <w:rStyle w:val="Bodytext217ptSpacing0pt"/>
                <w:b w:val="0"/>
                <w:bCs w:val="0"/>
              </w:rPr>
              <w:t>S3</w:t>
            </w:r>
          </w:p>
        </w:tc>
        <w:tc>
          <w:tcPr>
            <w:tcW w:w="1512" w:type="dxa"/>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e</w:t>
            </w:r>
          </w:p>
        </w:tc>
        <w:tc>
          <w:tcPr>
            <w:tcW w:w="2918" w:type="dxa"/>
            <w:tcBorders>
              <w:right w:val="single" w:sz="4" w:space="0" w:color="auto"/>
            </w:tcBorders>
            <w:shd w:val="clear" w:color="auto" w:fill="FFFFFF"/>
            <w:vAlign w:val="bottom"/>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Haus</w:t>
            </w:r>
          </w:p>
        </w:tc>
      </w:tr>
      <w:tr w:rsidR="00BB7EDA">
        <w:tblPrEx>
          <w:tblCellMar>
            <w:top w:w="0" w:type="dxa"/>
            <w:bottom w:w="0" w:type="dxa"/>
          </w:tblCellMar>
        </w:tblPrEx>
        <w:trPr>
          <w:trHeight w:hRule="exact" w:val="557"/>
          <w:jc w:val="center"/>
        </w:trPr>
        <w:tc>
          <w:tcPr>
            <w:tcW w:w="1147" w:type="dxa"/>
            <w:tcBorders>
              <w:left w:val="single" w:sz="4" w:space="0" w:color="auto"/>
              <w:bottom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340" w:lineRule="exact"/>
              <w:ind w:left="300"/>
              <w:jc w:val="left"/>
            </w:pPr>
            <w:r>
              <w:rPr>
                <w:rStyle w:val="Bodytext217ptSpacing0pt"/>
                <w:b w:val="0"/>
                <w:bCs w:val="0"/>
              </w:rPr>
              <w:t>Äs</w:t>
            </w:r>
          </w:p>
        </w:tc>
        <w:tc>
          <w:tcPr>
            <w:tcW w:w="1512" w:type="dxa"/>
            <w:tcBorders>
              <w:bottom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210" w:lineRule="exact"/>
              <w:ind w:left="340"/>
              <w:jc w:val="left"/>
            </w:pPr>
            <w:r>
              <w:rPr>
                <w:rStyle w:val="Bodytext2105ptBold"/>
              </w:rPr>
              <w:t>= lu</w:t>
            </w:r>
          </w:p>
        </w:tc>
        <w:tc>
          <w:tcPr>
            <w:tcW w:w="2918" w:type="dxa"/>
            <w:tcBorders>
              <w:bottom w:val="single" w:sz="4" w:space="0" w:color="auto"/>
              <w:right w:val="single" w:sz="4" w:space="0" w:color="auto"/>
            </w:tcBorders>
            <w:shd w:val="clear" w:color="auto" w:fill="FFFFFF"/>
          </w:tcPr>
          <w:p w:rsidR="00BB7EDA" w:rsidRDefault="007D72B3">
            <w:pPr>
              <w:pStyle w:val="Bodytext20"/>
              <w:framePr w:w="5578" w:wrap="notBeside" w:vAnchor="text" w:hAnchor="text" w:xAlign="center" w:y="1"/>
              <w:shd w:val="clear" w:color="auto" w:fill="auto"/>
              <w:spacing w:before="0" w:line="210" w:lineRule="exact"/>
              <w:ind w:left="240"/>
              <w:jc w:val="left"/>
            </w:pPr>
            <w:r>
              <w:rPr>
                <w:rStyle w:val="Bodytext2105ptBold"/>
              </w:rPr>
              <w:t xml:space="preserve">= </w:t>
            </w:r>
            <w:r>
              <w:rPr>
                <w:rStyle w:val="Bodytext2105ptBold"/>
              </w:rPr>
              <w:t>Mann</w:t>
            </w:r>
          </w:p>
        </w:tc>
      </w:tr>
    </w:tbl>
    <w:p w:rsidR="00BB7EDA" w:rsidRDefault="00BB7EDA">
      <w:pPr>
        <w:framePr w:w="5578" w:wrap="notBeside" w:vAnchor="text" w:hAnchor="text" w:xAlign="center" w:y="1"/>
        <w:rPr>
          <w:sz w:val="2"/>
          <w:szCs w:val="2"/>
        </w:rPr>
      </w:pPr>
    </w:p>
    <w:p w:rsidR="00BB7EDA" w:rsidRDefault="00BB7EDA">
      <w:pPr>
        <w:rPr>
          <w:sz w:val="2"/>
          <w:szCs w:val="2"/>
        </w:rPr>
      </w:pPr>
    </w:p>
    <w:p w:rsidR="00BB7EDA" w:rsidRDefault="007D72B3">
      <w:pPr>
        <w:pStyle w:val="Bodytext120"/>
        <w:shd w:val="clear" w:color="auto" w:fill="auto"/>
        <w:spacing w:before="26" w:after="453"/>
      </w:pPr>
      <w:r>
        <w:t>Abb. 11 Beispiele sumerischer Keilschrift (um 2800 v. Chr.) mit Umschrift und deutscher Übersetzung.</w:t>
      </w:r>
    </w:p>
    <w:p w:rsidR="00BB7EDA" w:rsidRDefault="007D72B3">
      <w:pPr>
        <w:pStyle w:val="Bodytext20"/>
        <w:shd w:val="clear" w:color="auto" w:fill="auto"/>
        <w:spacing w:before="0" w:after="217" w:line="226" w:lineRule="exact"/>
        <w:ind w:firstLine="320"/>
      </w:pPr>
      <w:r>
        <w:t>Bereits um ca. 2000 v. Chr. starb das Sumerische als gesprochene Sprache aus. Es musste dem Akkadischen weichen. Als geschriebene Sprache vermochte</w:t>
      </w:r>
      <w:r>
        <w:t xml:space="preserve"> sich das Sumerische allerdings noch sehr lange halten. Die jüngsten Überlieferungen stammen aus dem 1. Jahrhun</w:t>
      </w:r>
      <w:r>
        <w:softHyphen/>
        <w:t>dert n. Chr. Die sumerische Sprachgeschichte kann somit über einen Zeitraum von etwa 3.200 Jahren verfolgt werden.</w:t>
      </w:r>
    </w:p>
    <w:p w:rsidR="00BB7EDA" w:rsidRDefault="007D72B3">
      <w:pPr>
        <w:pStyle w:val="Heading50"/>
        <w:keepNext/>
        <w:keepLines/>
        <w:numPr>
          <w:ilvl w:val="2"/>
          <w:numId w:val="135"/>
        </w:numPr>
        <w:shd w:val="clear" w:color="auto" w:fill="auto"/>
        <w:tabs>
          <w:tab w:val="left" w:pos="507"/>
        </w:tabs>
        <w:spacing w:after="219" w:line="180" w:lineRule="exact"/>
      </w:pPr>
      <w:bookmarkStart w:id="72" w:name="bookmark71"/>
      <w:r>
        <w:t>Perioden der Sprachgeschichte</w:t>
      </w:r>
      <w:bookmarkEnd w:id="72"/>
    </w:p>
    <w:p w:rsidR="00BB7EDA" w:rsidRDefault="007D72B3">
      <w:pPr>
        <w:pStyle w:val="Bodytext20"/>
        <w:shd w:val="clear" w:color="auto" w:fill="auto"/>
        <w:spacing w:before="0" w:after="4"/>
      </w:pPr>
      <w:r>
        <w:t>Die Sprachgeschichte des Sumerischen kann in vier verschiedene Perioden gegliedert werden:</w:t>
      </w:r>
    </w:p>
    <w:p w:rsidR="00BB7EDA" w:rsidRPr="007D72B3" w:rsidRDefault="007D72B3">
      <w:pPr>
        <w:pStyle w:val="Bodytext20"/>
        <w:numPr>
          <w:ilvl w:val="0"/>
          <w:numId w:val="136"/>
        </w:numPr>
        <w:shd w:val="clear" w:color="auto" w:fill="auto"/>
        <w:tabs>
          <w:tab w:val="left" w:pos="297"/>
        </w:tabs>
        <w:spacing w:before="0" w:line="451" w:lineRule="exact"/>
        <w:rPr>
          <w:lang w:val="en-US"/>
        </w:rPr>
      </w:pPr>
      <w:r w:rsidRPr="007D72B3">
        <w:rPr>
          <w:rStyle w:val="Bodytext2Italic0"/>
          <w:lang w:val="en-US"/>
        </w:rPr>
        <w:t>Archaisches Sumerisch:</w:t>
      </w:r>
      <w:r w:rsidRPr="007D72B3">
        <w:rPr>
          <w:lang w:val="en-US"/>
        </w:rPr>
        <w:t xml:space="preserve"> ca. 3100 - ca. 2500 v. Chr.</w:t>
      </w:r>
    </w:p>
    <w:p w:rsidR="00BB7EDA" w:rsidRDefault="007D72B3">
      <w:pPr>
        <w:pStyle w:val="Bodytext80"/>
        <w:numPr>
          <w:ilvl w:val="0"/>
          <w:numId w:val="136"/>
        </w:numPr>
        <w:shd w:val="clear" w:color="auto" w:fill="auto"/>
        <w:tabs>
          <w:tab w:val="left" w:pos="297"/>
        </w:tabs>
        <w:spacing w:line="451" w:lineRule="exact"/>
      </w:pPr>
      <w:r>
        <w:t>Altsumerisch bzw. Klassisches Sumerisch:</w:t>
      </w:r>
      <w:r>
        <w:rPr>
          <w:rStyle w:val="Bodytext8NotItalic"/>
        </w:rPr>
        <w:t xml:space="preserve"> ca. 2500 - ca. 2300 v. Chr.</w:t>
      </w:r>
    </w:p>
    <w:p w:rsidR="00BB7EDA" w:rsidRPr="007D72B3" w:rsidRDefault="007D72B3">
      <w:pPr>
        <w:pStyle w:val="Bodytext20"/>
        <w:numPr>
          <w:ilvl w:val="0"/>
          <w:numId w:val="136"/>
        </w:numPr>
        <w:shd w:val="clear" w:color="auto" w:fill="auto"/>
        <w:tabs>
          <w:tab w:val="left" w:pos="297"/>
        </w:tabs>
        <w:spacing w:before="0" w:line="451" w:lineRule="exact"/>
        <w:rPr>
          <w:lang w:val="en-US"/>
        </w:rPr>
      </w:pPr>
      <w:r w:rsidRPr="007D72B3">
        <w:rPr>
          <w:rStyle w:val="Bodytext2Italic0"/>
          <w:lang w:val="en-US"/>
        </w:rPr>
        <w:t>Neusumerisch:</w:t>
      </w:r>
      <w:r w:rsidRPr="007D72B3">
        <w:rPr>
          <w:lang w:val="en-US"/>
        </w:rPr>
        <w:t xml:space="preserve"> ca. 2300 - ca. 2000 v. Chr.</w:t>
      </w:r>
    </w:p>
    <w:p w:rsidR="00BB7EDA" w:rsidRPr="007D72B3" w:rsidRDefault="007D72B3">
      <w:pPr>
        <w:pStyle w:val="Bodytext20"/>
        <w:numPr>
          <w:ilvl w:val="0"/>
          <w:numId w:val="136"/>
        </w:numPr>
        <w:shd w:val="clear" w:color="auto" w:fill="auto"/>
        <w:tabs>
          <w:tab w:val="left" w:pos="297"/>
        </w:tabs>
        <w:spacing w:before="0" w:line="451" w:lineRule="exact"/>
        <w:rPr>
          <w:lang w:val="en-US"/>
        </w:rPr>
        <w:sectPr w:rsidR="00BB7EDA" w:rsidRPr="007D72B3">
          <w:headerReference w:type="even" r:id="rId85"/>
          <w:headerReference w:type="default" r:id="rId86"/>
          <w:footerReference w:type="even" r:id="rId87"/>
          <w:footerReference w:type="default" r:id="rId88"/>
          <w:footerReference w:type="first" r:id="rId89"/>
          <w:pgSz w:w="7266" w:h="11422"/>
          <w:pgMar w:top="786" w:right="754" w:bottom="1115" w:left="876" w:header="0" w:footer="3" w:gutter="0"/>
          <w:cols w:space="720"/>
          <w:noEndnote/>
          <w:titlePg/>
          <w:docGrid w:linePitch="360"/>
        </w:sectPr>
      </w:pPr>
      <w:r w:rsidRPr="007D72B3">
        <w:rPr>
          <w:rStyle w:val="Bodytext2Italic0"/>
          <w:lang w:val="en-US"/>
        </w:rPr>
        <w:t>Postsumerisch:</w:t>
      </w:r>
      <w:r w:rsidRPr="007D72B3">
        <w:rPr>
          <w:lang w:val="en-US"/>
        </w:rPr>
        <w:t xml:space="preserve"> ca. 2000 v. Chr. -1. Jh. n. Chr.</w:t>
      </w:r>
    </w:p>
    <w:p w:rsidR="00BB7EDA" w:rsidRDefault="007D72B3">
      <w:pPr>
        <w:pStyle w:val="Bodytext20"/>
        <w:shd w:val="clear" w:color="auto" w:fill="auto"/>
        <w:spacing w:before="0"/>
      </w:pPr>
      <w:r>
        <w:t xml:space="preserve">Die Anfänge der Entzifferung keilinschriftlicher Texte führen uns zurück in die erste Hälfte des 19. Jahrhunderts. Der Hauptbeitrag dieser gewaltigen Leistung wurde durch den Generalmajor Sir Henry </w:t>
      </w:r>
      <w:r>
        <w:rPr>
          <w:rStyle w:val="Bodytext28ptSmallCaps"/>
        </w:rPr>
        <w:t xml:space="preserve">Rawunson </w:t>
      </w:r>
      <w:r>
        <w:t>(1810-1895) erbracht.</w:t>
      </w:r>
      <w:r>
        <w:rPr>
          <w:vertAlign w:val="superscript"/>
        </w:rPr>
        <w:footnoteReference w:id="290"/>
      </w:r>
      <w:r>
        <w:t xml:space="preserve"> Den Haupt-Schlüssel zum Knacken der Keilschrift lieferte die mehrsprachige Fels- Inschrift von Behistun im West-Iran. Diese auf den persischen König Darius I. Hystaspis (522-486 v. Chr.)</w:t>
      </w:r>
      <w:r>
        <w:rPr>
          <w:vertAlign w:val="superscript"/>
        </w:rPr>
        <w:footnoteReference w:id="291"/>
      </w:r>
      <w:r>
        <w:t xml:space="preserve"> zurückgehende Inschrift enthält drei nahezu identische Texte auf Al</w:t>
      </w:r>
      <w:r>
        <w:t>tpersisch, Elamitisch und Akkadisch. In jahrelanger akribischer Arbeit ge</w:t>
      </w:r>
      <w:r>
        <w:softHyphen/>
        <w:t xml:space="preserve">lang es </w:t>
      </w:r>
      <w:r>
        <w:rPr>
          <w:rStyle w:val="Bodytext28ptSmallCaps"/>
        </w:rPr>
        <w:t xml:space="preserve">Rawunson </w:t>
      </w:r>
      <w:r>
        <w:t>schließlich, diese Inschrift zu entziffern. 1851 veröffentlichte er den akkadischen Text der Behistun-Inschrift in Transliteration</w:t>
      </w:r>
      <w:r>
        <w:rPr>
          <w:vertAlign w:val="superscript"/>
        </w:rPr>
        <w:footnoteReference w:id="292"/>
      </w:r>
      <w:r>
        <w:t xml:space="preserve"> und Übersetzung. Dieses Jahr mark</w:t>
      </w:r>
      <w:r>
        <w:t>ierte den Beginn der neuzeitlichen Erforschung der alten Literatur der Babylonier und Assyrer.</w:t>
      </w:r>
    </w:p>
    <w:p w:rsidR="00BB7EDA" w:rsidRDefault="007D72B3">
      <w:pPr>
        <w:pStyle w:val="Bodytext20"/>
        <w:shd w:val="clear" w:color="auto" w:fill="auto"/>
        <w:spacing w:before="0" w:after="460"/>
        <w:ind w:firstLine="320"/>
      </w:pPr>
      <w:r>
        <w:t>Allerdings wurde man sich der Tatsache, dass es in den zahlrei</w:t>
      </w:r>
      <w:r>
        <w:softHyphen/>
        <w:t>chen im 19. Jahrhundert ausgegrabenen keilinschriftlichen Texten noch eine weitere überlieferte Sp</w:t>
      </w:r>
      <w:r>
        <w:t>rache gab, nämlich das Sumeri</w:t>
      </w:r>
      <w:r>
        <w:softHyphen/>
        <w:t>sche, erst bewusst, als die Kenntnis des Akkadischen einigermaßen fortgeschritten war.</w:t>
      </w:r>
    </w:p>
    <w:p w:rsidR="00BB7EDA" w:rsidRDefault="007D72B3">
      <w:pPr>
        <w:pStyle w:val="Bodytext90"/>
        <w:numPr>
          <w:ilvl w:val="0"/>
          <w:numId w:val="137"/>
        </w:numPr>
        <w:shd w:val="clear" w:color="auto" w:fill="auto"/>
        <w:tabs>
          <w:tab w:val="left" w:pos="500"/>
        </w:tabs>
        <w:spacing w:after="223" w:line="180" w:lineRule="exact"/>
      </w:pPr>
      <w:r>
        <w:t>Zur Einordnung des Sumerischen</w:t>
      </w:r>
    </w:p>
    <w:p w:rsidR="00BB7EDA" w:rsidRDefault="007D72B3">
      <w:pPr>
        <w:pStyle w:val="Bodytext20"/>
        <w:shd w:val="clear" w:color="auto" w:fill="auto"/>
        <w:spacing w:before="0" w:line="226" w:lineRule="exact"/>
      </w:pPr>
      <w:r>
        <w:t xml:space="preserve">Bis heute konnte, wie schon an früherer Stelle angedeutet, keine Verwandtschaft des Sumerischen mit </w:t>
      </w:r>
      <w:r>
        <w:t>irgendeiner anderen Spra</w:t>
      </w:r>
      <w:r>
        <w:softHyphen/>
        <w:t>che der Welt überzeugend nachgewiesen werden. So ist man gezwungen, diese Sprache einem eigenen Sprachstamm zuzu</w:t>
      </w:r>
      <w:r>
        <w:softHyphen/>
        <w:t>ordnen.</w:t>
      </w:r>
    </w:p>
    <w:p w:rsidR="00BB7EDA" w:rsidRDefault="007D72B3">
      <w:pPr>
        <w:pStyle w:val="Bodytext20"/>
        <w:shd w:val="clear" w:color="auto" w:fill="auto"/>
        <w:spacing w:before="0" w:line="226" w:lineRule="exact"/>
        <w:ind w:firstLine="320"/>
        <w:sectPr w:rsidR="00BB7EDA">
          <w:pgSz w:w="7266" w:h="11422"/>
          <w:pgMar w:top="1286" w:right="757" w:bottom="1154" w:left="860" w:header="0" w:footer="3" w:gutter="0"/>
          <w:cols w:space="720"/>
          <w:noEndnote/>
          <w:docGrid w:linePitch="360"/>
        </w:sectPr>
      </w:pPr>
      <w:r>
        <w:t xml:space="preserve">Sprachtypologisch gesehen ist Sumerisch eine </w:t>
      </w:r>
      <w:r>
        <w:rPr>
          <w:rStyle w:val="Bodytext2Italic0"/>
        </w:rPr>
        <w:t>agglutinierende Sprache.</w:t>
      </w:r>
      <w:r>
        <w:t xml:space="preserve"> Dies zeigt sich dar</w:t>
      </w:r>
      <w:r>
        <w:t>in, dass, gemäß äußerst komplexen, aber genau festgelegten Regeln, eigentliche Morphem-Ketten gebildet werden.</w:t>
      </w:r>
    </w:p>
    <w:p w:rsidR="00BB7EDA" w:rsidRDefault="007D72B3">
      <w:pPr>
        <w:pStyle w:val="Bodytext20"/>
        <w:shd w:val="clear" w:color="auto" w:fill="auto"/>
        <w:spacing w:before="0"/>
      </w:pPr>
      <w:r>
        <w:t>Das Nomen unterscheidet sich formal durch nichts von einer Verbal</w:t>
      </w:r>
      <w:r>
        <w:softHyphen/>
        <w:t xml:space="preserve">wurzel. So kann z.B. das Wort </w:t>
      </w:r>
      <w:r>
        <w:rPr>
          <w:rStyle w:val="Bodytext2Italic0"/>
        </w:rPr>
        <w:t>dug,</w:t>
      </w:r>
      <w:r>
        <w:rPr>
          <w:rStyle w:val="Bodytext2Italic0"/>
          <w:vertAlign w:val="superscript"/>
        </w:rPr>
        <w:footnoteReference w:id="293"/>
      </w:r>
      <w:r>
        <w:t xml:space="preserve"> wenn es für sich allein steht, sowohl </w:t>
      </w:r>
      <w:r>
        <w:rPr>
          <w:rStyle w:val="Bodytext2Italic0"/>
        </w:rPr>
        <w:t>das R</w:t>
      </w:r>
      <w:r>
        <w:rPr>
          <w:rStyle w:val="Bodytext2Italic0"/>
        </w:rPr>
        <w:t>eden</w:t>
      </w:r>
      <w:r>
        <w:t xml:space="preserve"> als auch </w:t>
      </w:r>
      <w:r>
        <w:rPr>
          <w:rStyle w:val="Bodytext2Italic0"/>
        </w:rPr>
        <w:t>reden</w:t>
      </w:r>
      <w:r>
        <w:t xml:space="preserve"> bedeuten. Der Unterschied wird aber deutlich durch die Syntax und durch diverse Zusätze.</w:t>
      </w:r>
    </w:p>
    <w:p w:rsidR="00BB7EDA" w:rsidRDefault="007D72B3">
      <w:pPr>
        <w:pStyle w:val="Bodytext20"/>
        <w:shd w:val="clear" w:color="auto" w:fill="auto"/>
        <w:spacing w:before="0"/>
        <w:ind w:firstLine="320"/>
      </w:pPr>
      <w:r>
        <w:t>Ein grammatisches Geschlecht gibt es für das Nomen nicht. Dafür kennt man ein Zweiklassensystem, das Nomina entweder einer so genannten „Personen-"</w:t>
      </w:r>
      <w:r>
        <w:t xml:space="preserve"> bzw. einer „Sachklasse" zuweist.</w:t>
      </w:r>
    </w:p>
    <w:p w:rsidR="00BB7EDA" w:rsidRDefault="007D72B3">
      <w:pPr>
        <w:pStyle w:val="Bodytext20"/>
        <w:shd w:val="clear" w:color="auto" w:fill="auto"/>
        <w:spacing w:before="0"/>
        <w:ind w:firstLine="320"/>
      </w:pPr>
      <w:r>
        <w:t xml:space="preserve">Es wird zwischen Singular und Plural unterschieden. Der Plural wird entweder durch die Suffixe </w:t>
      </w:r>
      <w:r>
        <w:rPr>
          <w:rStyle w:val="Bodytext2Italic0"/>
        </w:rPr>
        <w:t>me</w:t>
      </w:r>
      <w:r>
        <w:t xml:space="preserve"> (bzw. </w:t>
      </w:r>
      <w:r>
        <w:rPr>
          <w:rStyle w:val="Bodytext2Italic0"/>
        </w:rPr>
        <w:t>me + es), hia,</w:t>
      </w:r>
      <w:r>
        <w:t xml:space="preserve"> und </w:t>
      </w:r>
      <w:r>
        <w:rPr>
          <w:rStyle w:val="Bodytext2Italic0"/>
        </w:rPr>
        <w:t>ene,</w:t>
      </w:r>
      <w:r>
        <w:t xml:space="preserve"> oder durch Reduplikation</w:t>
      </w:r>
      <w:r>
        <w:rPr>
          <w:vertAlign w:val="superscript"/>
        </w:rPr>
        <w:footnoteReference w:id="294"/>
      </w:r>
      <w:r>
        <w:t xml:space="preserve"> bezeichnet (z.B. </w:t>
      </w:r>
      <w:r>
        <w:rPr>
          <w:rStyle w:val="Bodytext2Italic0"/>
        </w:rPr>
        <w:t>kur</w:t>
      </w:r>
      <w:r>
        <w:t xml:space="preserve"> = „Berg", </w:t>
      </w:r>
      <w:r>
        <w:rPr>
          <w:rStyle w:val="Bodytext2Italic0"/>
        </w:rPr>
        <w:t xml:space="preserve">kur kur = </w:t>
      </w:r>
      <w:r>
        <w:t>„Berge").</w:t>
      </w:r>
    </w:p>
    <w:p w:rsidR="00BB7EDA" w:rsidRDefault="007D72B3">
      <w:pPr>
        <w:pStyle w:val="Bodytext20"/>
        <w:shd w:val="clear" w:color="auto" w:fill="auto"/>
        <w:spacing w:before="0" w:after="400"/>
        <w:ind w:firstLine="320"/>
      </w:pPr>
      <w:r>
        <w:t xml:space="preserve">Ferner existiert </w:t>
      </w:r>
      <w:r>
        <w:t>ein umfassendes Kasussystem. In den nachfolgen</w:t>
      </w:r>
      <w:r>
        <w:softHyphen/>
        <w:t>den Transkriptionen sollen die eingefügten Bindestriche dem Leser Erleichterung bieten, um die einzelnen Morpheme zu erkennen.</w:t>
      </w:r>
    </w:p>
    <w:p w:rsidR="00BB7EDA" w:rsidRDefault="007D72B3">
      <w:pPr>
        <w:pStyle w:val="Heading50"/>
        <w:keepNext/>
        <w:keepLines/>
        <w:numPr>
          <w:ilvl w:val="0"/>
          <w:numId w:val="138"/>
        </w:numPr>
        <w:shd w:val="clear" w:color="auto" w:fill="auto"/>
        <w:tabs>
          <w:tab w:val="left" w:pos="505"/>
        </w:tabs>
        <w:spacing w:after="226" w:line="180" w:lineRule="exact"/>
      </w:pPr>
      <w:bookmarkStart w:id="73" w:name="bookmark72"/>
      <w:r>
        <w:t>Zum sumerischen Kasussystem</w:t>
      </w:r>
      <w:bookmarkEnd w:id="73"/>
    </w:p>
    <w:p w:rsidR="00BB7EDA" w:rsidRDefault="007D72B3">
      <w:pPr>
        <w:pStyle w:val="Bodytext20"/>
        <w:numPr>
          <w:ilvl w:val="0"/>
          <w:numId w:val="139"/>
        </w:numPr>
        <w:shd w:val="clear" w:color="auto" w:fill="auto"/>
        <w:tabs>
          <w:tab w:val="left" w:pos="300"/>
        </w:tabs>
        <w:spacing w:before="0" w:line="221" w:lineRule="exact"/>
        <w:ind w:left="320" w:hanging="320"/>
        <w:jc w:val="left"/>
      </w:pPr>
      <w:r>
        <w:t xml:space="preserve">Der </w:t>
      </w:r>
      <w:r>
        <w:rPr>
          <w:rStyle w:val="Bodytext2Italic0"/>
        </w:rPr>
        <w:t>Nominativus absolutus</w:t>
      </w:r>
      <w:r>
        <w:t xml:space="preserve"> hat keine zusätzliche Endung</w:t>
      </w:r>
      <w:r>
        <w:t xml:space="preserve"> (z.B. </w:t>
      </w:r>
      <w:r>
        <w:rPr>
          <w:rStyle w:val="Bodytext2Italic0"/>
        </w:rPr>
        <w:t>kur =</w:t>
      </w:r>
      <w:r>
        <w:t xml:space="preserve"> //Berg").</w:t>
      </w:r>
    </w:p>
    <w:p w:rsidR="00BB7EDA" w:rsidRDefault="007D72B3">
      <w:pPr>
        <w:pStyle w:val="Bodytext20"/>
        <w:numPr>
          <w:ilvl w:val="0"/>
          <w:numId w:val="139"/>
        </w:numPr>
        <w:shd w:val="clear" w:color="auto" w:fill="auto"/>
        <w:tabs>
          <w:tab w:val="left" w:pos="300"/>
        </w:tabs>
        <w:spacing w:before="0"/>
        <w:ind w:left="320" w:hanging="320"/>
        <w:jc w:val="left"/>
      </w:pPr>
      <w:r>
        <w:t xml:space="preserve">Den </w:t>
      </w:r>
      <w:r>
        <w:rPr>
          <w:rStyle w:val="Bodytext2Italic0"/>
        </w:rPr>
        <w:t>Agentiv</w:t>
      </w:r>
      <w:r>
        <w:t xml:space="preserve"> erkennt man am Suffix </w:t>
      </w:r>
      <w:r>
        <w:rPr>
          <w:rStyle w:val="Bodytext2Italic0"/>
        </w:rPr>
        <w:t>-e.</w:t>
      </w:r>
      <w:r>
        <w:t xml:space="preserve"> Subjekte von finiten transitiven Verben stehen im Agentiv (z.B. </w:t>
      </w:r>
      <w:r>
        <w:rPr>
          <w:rStyle w:val="Bodytext2Italic0"/>
        </w:rPr>
        <w:t>lugal-e</w:t>
      </w:r>
      <w:r>
        <w:t xml:space="preserve"> = „der König").</w:t>
      </w:r>
    </w:p>
    <w:p w:rsidR="00BB7EDA" w:rsidRDefault="007D72B3">
      <w:pPr>
        <w:pStyle w:val="Bodytext20"/>
        <w:numPr>
          <w:ilvl w:val="0"/>
          <w:numId w:val="139"/>
        </w:numPr>
        <w:shd w:val="clear" w:color="auto" w:fill="auto"/>
        <w:tabs>
          <w:tab w:val="left" w:pos="300"/>
        </w:tabs>
        <w:spacing w:before="0"/>
        <w:ind w:left="320" w:hanging="320"/>
        <w:jc w:val="left"/>
      </w:pPr>
      <w:r>
        <w:t xml:space="preserve">Der </w:t>
      </w:r>
      <w:r>
        <w:rPr>
          <w:rStyle w:val="Bodytext2Italic0"/>
        </w:rPr>
        <w:t>Genitiv</w:t>
      </w:r>
      <w:r>
        <w:t xml:space="preserve"> wird durch das Suffix </w:t>
      </w:r>
      <w:r>
        <w:rPr>
          <w:rStyle w:val="Bodytext2Italic0"/>
        </w:rPr>
        <w:t>-ak</w:t>
      </w:r>
      <w:r>
        <w:t xml:space="preserve"> bzw. </w:t>
      </w:r>
      <w:r>
        <w:rPr>
          <w:rStyle w:val="Bodytext2Italic0"/>
        </w:rPr>
        <w:t>-k</w:t>
      </w:r>
      <w:r>
        <w:t xml:space="preserve"> gebildet (z.B. </w:t>
      </w:r>
      <w:r>
        <w:rPr>
          <w:rStyle w:val="Bodytext2Italic0"/>
        </w:rPr>
        <w:t>dumu- an-ak-e</w:t>
      </w:r>
      <w:r>
        <w:t xml:space="preserve"> = „Kind von An").</w:t>
      </w:r>
    </w:p>
    <w:p w:rsidR="00BB7EDA" w:rsidRDefault="007D72B3">
      <w:pPr>
        <w:pStyle w:val="Bodytext20"/>
        <w:numPr>
          <w:ilvl w:val="0"/>
          <w:numId w:val="139"/>
        </w:numPr>
        <w:shd w:val="clear" w:color="auto" w:fill="auto"/>
        <w:tabs>
          <w:tab w:val="left" w:pos="300"/>
        </w:tabs>
        <w:spacing w:before="0" w:line="226" w:lineRule="exact"/>
        <w:ind w:left="320" w:hanging="320"/>
        <w:jc w:val="left"/>
      </w:pPr>
      <w:r>
        <w:t xml:space="preserve">Der </w:t>
      </w:r>
      <w:r>
        <w:rPr>
          <w:rStyle w:val="Bodytext2Italic0"/>
        </w:rPr>
        <w:t>Dativ:</w:t>
      </w:r>
      <w:r>
        <w:t xml:space="preserve"> Dieser Kasus wird oft durch das Suffix </w:t>
      </w:r>
      <w:r>
        <w:rPr>
          <w:rStyle w:val="Bodytext2Italic0"/>
        </w:rPr>
        <w:t>-ra</w:t>
      </w:r>
      <w:r>
        <w:t xml:space="preserve"> bezeichnet (z.B. </w:t>
      </w:r>
      <w:r>
        <w:rPr>
          <w:rStyle w:val="Bodytext2Italic0"/>
        </w:rPr>
        <w:t>en-ra =</w:t>
      </w:r>
      <w:r>
        <w:t xml:space="preserve"> „dem Herrn").</w:t>
      </w:r>
    </w:p>
    <w:p w:rsidR="00BB7EDA" w:rsidRDefault="007D72B3">
      <w:pPr>
        <w:pStyle w:val="Bodytext20"/>
        <w:numPr>
          <w:ilvl w:val="0"/>
          <w:numId w:val="139"/>
        </w:numPr>
        <w:shd w:val="clear" w:color="auto" w:fill="auto"/>
        <w:tabs>
          <w:tab w:val="left" w:pos="300"/>
        </w:tabs>
        <w:spacing w:before="0" w:line="180" w:lineRule="exact"/>
      </w:pPr>
      <w:r>
        <w:t xml:space="preserve">Der </w:t>
      </w:r>
      <w:r>
        <w:rPr>
          <w:rStyle w:val="Bodytext2Italic0"/>
        </w:rPr>
        <w:t>Lokativ</w:t>
      </w:r>
      <w:r>
        <w:t xml:space="preserve"> ist am Suffix </w:t>
      </w:r>
      <w:r>
        <w:rPr>
          <w:rStyle w:val="Bodytext2Italic0"/>
        </w:rPr>
        <w:t>-a</w:t>
      </w:r>
      <w:r>
        <w:t xml:space="preserve"> erkenntlich (z.B. </w:t>
      </w:r>
      <w:r>
        <w:rPr>
          <w:rStyle w:val="Bodytext2Italic0"/>
        </w:rPr>
        <w:t>e-a</w:t>
      </w:r>
      <w:r>
        <w:t xml:space="preserve"> = „im Haus").</w:t>
      </w:r>
    </w:p>
    <w:p w:rsidR="00BB7EDA" w:rsidRDefault="007D72B3">
      <w:pPr>
        <w:pStyle w:val="Bodytext20"/>
        <w:numPr>
          <w:ilvl w:val="0"/>
          <w:numId w:val="139"/>
        </w:numPr>
        <w:shd w:val="clear" w:color="auto" w:fill="auto"/>
        <w:tabs>
          <w:tab w:val="left" w:pos="300"/>
        </w:tabs>
        <w:spacing w:before="0"/>
        <w:ind w:left="320" w:hanging="320"/>
        <w:jc w:val="left"/>
      </w:pPr>
      <w:r>
        <w:t xml:space="preserve">Der </w:t>
      </w:r>
      <w:r>
        <w:rPr>
          <w:rStyle w:val="Bodytext2Italic0"/>
        </w:rPr>
        <w:t>Lokativ-Terminativ der unmittelbaren Nähe:</w:t>
      </w:r>
      <w:r>
        <w:t xml:space="preserve"> Diese Fallform wird durch das Suffix </w:t>
      </w:r>
      <w:r>
        <w:rPr>
          <w:rStyle w:val="Bodytext2Italic0"/>
        </w:rPr>
        <w:t>-e</w:t>
      </w:r>
      <w:r>
        <w:t xml:space="preserve"> bezeichnet (z.B. </w:t>
      </w:r>
      <w:r>
        <w:rPr>
          <w:rStyle w:val="Bodytext2Italic0"/>
        </w:rPr>
        <w:t>ka-e=</w:t>
      </w:r>
      <w:r>
        <w:t xml:space="preserve"> „neben der Tür").</w:t>
      </w:r>
    </w:p>
    <w:p w:rsidR="00BB7EDA" w:rsidRDefault="007D72B3">
      <w:pPr>
        <w:pStyle w:val="Bodytext20"/>
        <w:numPr>
          <w:ilvl w:val="0"/>
          <w:numId w:val="139"/>
        </w:numPr>
        <w:shd w:val="clear" w:color="auto" w:fill="auto"/>
        <w:tabs>
          <w:tab w:val="left" w:pos="300"/>
        </w:tabs>
        <w:spacing w:before="0"/>
        <w:ind w:left="320" w:hanging="320"/>
        <w:jc w:val="left"/>
      </w:pPr>
      <w:r>
        <w:t xml:space="preserve">Der </w:t>
      </w:r>
      <w:r>
        <w:rPr>
          <w:rStyle w:val="Bodytext2Italic0"/>
        </w:rPr>
        <w:t>Terminativ:</w:t>
      </w:r>
      <w:r>
        <w:t xml:space="preserve"> Durch </w:t>
      </w:r>
      <w:r>
        <w:rPr>
          <w:rStyle w:val="Bodytext2Italic0"/>
        </w:rPr>
        <w:t>-sehe, -esche</w:t>
      </w:r>
      <w:r>
        <w:t xml:space="preserve"> oder </w:t>
      </w:r>
      <w:r>
        <w:rPr>
          <w:rStyle w:val="Bodytext2Italic0"/>
        </w:rPr>
        <w:t>-esch</w:t>
      </w:r>
      <w:r>
        <w:t xml:space="preserve"> wird eine Richtung ausgedrückt (z.B. </w:t>
      </w:r>
      <w:r>
        <w:rPr>
          <w:rStyle w:val="Bodytext2Italic0"/>
        </w:rPr>
        <w:t>an-sche</w:t>
      </w:r>
      <w:r>
        <w:t xml:space="preserve"> = „zum Himmel").</w:t>
      </w:r>
    </w:p>
    <w:p w:rsidR="00BB7EDA" w:rsidRDefault="007D72B3">
      <w:pPr>
        <w:pStyle w:val="Bodytext20"/>
        <w:numPr>
          <w:ilvl w:val="0"/>
          <w:numId w:val="139"/>
        </w:numPr>
        <w:shd w:val="clear" w:color="auto" w:fill="auto"/>
        <w:tabs>
          <w:tab w:val="left" w:pos="300"/>
        </w:tabs>
        <w:spacing w:before="0"/>
        <w:ind w:left="320" w:hanging="320"/>
        <w:jc w:val="left"/>
        <w:sectPr w:rsidR="00BB7EDA">
          <w:headerReference w:type="even" r:id="rId90"/>
          <w:headerReference w:type="default" r:id="rId91"/>
          <w:footerReference w:type="even" r:id="rId92"/>
          <w:footerReference w:type="default" r:id="rId93"/>
          <w:headerReference w:type="first" r:id="rId94"/>
          <w:footerReference w:type="first" r:id="rId95"/>
          <w:pgSz w:w="7266" w:h="11422"/>
          <w:pgMar w:top="1286" w:right="757" w:bottom="1154" w:left="860" w:header="0" w:footer="3" w:gutter="0"/>
          <w:cols w:space="720"/>
          <w:noEndnote/>
          <w:titlePg/>
          <w:docGrid w:linePitch="360"/>
        </w:sectPr>
      </w:pPr>
      <w:r>
        <w:t xml:space="preserve">Der </w:t>
      </w:r>
      <w:r>
        <w:rPr>
          <w:rStyle w:val="Bodytext2Italic0"/>
        </w:rPr>
        <w:t>Komitativ:</w:t>
      </w:r>
      <w:r>
        <w:t xml:space="preserve"> Das Suffix dieses Falls lautet </w:t>
      </w:r>
      <w:r>
        <w:rPr>
          <w:rStyle w:val="Bodytext2Italic0"/>
        </w:rPr>
        <w:t>-de</w:t>
      </w:r>
      <w:r>
        <w:t xml:space="preserve"> bzw. </w:t>
      </w:r>
      <w:r>
        <w:rPr>
          <w:rStyle w:val="Bodytext2Italic0"/>
        </w:rPr>
        <w:t>-da</w:t>
      </w:r>
      <w:r>
        <w:t xml:space="preserve"> (z.B. </w:t>
      </w:r>
      <w:r>
        <w:rPr>
          <w:rStyle w:val="Bodytext2Italic0"/>
        </w:rPr>
        <w:t>lagascha-da =</w:t>
      </w:r>
      <w:r>
        <w:t xml:space="preserve"> „mit Lagasch").</w:t>
      </w:r>
    </w:p>
    <w:p w:rsidR="00BB7EDA" w:rsidRDefault="007D72B3">
      <w:pPr>
        <w:pStyle w:val="Bodytext20"/>
        <w:numPr>
          <w:ilvl w:val="0"/>
          <w:numId w:val="139"/>
        </w:numPr>
        <w:shd w:val="clear" w:color="auto" w:fill="auto"/>
        <w:tabs>
          <w:tab w:val="left" w:pos="335"/>
        </w:tabs>
        <w:spacing w:before="0" w:line="226" w:lineRule="exact"/>
        <w:ind w:left="320" w:hanging="320"/>
        <w:jc w:val="left"/>
      </w:pPr>
      <w:r>
        <w:t xml:space="preserve">Der </w:t>
      </w:r>
      <w:r>
        <w:rPr>
          <w:rStyle w:val="Bodytext2Italic0"/>
        </w:rPr>
        <w:t>Ablativ-Instrumental:</w:t>
      </w:r>
      <w:r>
        <w:t xml:space="preserve"> Dieser Fall wird durch Anhängen der Postposition </w:t>
      </w:r>
      <w:r>
        <w:rPr>
          <w:rStyle w:val="Bodytext2Italic0"/>
        </w:rPr>
        <w:t>-ta</w:t>
      </w:r>
      <w:r>
        <w:t xml:space="preserve"> gebildet (z.B. </w:t>
      </w:r>
      <w:r>
        <w:rPr>
          <w:rStyle w:val="Bodytext2Italic0"/>
        </w:rPr>
        <w:t>kur-ta</w:t>
      </w:r>
      <w:r>
        <w:t xml:space="preserve"> = „vom Bergland").</w:t>
      </w:r>
    </w:p>
    <w:p w:rsidR="00BB7EDA" w:rsidRDefault="007D72B3">
      <w:pPr>
        <w:pStyle w:val="Bodytext20"/>
        <w:numPr>
          <w:ilvl w:val="0"/>
          <w:numId w:val="139"/>
        </w:numPr>
        <w:shd w:val="clear" w:color="auto" w:fill="auto"/>
        <w:tabs>
          <w:tab w:val="left" w:pos="335"/>
        </w:tabs>
        <w:spacing w:before="0" w:after="184" w:line="235" w:lineRule="exact"/>
        <w:ind w:left="320" w:hanging="320"/>
        <w:jc w:val="left"/>
      </w:pPr>
      <w:r>
        <w:t xml:space="preserve">Der </w:t>
      </w:r>
      <w:r>
        <w:rPr>
          <w:rStyle w:val="Bodytext2Italic0"/>
        </w:rPr>
        <w:t>Äqativ:</w:t>
      </w:r>
      <w:r>
        <w:t xml:space="preserve"> Dieser Kasus wird in der älteren Sprachstufe durch </w:t>
      </w:r>
      <w:r>
        <w:rPr>
          <w:rStyle w:val="Bodytext2Italic0"/>
        </w:rPr>
        <w:t>-gim</w:t>
      </w:r>
      <w:r>
        <w:t xml:space="preserve"> ausgedrückt (z.B. </w:t>
      </w:r>
      <w:r>
        <w:rPr>
          <w:rStyle w:val="Bodytext2Italic0"/>
        </w:rPr>
        <w:t>a-gim</w:t>
      </w:r>
      <w:r>
        <w:t xml:space="preserve"> = „wie Wasser".</w:t>
      </w:r>
    </w:p>
    <w:p w:rsidR="00BB7EDA" w:rsidRDefault="007D72B3">
      <w:pPr>
        <w:pStyle w:val="Bodytext20"/>
        <w:shd w:val="clear" w:color="auto" w:fill="auto"/>
        <w:spacing w:before="0" w:after="460"/>
        <w:ind w:firstLine="320"/>
      </w:pPr>
      <w:r>
        <w:t>Mit diesen zehn Beispielen ist das sumerische Kasussystem noch keineswegs ausgelotet. Es gibt noch weitere Fälle, so z.B. der Vo</w:t>
      </w:r>
      <w:r>
        <w:t>ka</w:t>
      </w:r>
      <w:r>
        <w:softHyphen/>
        <w:t>tiv. Doch bereits diese Auswahl an Paradigmen vermag den diffe</w:t>
      </w:r>
      <w:r>
        <w:softHyphen/>
        <w:t>renzierten morphologischen Reichtum des sumerischen Nomens anschaulich zu dokumentieren.</w:t>
      </w:r>
    </w:p>
    <w:p w:rsidR="00BB7EDA" w:rsidRDefault="007D72B3">
      <w:pPr>
        <w:pStyle w:val="Heading50"/>
        <w:keepNext/>
        <w:keepLines/>
        <w:numPr>
          <w:ilvl w:val="0"/>
          <w:numId w:val="138"/>
        </w:numPr>
        <w:shd w:val="clear" w:color="auto" w:fill="auto"/>
        <w:tabs>
          <w:tab w:val="left" w:pos="505"/>
        </w:tabs>
        <w:spacing w:after="158" w:line="180" w:lineRule="exact"/>
      </w:pPr>
      <w:bookmarkStart w:id="74" w:name="bookmark73"/>
      <w:r>
        <w:t>Bemerkungen zum Verbalsystem</w:t>
      </w:r>
      <w:bookmarkEnd w:id="74"/>
    </w:p>
    <w:p w:rsidR="00BB7EDA" w:rsidRDefault="007D72B3">
      <w:pPr>
        <w:pStyle w:val="Bodytext20"/>
        <w:shd w:val="clear" w:color="auto" w:fill="auto"/>
        <w:spacing w:before="0" w:line="226" w:lineRule="exact"/>
      </w:pPr>
      <w:r>
        <w:t xml:space="preserve">Das sumerische Verbalsystem besitzt eine überaus komplexe und extrem </w:t>
      </w:r>
      <w:r>
        <w:t>komplizierte Struktur.</w:t>
      </w:r>
    </w:p>
    <w:p w:rsidR="00BB7EDA" w:rsidRDefault="007D72B3">
      <w:pPr>
        <w:pStyle w:val="Bodytext20"/>
        <w:shd w:val="clear" w:color="auto" w:fill="auto"/>
        <w:spacing w:before="0" w:line="226" w:lineRule="exact"/>
        <w:ind w:firstLine="320"/>
      </w:pPr>
      <w:r>
        <w:t>Es steht eine überwältigend große Zahl von Präfixen, Infixen und Suffixen zur Verfügung. Mit Hilfe dieser sprachlichen Ele</w:t>
      </w:r>
      <w:r>
        <w:softHyphen/>
        <w:t>mente können Verbalinhalte auf äußerst präzise Art und Weise zum Ausdruck gebracht werden. So gibt es z.B. Mor</w:t>
      </w:r>
      <w:r>
        <w:t>pheme, durch die Person, Zahl, Tempus (Präsens-Futur, Präteritum und Permansiv), Modus (Indikativ, Optativ, Prohibitiv, Prekativ, Kohortativ, Prospektiv, Imperativ) und Diathese (aktiv, passiv, reflexiv) bezeichnet werden. Ferner können auch Aspekte (Punkt</w:t>
      </w:r>
      <w:r>
        <w:t>ual, Durativ) ausgedrückt werden. Es gibt auch Möglichkeiten, Intensi</w:t>
      </w:r>
      <w:r>
        <w:softHyphen/>
        <w:t>tät, Richtung, Relation und Objektsbeziehung der Handlung durch gebundene Morpheme zu verdeutlichen. Die Reihenfolge der Kettenbildung geschieht nach streng festgelegten grammatikali</w:t>
      </w:r>
      <w:r>
        <w:softHyphen/>
        <w:t>sch</w:t>
      </w:r>
      <w:r>
        <w:t>en Regeln. Es können Tausende von verschiedenen Verbal</w:t>
      </w:r>
      <w:r>
        <w:softHyphen/>
        <w:t>formen gebildet werden!</w:t>
      </w:r>
    </w:p>
    <w:p w:rsidR="00BB7EDA" w:rsidRDefault="007D72B3">
      <w:pPr>
        <w:pStyle w:val="Bodytext20"/>
        <w:shd w:val="clear" w:color="auto" w:fill="auto"/>
        <w:spacing w:before="0" w:after="433" w:line="226" w:lineRule="exact"/>
        <w:ind w:firstLine="320"/>
      </w:pPr>
      <w:r>
        <w:t xml:space="preserve">Den interessierten Leser, der sich gerne näher über die sumerische Sprache ausführlicher informieren möchte, verweise ich nochmals auf die bereits genannten Grammatiken von </w:t>
      </w:r>
      <w:r>
        <w:rPr>
          <w:rStyle w:val="Bodytext28ptSmallCaps"/>
        </w:rPr>
        <w:t>Poeb</w:t>
      </w:r>
      <w:r>
        <w:rPr>
          <w:rStyle w:val="Bodytext28ptSmallCaps"/>
        </w:rPr>
        <w:t xml:space="preserve">el, Falkenstein </w:t>
      </w:r>
      <w:r>
        <w:t xml:space="preserve">und </w:t>
      </w:r>
      <w:r>
        <w:rPr>
          <w:rStyle w:val="Bodytext28ptSmallCaps"/>
        </w:rPr>
        <w:t>Delitzsch.</w:t>
      </w:r>
    </w:p>
    <w:p w:rsidR="00BB7EDA" w:rsidRDefault="007D72B3">
      <w:pPr>
        <w:pStyle w:val="Heading40"/>
        <w:keepNext/>
        <w:keepLines/>
        <w:numPr>
          <w:ilvl w:val="1"/>
          <w:numId w:val="138"/>
        </w:numPr>
        <w:shd w:val="clear" w:color="auto" w:fill="auto"/>
        <w:tabs>
          <w:tab w:val="left" w:pos="394"/>
        </w:tabs>
        <w:spacing w:after="157" w:line="210" w:lineRule="exact"/>
      </w:pPr>
      <w:bookmarkStart w:id="75" w:name="bookmark74"/>
      <w:r>
        <w:t>Das Akkadische</w:t>
      </w:r>
      <w:bookmarkEnd w:id="75"/>
    </w:p>
    <w:p w:rsidR="00BB7EDA" w:rsidRDefault="007D72B3">
      <w:pPr>
        <w:pStyle w:val="Bodytext20"/>
        <w:shd w:val="clear" w:color="auto" w:fill="auto"/>
        <w:spacing w:before="0" w:line="226" w:lineRule="exact"/>
      </w:pPr>
      <w:r>
        <w:t>Die ältesten akkadischen Dokumente stammen aus der Zeit um ca. 2500 v. Chr. Sie sind in Keilschrift überliefert. Die Akkader übernah</w:t>
      </w:r>
      <w:r>
        <w:softHyphen/>
        <w:t>men die Schrift der Sumerer. Allerdings war sie zur Wiedergabe</w:t>
      </w:r>
      <w:r>
        <w:br w:type="page"/>
      </w:r>
    </w:p>
    <w:p w:rsidR="00BB7EDA" w:rsidRDefault="007D72B3">
      <w:pPr>
        <w:pStyle w:val="Bodytext20"/>
        <w:shd w:val="clear" w:color="auto" w:fill="auto"/>
        <w:spacing w:before="0"/>
      </w:pPr>
      <w:r>
        <w:pict>
          <v:shape id="_x0000_s1110" type="#_x0000_t202" style="position:absolute;left:0;text-align:left;margin-left:-2.1pt;margin-top:-82.1pt;width:78.5pt;height:60.7pt;z-index:-125829360;mso-wrap-distance-left:5pt;mso-wrap-distance-right:16.1pt;mso-position-horizontal-relative:margin" filled="f" stroked="f">
            <v:textbox style="mso-fit-shape-to-text:t" inset="0,0,0,0">
              <w:txbxContent>
                <w:p w:rsidR="00BB7EDA" w:rsidRDefault="007D72B3">
                  <w:pPr>
                    <w:pStyle w:val="Bodytext120"/>
                    <w:shd w:val="clear" w:color="auto" w:fill="auto"/>
                    <w:spacing w:before="0" w:after="0"/>
                  </w:pPr>
                  <w:r>
                    <w:rPr>
                      <w:rStyle w:val="Bodytext12Exact"/>
                    </w:rPr>
                    <w:t>Abb. 12 Ak</w:t>
                  </w:r>
                  <w:r>
                    <w:rPr>
                      <w:rStyle w:val="Bodytext12Exact"/>
                    </w:rPr>
                    <w:t>kadische Keilschrift 6. Jh. v. Chr. (Nabonidus-Chronik, Rückseite, Spalte III). (Bibelbund Deutsch</w:t>
                  </w:r>
                  <w:r>
                    <w:rPr>
                      <w:rStyle w:val="Bodytext12Exact"/>
                    </w:rPr>
                    <w:softHyphen/>
                    <w:t>land)</w:t>
                  </w:r>
                </w:p>
              </w:txbxContent>
            </v:textbox>
            <w10:wrap type="topAndBottom" anchorx="margin"/>
          </v:shape>
        </w:pict>
      </w:r>
      <w:r>
        <w:pict>
          <v:shape id="_x0000_s1111" type="#_x0000_t202" style="position:absolute;left:0;text-align:left;margin-left:92.45pt;margin-top:-288.5pt;width:181.9pt;height:263.05pt;z-index:-125829359;mso-wrap-distance-left:5pt;mso-wrap-distance-right:5pt;mso-position-horizontal-relative:margin" filled="f" stroked="f">
            <v:textbox style="mso-fit-shape-to-text:t" inset="0,0,0,0">
              <w:txbxContent>
                <w:p w:rsidR="00BB7EDA" w:rsidRDefault="007D72B3">
                  <w:pPr>
                    <w:pStyle w:val="Bodytext18"/>
                    <w:shd w:val="clear" w:color="auto" w:fill="auto"/>
                    <w:tabs>
                      <w:tab w:val="left" w:pos="2517"/>
                    </w:tabs>
                    <w:spacing w:line="160" w:lineRule="exact"/>
                    <w:ind w:left="280"/>
                  </w:pPr>
                  <w:r>
                    <w:t>ff-, :&gt;Z-...öiSHZt: : ; '</w:t>
                  </w:r>
                  <w:r>
                    <w:tab/>
                  </w:r>
                  <w:r>
                    <w:rPr>
                      <w:rStyle w:val="Bodytext18PalatinoLinotype65ptExact"/>
                    </w:rPr>
                    <w:t>v..</w:t>
                  </w:r>
                </w:p>
                <w:p w:rsidR="00BB7EDA" w:rsidRPr="007D72B3" w:rsidRDefault="007D72B3">
                  <w:pPr>
                    <w:pStyle w:val="Bodytext19"/>
                    <w:shd w:val="clear" w:color="auto" w:fill="auto"/>
                    <w:tabs>
                      <w:tab w:val="left" w:pos="1936"/>
                    </w:tabs>
                    <w:ind w:left="280"/>
                    <w:rPr>
                      <w:lang w:val="en-US"/>
                    </w:rPr>
                  </w:pPr>
                  <w:r w:rsidRPr="007D72B3">
                    <w:rPr>
                      <w:lang w:val="en-US"/>
                    </w:rPr>
                    <w:t xml:space="preserve">' </w:t>
                  </w:r>
                  <w:r w:rsidRPr="007D72B3">
                    <w:rPr>
                      <w:rStyle w:val="Bodytext196ptItalicSpacing0ptExact"/>
                      <w:lang w:val="en-US"/>
                    </w:rPr>
                    <w:t>c'.tf</w:t>
                  </w:r>
                  <w:r w:rsidRPr="007D72B3">
                    <w:rPr>
                      <w:rStyle w:val="Bodytext19SmallCapsExact"/>
                      <w:lang w:val="en-US"/>
                    </w:rPr>
                    <w:tab/>
                    <w:t>A"A'.üZ-’A.</w:t>
                  </w:r>
                </w:p>
                <w:p w:rsidR="00BB7EDA" w:rsidRDefault="007D72B3">
                  <w:pPr>
                    <w:pStyle w:val="Bodytext200"/>
                    <w:shd w:val="clear" w:color="auto" w:fill="auto"/>
                    <w:tabs>
                      <w:tab w:val="left" w:pos="2485"/>
                    </w:tabs>
                    <w:ind w:left="1880"/>
                  </w:pPr>
                  <w:r>
                    <w:t>V.’;</w:t>
                  </w:r>
                  <w:r>
                    <w:tab/>
                    <w:t>' öZ: ■' , t</w:t>
                  </w:r>
                </w:p>
                <w:p w:rsidR="00BB7EDA" w:rsidRDefault="007D72B3">
                  <w:pPr>
                    <w:pStyle w:val="Bodytext20"/>
                    <w:shd w:val="clear" w:color="auto" w:fill="auto"/>
                    <w:tabs>
                      <w:tab w:val="left" w:pos="3191"/>
                    </w:tabs>
                    <w:spacing w:before="0" w:after="173" w:line="216" w:lineRule="exact"/>
                    <w:ind w:left="2500"/>
                  </w:pPr>
                  <w:r>
                    <w:rPr>
                      <w:rStyle w:val="Bodytext2Exact"/>
                    </w:rPr>
                    <w:t>. c:.</w:t>
                  </w:r>
                  <w:r>
                    <w:rPr>
                      <w:rStyle w:val="Bodytext2Exact"/>
                    </w:rPr>
                    <w:tab/>
                  </w:r>
                  <w:r>
                    <w:rPr>
                      <w:rStyle w:val="Bodytext2Exact"/>
                      <w:vertAlign w:val="superscript"/>
                    </w:rPr>
                    <w:t>:</w:t>
                  </w:r>
                  <w:r>
                    <w:rPr>
                      <w:rStyle w:val="Bodytext2Exact"/>
                    </w:rPr>
                    <w:t>:</w:t>
                  </w:r>
                </w:p>
                <w:p w:rsidR="00BB7EDA" w:rsidRDefault="007D72B3">
                  <w:pPr>
                    <w:pStyle w:val="Bodytext210"/>
                    <w:shd w:val="clear" w:color="auto" w:fill="auto"/>
                    <w:spacing w:before="0" w:line="150" w:lineRule="exact"/>
                    <w:ind w:left="2400"/>
                  </w:pPr>
                  <w:r>
                    <w:rPr>
                      <w:rStyle w:val="Bodytext21SmallCapsExact"/>
                    </w:rPr>
                    <w:t>;; Ja' AZA</w:t>
                  </w:r>
                </w:p>
                <w:p w:rsidR="00BB7EDA" w:rsidRPr="007D72B3" w:rsidRDefault="007D72B3">
                  <w:pPr>
                    <w:pStyle w:val="Bodytext20"/>
                    <w:shd w:val="clear" w:color="auto" w:fill="auto"/>
                    <w:spacing w:before="0" w:line="192" w:lineRule="exact"/>
                    <w:ind w:left="280" w:right="540"/>
                    <w:jc w:val="left"/>
                    <w:rPr>
                      <w:lang w:val="en-US"/>
                    </w:rPr>
                  </w:pPr>
                  <w:r w:rsidRPr="007D72B3">
                    <w:rPr>
                      <w:rStyle w:val="Bodytext2Spacing19ptExact"/>
                      <w:lang w:val="en-US"/>
                    </w:rPr>
                    <w:t xml:space="preserve">v-‘-,}' i </w:t>
                  </w:r>
                  <w:r w:rsidRPr="007D72B3">
                    <w:rPr>
                      <w:rStyle w:val="Bodytext2Spacing33ptExact"/>
                      <w:lang w:val="en-US"/>
                    </w:rPr>
                    <w:t>:'</w:t>
                  </w:r>
                  <w:r w:rsidRPr="007D72B3">
                    <w:rPr>
                      <w:rStyle w:val="Bodytext2Spacing33ptExact"/>
                      <w:vertAlign w:val="superscript"/>
                      <w:lang w:val="en-US"/>
                    </w:rPr>
                    <w:t>:</w:t>
                  </w:r>
                  <w:r w:rsidRPr="007D72B3">
                    <w:rPr>
                      <w:rStyle w:val="Bodytext2Spacing33ptExact"/>
                      <w:lang w:val="en-US"/>
                    </w:rPr>
                    <w:t>:</w:t>
                  </w:r>
                  <w:r w:rsidRPr="007D72B3">
                    <w:rPr>
                      <w:rStyle w:val="Bodytext2Exact"/>
                      <w:lang w:val="en-US"/>
                    </w:rPr>
                    <w:t xml:space="preserve"> </w:t>
                  </w:r>
                  <w:r w:rsidRPr="007D72B3">
                    <w:rPr>
                      <w:rStyle w:val="Bodytext2Exact"/>
                      <w:vertAlign w:val="subscript"/>
                      <w:lang w:val="en-US"/>
                    </w:rPr>
                    <w:t>:</w:t>
                  </w:r>
                  <w:r w:rsidRPr="007D72B3">
                    <w:rPr>
                      <w:rStyle w:val="Bodytext2Exact"/>
                      <w:lang w:val="en-US"/>
                    </w:rPr>
                    <w:t xml:space="preserve">Z'•. </w:t>
                  </w:r>
                  <w:r w:rsidRPr="007D72B3">
                    <w:rPr>
                      <w:rStyle w:val="Bodytext2SmallCapsExact"/>
                      <w:lang w:val="en-US"/>
                    </w:rPr>
                    <w:t>a</w:t>
                  </w:r>
                </w:p>
                <w:p w:rsidR="00BB7EDA" w:rsidRPr="007D72B3" w:rsidRDefault="007D72B3">
                  <w:pPr>
                    <w:pStyle w:val="Bodytext80"/>
                    <w:shd w:val="clear" w:color="auto" w:fill="auto"/>
                    <w:spacing w:after="214" w:line="192" w:lineRule="exact"/>
                    <w:ind w:left="280"/>
                    <w:rPr>
                      <w:lang w:val="en-US"/>
                    </w:rPr>
                  </w:pPr>
                  <w:r w:rsidRPr="007D72B3">
                    <w:rPr>
                      <w:rStyle w:val="Bodytext8Exact"/>
                      <w:i/>
                      <w:iCs/>
                      <w:lang w:val="en-US"/>
                    </w:rPr>
                    <w:t>&gt;</w:t>
                  </w:r>
                </w:p>
                <w:p w:rsidR="00BB7EDA" w:rsidRPr="007D72B3" w:rsidRDefault="007D72B3">
                  <w:pPr>
                    <w:pStyle w:val="Bodytext14"/>
                    <w:shd w:val="clear" w:color="auto" w:fill="auto"/>
                    <w:spacing w:after="624" w:line="150" w:lineRule="exact"/>
                    <w:ind w:left="2500"/>
                    <w:jc w:val="both"/>
                    <w:rPr>
                      <w:lang w:val="en-US"/>
                    </w:rPr>
                  </w:pPr>
                  <w:r w:rsidRPr="007D72B3">
                    <w:rPr>
                      <w:lang w:val="en-US"/>
                    </w:rPr>
                    <w:t xml:space="preserve">Wü-,’- </w:t>
                  </w:r>
                  <w:r w:rsidRPr="007D72B3">
                    <w:rPr>
                      <w:vertAlign w:val="superscript"/>
                      <w:lang w:val="en-US"/>
                    </w:rPr>
                    <w:t>;</w:t>
                  </w:r>
                  <w:r w:rsidRPr="007D72B3">
                    <w:rPr>
                      <w:lang w:val="en-US"/>
                    </w:rPr>
                    <w:t>Z</w:t>
                  </w:r>
                </w:p>
                <w:p w:rsidR="00BB7EDA" w:rsidRDefault="007D72B3">
                  <w:pPr>
                    <w:pStyle w:val="Bodytext22"/>
                    <w:shd w:val="clear" w:color="auto" w:fill="auto"/>
                    <w:tabs>
                      <w:tab w:val="left" w:pos="1070"/>
                    </w:tabs>
                    <w:spacing w:before="0" w:line="140" w:lineRule="exact"/>
                  </w:pPr>
                  <w:r>
                    <w:t>is</w:t>
                  </w:r>
                  <w:r>
                    <w:tab/>
                    <w:t>I'Zty fj</w:t>
                  </w:r>
                </w:p>
              </w:txbxContent>
            </v:textbox>
            <w10:wrap type="topAndBottom" anchorx="margin"/>
          </v:shape>
        </w:pict>
      </w:r>
      <w:r>
        <w:t>ihrer Sprache</w:t>
      </w:r>
      <w:r>
        <w:t xml:space="preserve"> recht ungeignet. Akkadisch</w:t>
      </w:r>
      <w:r>
        <w:rPr>
          <w:vertAlign w:val="superscript"/>
        </w:rPr>
        <w:footnoteReference w:id="295"/>
      </w:r>
      <w:r>
        <w:t xml:space="preserve"> ist ja, wie schon an früherer Stelle erwähnt, eine semitische Sprache und damit struktu</w:t>
      </w:r>
      <w:r>
        <w:softHyphen/>
        <w:t>rell ganz anders aufgebaut als das Sumerische.</w:t>
      </w:r>
    </w:p>
    <w:p w:rsidR="00BB7EDA" w:rsidRDefault="007D72B3">
      <w:pPr>
        <w:pStyle w:val="Bodytext20"/>
        <w:shd w:val="clear" w:color="auto" w:fill="auto"/>
        <w:spacing w:before="0" w:after="340"/>
        <w:ind w:firstLine="320"/>
      </w:pPr>
      <w:r>
        <w:t>Die jüngsten akkadischen Inschiiften stammen aus der Zeit um 70 n. Chr. Somit kann diese Spr</w:t>
      </w:r>
      <w:r>
        <w:t>ache über einen Zeitraum von annähernd 2.600 Jahren untersucht werden.</w:t>
      </w:r>
    </w:p>
    <w:p w:rsidR="00BB7EDA" w:rsidRDefault="007D72B3">
      <w:pPr>
        <w:pStyle w:val="Heading50"/>
        <w:keepNext/>
        <w:keepLines/>
        <w:numPr>
          <w:ilvl w:val="2"/>
          <w:numId w:val="138"/>
        </w:numPr>
        <w:shd w:val="clear" w:color="auto" w:fill="auto"/>
        <w:tabs>
          <w:tab w:val="left" w:pos="495"/>
        </w:tabs>
        <w:spacing w:after="214" w:line="180" w:lineRule="exact"/>
      </w:pPr>
      <w:bookmarkStart w:id="76" w:name="bookmark75"/>
      <w:r>
        <w:t>Zur Einordnung des Akkadischen</w:t>
      </w:r>
      <w:bookmarkEnd w:id="76"/>
    </w:p>
    <w:p w:rsidR="00BB7EDA" w:rsidRDefault="007D72B3">
      <w:pPr>
        <w:pStyle w:val="Bodytext20"/>
        <w:shd w:val="clear" w:color="auto" w:fill="auto"/>
        <w:spacing w:before="0" w:after="460"/>
      </w:pPr>
      <w:r>
        <w:t xml:space="preserve">Das Akkadische gehört zum </w:t>
      </w:r>
      <w:r>
        <w:rPr>
          <w:rStyle w:val="Bodytext2Italic0"/>
        </w:rPr>
        <w:t>Hamito-Semitischen,</w:t>
      </w:r>
      <w:r>
        <w:t xml:space="preserve"> und innerhalb die</w:t>
      </w:r>
      <w:r>
        <w:softHyphen/>
        <w:t xml:space="preserve">ses Stammes zu den </w:t>
      </w:r>
      <w:r>
        <w:rPr>
          <w:rStyle w:val="Bodytext2Italic0"/>
        </w:rPr>
        <w:t>semitischen Sprachen.</w:t>
      </w:r>
      <w:r>
        <w:t xml:space="preserve"> Typologisch gesehen han</w:t>
      </w:r>
      <w:r>
        <w:softHyphen/>
      </w:r>
      <w:r>
        <w:br w:type="page"/>
        <w:t>delt es sich beim Akkadi</w:t>
      </w:r>
      <w:r>
        <w:t xml:space="preserve">schen, wie überall im Semitischen, um eine </w:t>
      </w:r>
      <w:r>
        <w:rPr>
          <w:rStyle w:val="Bodytext2Italic0"/>
        </w:rPr>
        <w:t>flektierende Sprache.</w:t>
      </w:r>
      <w:r>
        <w:t xml:space="preserve"> Gegenüber den anderen semitischen Sprachen weist das Akkadische allerdings gewisse Eigenheiten auf. Es hat nämlich starke Beeinflussungen durch das Sumerische erlitten, weil die Akkader kultu</w:t>
      </w:r>
      <w:r>
        <w:t>rell ausnehmend von den Sumerern abhängig waren. Zudem hatten sich die beiden Völker allmählich völlig mit</w:t>
      </w:r>
      <w:r>
        <w:softHyphen/>
        <w:t>einander vermischt.</w:t>
      </w:r>
    </w:p>
    <w:p w:rsidR="00BB7EDA" w:rsidRDefault="007D72B3">
      <w:pPr>
        <w:pStyle w:val="Bodytext90"/>
        <w:numPr>
          <w:ilvl w:val="2"/>
          <w:numId w:val="138"/>
        </w:numPr>
        <w:shd w:val="clear" w:color="auto" w:fill="auto"/>
        <w:tabs>
          <w:tab w:val="left" w:pos="551"/>
        </w:tabs>
        <w:spacing w:after="159" w:line="180" w:lineRule="exact"/>
      </w:pPr>
      <w:r>
        <w:t>Perioden der Sprachgeschichte</w:t>
      </w:r>
    </w:p>
    <w:p w:rsidR="00BB7EDA" w:rsidRDefault="007D72B3">
      <w:pPr>
        <w:pStyle w:val="Bodytext20"/>
        <w:numPr>
          <w:ilvl w:val="0"/>
          <w:numId w:val="140"/>
        </w:numPr>
        <w:shd w:val="clear" w:color="auto" w:fill="auto"/>
        <w:tabs>
          <w:tab w:val="left" w:pos="332"/>
        </w:tabs>
        <w:spacing w:before="0" w:after="60"/>
        <w:ind w:left="360" w:hanging="360"/>
        <w:jc w:val="left"/>
      </w:pPr>
      <w:r w:rsidRPr="007D72B3">
        <w:rPr>
          <w:rStyle w:val="Bodytext2Italic0"/>
          <w:lang w:val="en-US"/>
        </w:rPr>
        <w:t>Altakkadisch:</w:t>
      </w:r>
      <w:r w:rsidRPr="007D72B3">
        <w:rPr>
          <w:lang w:val="en-US"/>
        </w:rPr>
        <w:t xml:space="preserve"> ca. 2500 - ca. 2000 v. Chr. </w:t>
      </w:r>
      <w:r>
        <w:t>Später teilte sich das Akkadische in zwei Hauptdialekte a</w:t>
      </w:r>
      <w:r>
        <w:t>uf:</w:t>
      </w:r>
    </w:p>
    <w:p w:rsidR="00BB7EDA" w:rsidRPr="007D72B3" w:rsidRDefault="007D72B3">
      <w:pPr>
        <w:pStyle w:val="Bodytext20"/>
        <w:numPr>
          <w:ilvl w:val="0"/>
          <w:numId w:val="140"/>
        </w:numPr>
        <w:shd w:val="clear" w:color="auto" w:fill="auto"/>
        <w:tabs>
          <w:tab w:val="left" w:pos="332"/>
        </w:tabs>
        <w:spacing w:before="0"/>
        <w:rPr>
          <w:lang w:val="en-US"/>
        </w:rPr>
      </w:pPr>
      <w:r w:rsidRPr="007D72B3">
        <w:rPr>
          <w:rStyle w:val="Bodytext2Italic0"/>
          <w:lang w:val="en-US"/>
        </w:rPr>
        <w:t>1. Altbabylonisch:</w:t>
      </w:r>
      <w:r w:rsidRPr="007D72B3">
        <w:rPr>
          <w:lang w:val="en-US"/>
        </w:rPr>
        <w:t xml:space="preserve"> ca. 2000 - ca. 1500 v. Chr.</w:t>
      </w:r>
      <w:r>
        <w:rPr>
          <w:vertAlign w:val="superscript"/>
        </w:rPr>
        <w:footnoteReference w:id="296"/>
      </w:r>
    </w:p>
    <w:p w:rsidR="00BB7EDA" w:rsidRDefault="007D72B3">
      <w:pPr>
        <w:pStyle w:val="Bodytext20"/>
        <w:numPr>
          <w:ilvl w:val="0"/>
          <w:numId w:val="141"/>
        </w:numPr>
        <w:shd w:val="clear" w:color="auto" w:fill="auto"/>
        <w:tabs>
          <w:tab w:val="left" w:pos="653"/>
          <w:tab w:val="left" w:pos="661"/>
        </w:tabs>
        <w:spacing w:before="0" w:after="100"/>
        <w:ind w:left="360"/>
      </w:pPr>
      <w:r>
        <w:rPr>
          <w:rStyle w:val="Bodytext2Italic0"/>
        </w:rPr>
        <w:t>Altassyrisch:</w:t>
      </w:r>
      <w:r>
        <w:t xml:space="preserve"> ca. 19. und 18. Jh. v. Chr.</w:t>
      </w:r>
      <w:r>
        <w:rPr>
          <w:vertAlign w:val="superscript"/>
        </w:rPr>
        <w:footnoteReference w:id="297"/>
      </w:r>
    </w:p>
    <w:p w:rsidR="00BB7EDA" w:rsidRDefault="007D72B3">
      <w:pPr>
        <w:pStyle w:val="Bodytext20"/>
        <w:numPr>
          <w:ilvl w:val="0"/>
          <w:numId w:val="140"/>
        </w:numPr>
        <w:shd w:val="clear" w:color="auto" w:fill="auto"/>
        <w:tabs>
          <w:tab w:val="left" w:pos="332"/>
        </w:tabs>
        <w:spacing w:before="0" w:after="19" w:line="180" w:lineRule="exact"/>
      </w:pPr>
      <w:r>
        <w:rPr>
          <w:rStyle w:val="Bodytext2Italic0"/>
        </w:rPr>
        <w:t>1. Mittelbabylonisch:</w:t>
      </w:r>
      <w:r>
        <w:t xml:space="preserve"> ca. 1500 - ca. 1000 v. Chr.</w:t>
      </w:r>
    </w:p>
    <w:p w:rsidR="00BB7EDA" w:rsidRDefault="007D72B3">
      <w:pPr>
        <w:pStyle w:val="Bodytext20"/>
        <w:numPr>
          <w:ilvl w:val="0"/>
          <w:numId w:val="142"/>
        </w:numPr>
        <w:shd w:val="clear" w:color="auto" w:fill="auto"/>
        <w:tabs>
          <w:tab w:val="left" w:pos="657"/>
        </w:tabs>
        <w:spacing w:before="0" w:after="79" w:line="180" w:lineRule="exact"/>
        <w:ind w:left="360"/>
      </w:pPr>
      <w:r>
        <w:rPr>
          <w:rStyle w:val="Bodytext2Italic0"/>
        </w:rPr>
        <w:t>Mittelassyrisch:</w:t>
      </w:r>
      <w:r>
        <w:t xml:space="preserve"> ca. 1500 - ca. 1000 v. Chr.</w:t>
      </w:r>
    </w:p>
    <w:p w:rsidR="00BB7EDA" w:rsidRPr="007D72B3" w:rsidRDefault="007D72B3">
      <w:pPr>
        <w:pStyle w:val="Bodytext20"/>
        <w:numPr>
          <w:ilvl w:val="0"/>
          <w:numId w:val="140"/>
        </w:numPr>
        <w:shd w:val="clear" w:color="auto" w:fill="auto"/>
        <w:tabs>
          <w:tab w:val="left" w:pos="332"/>
        </w:tabs>
        <w:spacing w:before="0" w:after="24" w:line="180" w:lineRule="exact"/>
        <w:rPr>
          <w:lang w:val="en-US"/>
        </w:rPr>
      </w:pPr>
      <w:r w:rsidRPr="007D72B3">
        <w:rPr>
          <w:rStyle w:val="Bodytext2Italic0"/>
          <w:lang w:val="en-US"/>
        </w:rPr>
        <w:t>1. Neubabylonisch:</w:t>
      </w:r>
      <w:r w:rsidRPr="007D72B3">
        <w:rPr>
          <w:lang w:val="en-US"/>
        </w:rPr>
        <w:t xml:space="preserve"> ca. 1000 - ca. 500 v. Chr.</w:t>
      </w:r>
    </w:p>
    <w:p w:rsidR="00BB7EDA" w:rsidRDefault="007D72B3">
      <w:pPr>
        <w:pStyle w:val="Bodytext20"/>
        <w:shd w:val="clear" w:color="auto" w:fill="auto"/>
        <w:spacing w:before="0" w:after="79" w:line="180" w:lineRule="exact"/>
        <w:ind w:left="360"/>
      </w:pPr>
      <w:r>
        <w:t xml:space="preserve">2. </w:t>
      </w:r>
      <w:r>
        <w:rPr>
          <w:rStyle w:val="Bodytext2Italic0"/>
        </w:rPr>
        <w:t>Neuassyrisch:</w:t>
      </w:r>
      <w:r>
        <w:t xml:space="preserve"> ca. 1000 - 612 v. Chr.</w:t>
      </w:r>
      <w:r>
        <w:rPr>
          <w:vertAlign w:val="superscript"/>
        </w:rPr>
        <w:footnoteReference w:id="298"/>
      </w:r>
    </w:p>
    <w:p w:rsidR="00BB7EDA" w:rsidRDefault="007D72B3">
      <w:pPr>
        <w:pStyle w:val="Bodytext20"/>
        <w:numPr>
          <w:ilvl w:val="0"/>
          <w:numId w:val="140"/>
        </w:numPr>
        <w:shd w:val="clear" w:color="auto" w:fill="auto"/>
        <w:tabs>
          <w:tab w:val="left" w:pos="332"/>
        </w:tabs>
        <w:spacing w:before="0" w:after="159" w:line="180" w:lineRule="exact"/>
      </w:pPr>
      <w:r>
        <w:rPr>
          <w:rStyle w:val="Bodytext2Italic0"/>
        </w:rPr>
        <w:t>Spätbabylonisch:</w:t>
      </w:r>
      <w:r>
        <w:t xml:space="preserve"> ca. 500 v. Chr. - 70 n. Chr.</w:t>
      </w:r>
    </w:p>
    <w:p w:rsidR="00BB7EDA" w:rsidRDefault="007D72B3">
      <w:pPr>
        <w:pStyle w:val="Bodytext20"/>
        <w:shd w:val="clear" w:color="auto" w:fill="auto"/>
        <w:spacing w:before="0" w:after="460"/>
        <w:ind w:firstLine="360"/>
        <w:jc w:val="left"/>
      </w:pPr>
      <w:r>
        <w:t>Im Folgenden sollen das Nominal und das Verbalsystem recht ausführlich zur Sprache kommen.</w:t>
      </w:r>
      <w:r>
        <w:rPr>
          <w:vertAlign w:val="superscript"/>
        </w:rPr>
        <w:footnoteReference w:id="299"/>
      </w:r>
    </w:p>
    <w:p w:rsidR="00BB7EDA" w:rsidRDefault="007D72B3">
      <w:pPr>
        <w:pStyle w:val="Bodytext90"/>
        <w:numPr>
          <w:ilvl w:val="2"/>
          <w:numId w:val="138"/>
        </w:numPr>
        <w:shd w:val="clear" w:color="auto" w:fill="auto"/>
        <w:tabs>
          <w:tab w:val="left" w:pos="546"/>
        </w:tabs>
        <w:spacing w:after="159" w:line="180" w:lineRule="exact"/>
      </w:pPr>
      <w:r>
        <w:t>Zum Nominalsystem</w:t>
      </w:r>
    </w:p>
    <w:p w:rsidR="00BB7EDA" w:rsidRDefault="007D72B3">
      <w:pPr>
        <w:pStyle w:val="Bodytext20"/>
        <w:shd w:val="clear" w:color="auto" w:fill="auto"/>
        <w:spacing w:before="0"/>
      </w:pPr>
      <w:r>
        <w:t>Das akkadische Nominalsystem kennt zwei Geschlechter</w:t>
      </w:r>
    </w:p>
    <w:p w:rsidR="00BB7EDA" w:rsidRDefault="007D72B3">
      <w:pPr>
        <w:pStyle w:val="Bodytext20"/>
        <w:shd w:val="clear" w:color="auto" w:fill="auto"/>
        <w:spacing w:before="0"/>
      </w:pPr>
      <w:r>
        <w:t xml:space="preserve">(maskulinum und </w:t>
      </w:r>
      <w:r>
        <w:t>femininum), drei Numeri (Singular, Plural und</w:t>
      </w:r>
    </w:p>
    <w:p w:rsidR="00BB7EDA" w:rsidRDefault="007D72B3">
      <w:pPr>
        <w:pStyle w:val="Bodytext20"/>
        <w:shd w:val="clear" w:color="auto" w:fill="auto"/>
        <w:spacing w:before="0"/>
      </w:pPr>
      <w:r>
        <w:t>Dual), einen Status rectus und einen Status constructus, sowie drei</w:t>
      </w:r>
    </w:p>
    <w:p w:rsidR="00BB7EDA" w:rsidRDefault="007D72B3">
      <w:pPr>
        <w:pStyle w:val="Bodytext20"/>
        <w:shd w:val="clear" w:color="auto" w:fill="auto"/>
        <w:spacing w:before="0" w:line="226" w:lineRule="exact"/>
      </w:pPr>
      <w:r>
        <w:t>Kasus (Nominativ, Genitiv und Akkusativ). Hinzu kommen aller</w:t>
      </w:r>
      <w:r>
        <w:softHyphen/>
        <w:t>dings eigentlich noch zwei weitere seltenere Fallformen: Der Loka</w:t>
      </w:r>
      <w:r>
        <w:softHyphen/>
        <w:t xml:space="preserve">tiv-Adverbial </w:t>
      </w:r>
      <w:r>
        <w:t>und der Terminativ-Adverbial.</w:t>
      </w:r>
    </w:p>
    <w:p w:rsidR="00BB7EDA" w:rsidRDefault="007D72B3">
      <w:pPr>
        <w:pStyle w:val="Bodytext20"/>
        <w:shd w:val="clear" w:color="auto" w:fill="auto"/>
        <w:spacing w:before="0" w:line="226" w:lineRule="exact"/>
        <w:ind w:firstLine="320"/>
      </w:pPr>
      <w:r>
        <w:t xml:space="preserve">Damit man sich eine konkretere Vorstellung der Deklinationen im Akkadischen machen kann, soll das Wort </w:t>
      </w:r>
      <w:r>
        <w:rPr>
          <w:rStyle w:val="Bodytext2Italic0"/>
        </w:rPr>
        <w:t>kalburn</w:t>
      </w:r>
      <w:r>
        <w:t xml:space="preserve"> („Hund") bzw. der entsprechende feminine Ausdruck </w:t>
      </w:r>
      <w:r>
        <w:rPr>
          <w:rStyle w:val="Bodytext2Italic0"/>
        </w:rPr>
        <w:t>kalbatum</w:t>
      </w:r>
      <w:r>
        <w:t xml:space="preserve"> („Hündin") als Illustrationsbeispiel durchexerziert werd</w:t>
      </w:r>
      <w:r>
        <w:t>en. Die in der Transkripti</w:t>
      </w:r>
      <w:r>
        <w:softHyphen/>
        <w:t>on verwendeten Bindestriche sind als Hilfe gedacht, um dem Leser wiederum die Formenbildung etwas klarer zu verdeutlichen.</w:t>
      </w:r>
    </w:p>
    <w:p w:rsidR="00BB7EDA" w:rsidRDefault="007D72B3">
      <w:pPr>
        <w:pStyle w:val="Tablecaption0"/>
        <w:framePr w:w="2846" w:hSpace="566" w:wrap="notBeside" w:vAnchor="text" w:hAnchor="text" w:xAlign="center" w:y="1"/>
        <w:shd w:val="clear" w:color="auto" w:fill="auto"/>
        <w:spacing w:line="180" w:lineRule="exact"/>
      </w:pPr>
      <w:r>
        <w:t>Status rectus, mask.</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56"/>
        <w:gridCol w:w="1118"/>
        <w:gridCol w:w="672"/>
      </w:tblGrid>
      <w:tr w:rsidR="00BB7EDA">
        <w:tblPrEx>
          <w:tblCellMar>
            <w:top w:w="0" w:type="dxa"/>
            <w:bottom w:w="0" w:type="dxa"/>
          </w:tblCellMar>
        </w:tblPrEx>
        <w:trPr>
          <w:trHeight w:hRule="exact" w:val="278"/>
          <w:jc w:val="center"/>
        </w:trPr>
        <w:tc>
          <w:tcPr>
            <w:tcW w:w="1056" w:type="dxa"/>
            <w:shd w:val="clear" w:color="auto" w:fill="FFFFFF"/>
          </w:tcPr>
          <w:p w:rsidR="00BB7EDA" w:rsidRDefault="00BB7EDA">
            <w:pPr>
              <w:framePr w:w="2846" w:hSpace="566" w:wrap="notBeside" w:vAnchor="text" w:hAnchor="text" w:xAlign="center" w:y="1"/>
              <w:rPr>
                <w:sz w:val="10"/>
                <w:szCs w:val="10"/>
              </w:rPr>
            </w:pPr>
          </w:p>
        </w:tc>
        <w:tc>
          <w:tcPr>
            <w:tcW w:w="1118"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Singular</w:t>
            </w:r>
          </w:p>
        </w:tc>
        <w:tc>
          <w:tcPr>
            <w:tcW w:w="672"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50"/>
          <w:jc w:val="center"/>
        </w:trPr>
        <w:tc>
          <w:tcPr>
            <w:tcW w:w="1056"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Nominativ:</w:t>
            </w:r>
          </w:p>
        </w:tc>
        <w:tc>
          <w:tcPr>
            <w:tcW w:w="1118"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kalb-um</w:t>
            </w:r>
          </w:p>
        </w:tc>
        <w:tc>
          <w:tcPr>
            <w:tcW w:w="672"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kalb-ü</w:t>
            </w:r>
          </w:p>
        </w:tc>
      </w:tr>
      <w:tr w:rsidR="00BB7EDA">
        <w:tblPrEx>
          <w:tblCellMar>
            <w:top w:w="0" w:type="dxa"/>
            <w:bottom w:w="0" w:type="dxa"/>
          </w:tblCellMar>
        </w:tblPrEx>
        <w:trPr>
          <w:trHeight w:hRule="exact" w:val="230"/>
          <w:jc w:val="center"/>
        </w:trPr>
        <w:tc>
          <w:tcPr>
            <w:tcW w:w="1056"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Genitiv:</w:t>
            </w:r>
          </w:p>
        </w:tc>
        <w:tc>
          <w:tcPr>
            <w:tcW w:w="1118"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kalb-im</w:t>
            </w:r>
          </w:p>
        </w:tc>
        <w:tc>
          <w:tcPr>
            <w:tcW w:w="672"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kalb-i</w:t>
            </w:r>
          </w:p>
        </w:tc>
      </w:tr>
      <w:tr w:rsidR="00BB7EDA">
        <w:tblPrEx>
          <w:tblCellMar>
            <w:top w:w="0" w:type="dxa"/>
            <w:bottom w:w="0" w:type="dxa"/>
          </w:tblCellMar>
        </w:tblPrEx>
        <w:trPr>
          <w:trHeight w:hRule="exact" w:val="374"/>
          <w:jc w:val="center"/>
        </w:trPr>
        <w:tc>
          <w:tcPr>
            <w:tcW w:w="1056"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Akkusativ:</w:t>
            </w:r>
          </w:p>
        </w:tc>
        <w:tc>
          <w:tcPr>
            <w:tcW w:w="1118"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kalb-am</w:t>
            </w:r>
          </w:p>
        </w:tc>
        <w:tc>
          <w:tcPr>
            <w:tcW w:w="672"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kalb-i</w:t>
            </w:r>
          </w:p>
        </w:tc>
      </w:tr>
      <w:tr w:rsidR="00BB7EDA">
        <w:tblPrEx>
          <w:tblCellMar>
            <w:top w:w="0" w:type="dxa"/>
            <w:bottom w:w="0" w:type="dxa"/>
          </w:tblCellMar>
        </w:tblPrEx>
        <w:trPr>
          <w:trHeight w:hRule="exact" w:val="365"/>
          <w:jc w:val="center"/>
        </w:trPr>
        <w:tc>
          <w:tcPr>
            <w:tcW w:w="2174" w:type="dxa"/>
            <w:gridSpan w:val="2"/>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Status constructus, mask.</w:t>
            </w:r>
          </w:p>
        </w:tc>
        <w:tc>
          <w:tcPr>
            <w:tcW w:w="672" w:type="dxa"/>
            <w:shd w:val="clear" w:color="auto" w:fill="FFFFFF"/>
          </w:tcPr>
          <w:p w:rsidR="00BB7EDA" w:rsidRDefault="00BB7EDA">
            <w:pPr>
              <w:framePr w:w="2846" w:hSpace="566" w:wrap="notBeside" w:vAnchor="text" w:hAnchor="text" w:xAlign="center" w:y="1"/>
              <w:rPr>
                <w:sz w:val="10"/>
                <w:szCs w:val="10"/>
              </w:rPr>
            </w:pPr>
          </w:p>
        </w:tc>
      </w:tr>
      <w:tr w:rsidR="00BB7EDA">
        <w:tblPrEx>
          <w:tblCellMar>
            <w:top w:w="0" w:type="dxa"/>
            <w:bottom w:w="0" w:type="dxa"/>
          </w:tblCellMar>
        </w:tblPrEx>
        <w:trPr>
          <w:trHeight w:hRule="exact" w:val="293"/>
          <w:jc w:val="center"/>
        </w:trPr>
        <w:tc>
          <w:tcPr>
            <w:tcW w:w="1056" w:type="dxa"/>
            <w:shd w:val="clear" w:color="auto" w:fill="FFFFFF"/>
          </w:tcPr>
          <w:p w:rsidR="00BB7EDA" w:rsidRDefault="00BB7EDA">
            <w:pPr>
              <w:framePr w:w="2846" w:hSpace="566" w:wrap="notBeside" w:vAnchor="text" w:hAnchor="text" w:xAlign="center" w:y="1"/>
              <w:rPr>
                <w:sz w:val="10"/>
                <w:szCs w:val="10"/>
              </w:rPr>
            </w:pPr>
          </w:p>
        </w:tc>
        <w:tc>
          <w:tcPr>
            <w:tcW w:w="1118"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Singular</w:t>
            </w:r>
          </w:p>
        </w:tc>
        <w:tc>
          <w:tcPr>
            <w:tcW w:w="672"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45"/>
          <w:jc w:val="center"/>
        </w:trPr>
        <w:tc>
          <w:tcPr>
            <w:tcW w:w="1056"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Nominativ:</w:t>
            </w:r>
          </w:p>
        </w:tc>
        <w:tc>
          <w:tcPr>
            <w:tcW w:w="1118"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kalab</w:t>
            </w:r>
          </w:p>
        </w:tc>
        <w:tc>
          <w:tcPr>
            <w:tcW w:w="672"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kalb-ü</w:t>
            </w:r>
          </w:p>
        </w:tc>
      </w:tr>
      <w:tr w:rsidR="00BB7EDA">
        <w:tblPrEx>
          <w:tblCellMar>
            <w:top w:w="0" w:type="dxa"/>
            <w:bottom w:w="0" w:type="dxa"/>
          </w:tblCellMar>
        </w:tblPrEx>
        <w:trPr>
          <w:trHeight w:hRule="exact" w:val="230"/>
          <w:jc w:val="center"/>
        </w:trPr>
        <w:tc>
          <w:tcPr>
            <w:tcW w:w="1056"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Genitiv:</w:t>
            </w:r>
          </w:p>
        </w:tc>
        <w:tc>
          <w:tcPr>
            <w:tcW w:w="1118"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kalb-i</w:t>
            </w:r>
          </w:p>
        </w:tc>
        <w:tc>
          <w:tcPr>
            <w:tcW w:w="672" w:type="dxa"/>
            <w:shd w:val="clear" w:color="auto" w:fill="FFFFFF"/>
          </w:tcPr>
          <w:p w:rsidR="00BB7EDA" w:rsidRDefault="007D72B3">
            <w:pPr>
              <w:pStyle w:val="Bodytext20"/>
              <w:framePr w:w="2846" w:hSpace="566" w:wrap="notBeside" w:vAnchor="text" w:hAnchor="text" w:xAlign="center" w:y="1"/>
              <w:shd w:val="clear" w:color="auto" w:fill="auto"/>
              <w:spacing w:before="0" w:line="180" w:lineRule="exact"/>
              <w:jc w:val="left"/>
            </w:pPr>
            <w:r>
              <w:t>kalb-T</w:t>
            </w:r>
          </w:p>
        </w:tc>
      </w:tr>
      <w:tr w:rsidR="00BB7EDA">
        <w:tblPrEx>
          <w:tblCellMar>
            <w:top w:w="0" w:type="dxa"/>
            <w:bottom w:w="0" w:type="dxa"/>
          </w:tblCellMar>
        </w:tblPrEx>
        <w:trPr>
          <w:trHeight w:hRule="exact" w:val="211"/>
          <w:jc w:val="center"/>
        </w:trPr>
        <w:tc>
          <w:tcPr>
            <w:tcW w:w="1056"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Akkusativ:</w:t>
            </w:r>
          </w:p>
        </w:tc>
        <w:tc>
          <w:tcPr>
            <w:tcW w:w="1118"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kalab</w:t>
            </w:r>
          </w:p>
        </w:tc>
        <w:tc>
          <w:tcPr>
            <w:tcW w:w="672" w:type="dxa"/>
            <w:shd w:val="clear" w:color="auto" w:fill="FFFFFF"/>
            <w:vAlign w:val="bottom"/>
          </w:tcPr>
          <w:p w:rsidR="00BB7EDA" w:rsidRDefault="007D72B3">
            <w:pPr>
              <w:pStyle w:val="Bodytext20"/>
              <w:framePr w:w="2846" w:hSpace="566" w:wrap="notBeside" w:vAnchor="text" w:hAnchor="text" w:xAlign="center" w:y="1"/>
              <w:shd w:val="clear" w:color="auto" w:fill="auto"/>
              <w:spacing w:before="0" w:line="180" w:lineRule="exact"/>
              <w:jc w:val="left"/>
            </w:pPr>
            <w:r>
              <w:t>kalb-i</w:t>
            </w:r>
          </w:p>
        </w:tc>
      </w:tr>
    </w:tbl>
    <w:p w:rsidR="00BB7EDA" w:rsidRDefault="00BB7EDA">
      <w:pPr>
        <w:framePr w:w="2846" w:hSpace="566" w:wrap="notBeside" w:vAnchor="text" w:hAnchor="text" w:xAlign="center" w:y="1"/>
        <w:rPr>
          <w:sz w:val="2"/>
          <w:szCs w:val="2"/>
        </w:rPr>
      </w:pPr>
    </w:p>
    <w:p w:rsidR="00BB7EDA" w:rsidRDefault="00BB7EDA">
      <w:pPr>
        <w:rPr>
          <w:sz w:val="2"/>
          <w:szCs w:val="2"/>
        </w:rPr>
      </w:pPr>
    </w:p>
    <w:p w:rsidR="00BB7EDA" w:rsidRDefault="007D72B3">
      <w:pPr>
        <w:pStyle w:val="Bodytext20"/>
        <w:shd w:val="clear" w:color="auto" w:fill="auto"/>
        <w:spacing w:before="135"/>
        <w:ind w:firstLine="320"/>
      </w:pPr>
      <w:r>
        <w:rPr>
          <w:rStyle w:val="Bodytext2Italic0"/>
        </w:rPr>
        <w:t>kalab</w:t>
      </w:r>
      <w:r>
        <w:t xml:space="preserve"> bedeutet „Hund des", der Gebrauch des Status constructus wird an folgendem Beispiel deutlicher: </w:t>
      </w:r>
      <w:r>
        <w:rPr>
          <w:rStyle w:val="Bodytext2Italic0"/>
        </w:rPr>
        <w:t>kalab wardim</w:t>
      </w:r>
      <w:r>
        <w:t xml:space="preserve"> = „der Hund des Sklaven". Bei der Wortform </w:t>
      </w:r>
      <w:r>
        <w:rPr>
          <w:rStyle w:val="Bodytext2Italic0"/>
        </w:rPr>
        <w:t>wardim</w:t>
      </w:r>
      <w:r>
        <w:t xml:space="preserve"> handelt es sich um den Genitiv von </w:t>
      </w:r>
      <w:r>
        <w:rPr>
          <w:rStyle w:val="Bodytext2Italic0"/>
        </w:rPr>
        <w:t>wardum.</w:t>
      </w:r>
    </w:p>
    <w:p w:rsidR="00BB7EDA" w:rsidRDefault="007D72B3">
      <w:pPr>
        <w:pStyle w:val="Tablecaption0"/>
        <w:framePr w:w="3226" w:hSpace="557" w:wrap="notBeside" w:vAnchor="text" w:hAnchor="text" w:xAlign="center" w:y="1"/>
        <w:shd w:val="clear" w:color="auto" w:fill="auto"/>
        <w:spacing w:line="180" w:lineRule="exact"/>
      </w:pPr>
      <w:r>
        <w:t>Status rectus, fern.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1114"/>
        <w:gridCol w:w="1051"/>
      </w:tblGrid>
      <w:tr w:rsidR="00BB7EDA">
        <w:tblPrEx>
          <w:tblCellMar>
            <w:top w:w="0" w:type="dxa"/>
            <w:bottom w:w="0" w:type="dxa"/>
          </w:tblCellMar>
        </w:tblPrEx>
        <w:trPr>
          <w:trHeight w:hRule="exact" w:val="274"/>
          <w:jc w:val="center"/>
        </w:trPr>
        <w:tc>
          <w:tcPr>
            <w:tcW w:w="1061" w:type="dxa"/>
            <w:shd w:val="clear" w:color="auto" w:fill="FFFFFF"/>
          </w:tcPr>
          <w:p w:rsidR="00BB7EDA" w:rsidRDefault="00BB7EDA">
            <w:pPr>
              <w:framePr w:w="3226" w:hSpace="557" w:wrap="notBeside" w:vAnchor="text" w:hAnchor="text" w:xAlign="center" w:y="1"/>
              <w:rPr>
                <w:sz w:val="10"/>
                <w:szCs w:val="10"/>
              </w:rPr>
            </w:pPr>
          </w:p>
        </w:tc>
        <w:tc>
          <w:tcPr>
            <w:tcW w:w="1114"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Singular</w:t>
            </w:r>
          </w:p>
        </w:tc>
        <w:tc>
          <w:tcPr>
            <w:tcW w:w="105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50"/>
          <w:jc w:val="center"/>
        </w:trPr>
        <w:tc>
          <w:tcPr>
            <w:tcW w:w="1061"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Nominativ:</w:t>
            </w:r>
          </w:p>
        </w:tc>
        <w:tc>
          <w:tcPr>
            <w:tcW w:w="1114"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kalb-at-um</w:t>
            </w:r>
          </w:p>
        </w:tc>
        <w:tc>
          <w:tcPr>
            <w:tcW w:w="1051"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kalb-ät-um</w:t>
            </w:r>
          </w:p>
        </w:tc>
      </w:tr>
      <w:tr w:rsidR="00BB7EDA">
        <w:tblPrEx>
          <w:tblCellMar>
            <w:top w:w="0" w:type="dxa"/>
            <w:bottom w:w="0" w:type="dxa"/>
          </w:tblCellMar>
        </w:tblPrEx>
        <w:trPr>
          <w:trHeight w:hRule="exact" w:val="230"/>
          <w:jc w:val="center"/>
        </w:trPr>
        <w:tc>
          <w:tcPr>
            <w:tcW w:w="106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Genitiv:</w:t>
            </w:r>
          </w:p>
        </w:tc>
        <w:tc>
          <w:tcPr>
            <w:tcW w:w="1114"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kalb-at-im</w:t>
            </w:r>
          </w:p>
        </w:tc>
        <w:tc>
          <w:tcPr>
            <w:tcW w:w="105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kalb-ät-im</w:t>
            </w:r>
          </w:p>
        </w:tc>
      </w:tr>
      <w:tr w:rsidR="00BB7EDA">
        <w:tblPrEx>
          <w:tblCellMar>
            <w:top w:w="0" w:type="dxa"/>
            <w:bottom w:w="0" w:type="dxa"/>
          </w:tblCellMar>
        </w:tblPrEx>
        <w:trPr>
          <w:trHeight w:hRule="exact" w:val="317"/>
          <w:jc w:val="center"/>
        </w:trPr>
        <w:tc>
          <w:tcPr>
            <w:tcW w:w="106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Akkusativ:</w:t>
            </w:r>
          </w:p>
        </w:tc>
        <w:tc>
          <w:tcPr>
            <w:tcW w:w="1114"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kalb-at-am</w:t>
            </w:r>
          </w:p>
        </w:tc>
        <w:tc>
          <w:tcPr>
            <w:tcW w:w="105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kalb-ät-im</w:t>
            </w:r>
          </w:p>
        </w:tc>
      </w:tr>
      <w:tr w:rsidR="00BB7EDA">
        <w:tblPrEx>
          <w:tblCellMar>
            <w:top w:w="0" w:type="dxa"/>
            <w:bottom w:w="0" w:type="dxa"/>
          </w:tblCellMar>
        </w:tblPrEx>
        <w:trPr>
          <w:trHeight w:hRule="exact" w:val="302"/>
          <w:jc w:val="center"/>
        </w:trPr>
        <w:tc>
          <w:tcPr>
            <w:tcW w:w="2175" w:type="dxa"/>
            <w:gridSpan w:val="2"/>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 xml:space="preserve">Status constructus, </w:t>
            </w:r>
            <w:r>
              <w:t>fern.</w:t>
            </w:r>
          </w:p>
        </w:tc>
        <w:tc>
          <w:tcPr>
            <w:tcW w:w="1051" w:type="dxa"/>
            <w:shd w:val="clear" w:color="auto" w:fill="FFFFFF"/>
          </w:tcPr>
          <w:p w:rsidR="00BB7EDA" w:rsidRDefault="00BB7EDA">
            <w:pPr>
              <w:framePr w:w="3226" w:hSpace="557" w:wrap="notBeside" w:vAnchor="text" w:hAnchor="text" w:xAlign="center" w:y="1"/>
              <w:rPr>
                <w:sz w:val="10"/>
                <w:szCs w:val="10"/>
              </w:rPr>
            </w:pPr>
          </w:p>
        </w:tc>
      </w:tr>
      <w:tr w:rsidR="00BB7EDA">
        <w:tblPrEx>
          <w:tblCellMar>
            <w:top w:w="0" w:type="dxa"/>
            <w:bottom w:w="0" w:type="dxa"/>
          </w:tblCellMar>
        </w:tblPrEx>
        <w:trPr>
          <w:trHeight w:hRule="exact" w:val="293"/>
          <w:jc w:val="center"/>
        </w:trPr>
        <w:tc>
          <w:tcPr>
            <w:tcW w:w="1061" w:type="dxa"/>
            <w:shd w:val="clear" w:color="auto" w:fill="FFFFFF"/>
          </w:tcPr>
          <w:p w:rsidR="00BB7EDA" w:rsidRDefault="00BB7EDA">
            <w:pPr>
              <w:framePr w:w="3226" w:hSpace="557" w:wrap="notBeside" w:vAnchor="text" w:hAnchor="text" w:xAlign="center" w:y="1"/>
              <w:rPr>
                <w:sz w:val="10"/>
                <w:szCs w:val="10"/>
              </w:rPr>
            </w:pPr>
          </w:p>
        </w:tc>
        <w:tc>
          <w:tcPr>
            <w:tcW w:w="1114"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Singular</w:t>
            </w:r>
          </w:p>
        </w:tc>
        <w:tc>
          <w:tcPr>
            <w:tcW w:w="105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45"/>
          <w:jc w:val="center"/>
        </w:trPr>
        <w:tc>
          <w:tcPr>
            <w:tcW w:w="1061"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Nominativ:</w:t>
            </w:r>
          </w:p>
        </w:tc>
        <w:tc>
          <w:tcPr>
            <w:tcW w:w="1114"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kalb-at</w:t>
            </w:r>
          </w:p>
        </w:tc>
        <w:tc>
          <w:tcPr>
            <w:tcW w:w="1051"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kalb-ät</w:t>
            </w:r>
          </w:p>
        </w:tc>
      </w:tr>
      <w:tr w:rsidR="00BB7EDA">
        <w:tblPrEx>
          <w:tblCellMar>
            <w:top w:w="0" w:type="dxa"/>
            <w:bottom w:w="0" w:type="dxa"/>
          </w:tblCellMar>
        </w:tblPrEx>
        <w:trPr>
          <w:trHeight w:hRule="exact" w:val="226"/>
          <w:jc w:val="center"/>
        </w:trPr>
        <w:tc>
          <w:tcPr>
            <w:tcW w:w="106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Genitiv:</w:t>
            </w:r>
          </w:p>
        </w:tc>
        <w:tc>
          <w:tcPr>
            <w:tcW w:w="1114"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kalb-at-i</w:t>
            </w:r>
          </w:p>
        </w:tc>
        <w:tc>
          <w:tcPr>
            <w:tcW w:w="1051" w:type="dxa"/>
            <w:shd w:val="clear" w:color="auto" w:fill="FFFFFF"/>
          </w:tcPr>
          <w:p w:rsidR="00BB7EDA" w:rsidRDefault="007D72B3">
            <w:pPr>
              <w:pStyle w:val="Bodytext20"/>
              <w:framePr w:w="3226" w:hSpace="557" w:wrap="notBeside" w:vAnchor="text" w:hAnchor="text" w:xAlign="center" w:y="1"/>
              <w:shd w:val="clear" w:color="auto" w:fill="auto"/>
              <w:spacing w:before="0" w:line="180" w:lineRule="exact"/>
              <w:jc w:val="left"/>
            </w:pPr>
            <w:r>
              <w:t>kalb-ät-i</w:t>
            </w:r>
          </w:p>
        </w:tc>
      </w:tr>
      <w:tr w:rsidR="00BB7EDA">
        <w:tblPrEx>
          <w:tblCellMar>
            <w:top w:w="0" w:type="dxa"/>
            <w:bottom w:w="0" w:type="dxa"/>
          </w:tblCellMar>
        </w:tblPrEx>
        <w:trPr>
          <w:trHeight w:hRule="exact" w:val="216"/>
          <w:jc w:val="center"/>
        </w:trPr>
        <w:tc>
          <w:tcPr>
            <w:tcW w:w="1061"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Akkusativ:</w:t>
            </w:r>
          </w:p>
        </w:tc>
        <w:tc>
          <w:tcPr>
            <w:tcW w:w="1114"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kalb-at</w:t>
            </w:r>
          </w:p>
        </w:tc>
        <w:tc>
          <w:tcPr>
            <w:tcW w:w="1051" w:type="dxa"/>
            <w:shd w:val="clear" w:color="auto" w:fill="FFFFFF"/>
            <w:vAlign w:val="bottom"/>
          </w:tcPr>
          <w:p w:rsidR="00BB7EDA" w:rsidRDefault="007D72B3">
            <w:pPr>
              <w:pStyle w:val="Bodytext20"/>
              <w:framePr w:w="3226" w:hSpace="557" w:wrap="notBeside" w:vAnchor="text" w:hAnchor="text" w:xAlign="center" w:y="1"/>
              <w:shd w:val="clear" w:color="auto" w:fill="auto"/>
              <w:spacing w:before="0" w:line="180" w:lineRule="exact"/>
              <w:jc w:val="left"/>
            </w:pPr>
            <w:r>
              <w:t>kalb-ät-i</w:t>
            </w:r>
          </w:p>
        </w:tc>
      </w:tr>
    </w:tbl>
    <w:p w:rsidR="00BB7EDA" w:rsidRDefault="00BB7EDA">
      <w:pPr>
        <w:framePr w:w="3226" w:hSpace="557" w:wrap="notBeside" w:vAnchor="text" w:hAnchor="text" w:xAlign="center" w:y="1"/>
        <w:rPr>
          <w:sz w:val="2"/>
          <w:szCs w:val="2"/>
        </w:rPr>
      </w:pPr>
    </w:p>
    <w:p w:rsidR="00BB7EDA" w:rsidRDefault="00BB7EDA">
      <w:pPr>
        <w:rPr>
          <w:sz w:val="2"/>
          <w:szCs w:val="2"/>
        </w:rPr>
      </w:pPr>
    </w:p>
    <w:p w:rsidR="00BB7EDA" w:rsidRDefault="007D72B3">
      <w:pPr>
        <w:pStyle w:val="Bodytext20"/>
        <w:shd w:val="clear" w:color="auto" w:fill="auto"/>
        <w:spacing w:before="134" w:line="226" w:lineRule="exact"/>
        <w:ind w:firstLine="320"/>
      </w:pPr>
      <w:r>
        <w:t xml:space="preserve">Zum Dual: Hier werden keine Geschlechter unterschieden. Als Beispiel folgt das Wort </w:t>
      </w:r>
      <w:r>
        <w:rPr>
          <w:rStyle w:val="Bodytext2Italic0"/>
        </w:rPr>
        <w:t>sepan</w:t>
      </w:r>
      <w:r>
        <w:t xml:space="preserve"> („beide Füße").</w:t>
      </w:r>
      <w:r>
        <w:br w:type="page"/>
      </w:r>
    </w:p>
    <w:p w:rsidR="00BB7EDA" w:rsidRDefault="007D72B3">
      <w:pPr>
        <w:pStyle w:val="Bodytext20"/>
        <w:shd w:val="clear" w:color="auto" w:fill="auto"/>
        <w:tabs>
          <w:tab w:val="left" w:pos="1716"/>
        </w:tabs>
        <w:spacing w:before="0" w:line="226" w:lineRule="exact"/>
        <w:ind w:left="600" w:right="3480"/>
        <w:jc w:val="left"/>
      </w:pPr>
      <w:r>
        <w:t>Nominativ: sepän Genitiv:</w:t>
      </w:r>
      <w:r>
        <w:tab/>
        <w:t>sepin</w:t>
      </w:r>
    </w:p>
    <w:p w:rsidR="00BB7EDA" w:rsidRDefault="007D72B3">
      <w:pPr>
        <w:pStyle w:val="Bodytext20"/>
        <w:shd w:val="clear" w:color="auto" w:fill="auto"/>
        <w:tabs>
          <w:tab w:val="left" w:pos="1716"/>
        </w:tabs>
        <w:spacing w:before="0" w:after="397" w:line="226" w:lineRule="exact"/>
        <w:ind w:left="600"/>
      </w:pPr>
      <w:r>
        <w:t>Akkusativ:</w:t>
      </w:r>
      <w:r>
        <w:tab/>
        <w:t>sepin</w:t>
      </w:r>
    </w:p>
    <w:p w:rsidR="00BB7EDA" w:rsidRDefault="007D72B3">
      <w:pPr>
        <w:pStyle w:val="Bodytext90"/>
        <w:numPr>
          <w:ilvl w:val="2"/>
          <w:numId w:val="138"/>
        </w:numPr>
        <w:shd w:val="clear" w:color="auto" w:fill="auto"/>
        <w:tabs>
          <w:tab w:val="left" w:pos="505"/>
        </w:tabs>
        <w:spacing w:after="219" w:line="180" w:lineRule="exact"/>
      </w:pPr>
      <w:r>
        <w:t>Zum Verbalsystem</w:t>
      </w:r>
    </w:p>
    <w:p w:rsidR="00BB7EDA" w:rsidRDefault="007D72B3">
      <w:pPr>
        <w:pStyle w:val="Bodytext20"/>
        <w:shd w:val="clear" w:color="auto" w:fill="auto"/>
        <w:spacing w:before="0"/>
      </w:pPr>
      <w:r>
        <w:t xml:space="preserve">Das Verbalsystem im Akkadischen ist überaus komplex. Anhand des regelmäßigen Verbes </w:t>
      </w:r>
      <w:r>
        <w:rPr>
          <w:rStyle w:val="Bodytext2Italic0"/>
        </w:rPr>
        <w:t>parasum</w:t>
      </w:r>
      <w:r>
        <w:t xml:space="preserve"> („scheiden") möchte ich dem Leser einen gewissen Eindruck von den großartigen morphologi</w:t>
      </w:r>
      <w:r>
        <w:softHyphen/>
        <w:t xml:space="preserve">schen Möglichkeiten dieser Sprache </w:t>
      </w:r>
      <w:r>
        <w:t>vermitteln.</w:t>
      </w:r>
    </w:p>
    <w:p w:rsidR="00BB7EDA" w:rsidRDefault="007D72B3">
      <w:pPr>
        <w:pStyle w:val="Bodytext20"/>
        <w:shd w:val="clear" w:color="auto" w:fill="auto"/>
        <w:spacing w:before="0"/>
        <w:ind w:firstLine="320"/>
      </w:pPr>
      <w:r>
        <w:t>Grundlegend für das Akkadische wie für die semitischen Spra</w:t>
      </w:r>
      <w:r>
        <w:softHyphen/>
        <w:t>chen schlechthin sind die zumeist aus drei Konsonanten gebilde</w:t>
      </w:r>
      <w:r>
        <w:softHyphen/>
        <w:t>ten Wortwurzeln. Diese können nach bestimmten Vorgaben durch Suffixe, Infixe und Affixe modifiziert werden. Man untersche</w:t>
      </w:r>
      <w:r>
        <w:t xml:space="preserve">idet in diesem Zusammenhang verschiedene </w:t>
      </w:r>
      <w:r>
        <w:rPr>
          <w:rStyle w:val="Bodytext2Italic0"/>
        </w:rPr>
        <w:t>Verbalstämme.</w:t>
      </w:r>
      <w:r>
        <w:t xml:space="preserve"> Eine be</w:t>
      </w:r>
      <w:r>
        <w:softHyphen/>
        <w:t>stimmte Wurzel erscheint üblicherweise nicht in allen durch das Sprachsystem vorgegebenen Verbalstämmen. Die nachstehende Darstellung ist bewusst vereinfachend gehalten. Im Blick auf brei</w:t>
      </w:r>
      <w:r>
        <w:softHyphen/>
        <w:t xml:space="preserve">tere </w:t>
      </w:r>
      <w:r>
        <w:t>Ausführungen sei der Leser auf die bereits genannten Standardgrammatiken verwiesen.</w:t>
      </w:r>
    </w:p>
    <w:p w:rsidR="00BB7EDA" w:rsidRDefault="007D72B3">
      <w:pPr>
        <w:pStyle w:val="Bodytext20"/>
        <w:shd w:val="clear" w:color="auto" w:fill="auto"/>
        <w:spacing w:before="0" w:after="184"/>
        <w:ind w:firstLine="320"/>
      </w:pPr>
      <w:r>
        <w:t xml:space="preserve">Es folgen zunächst die Formen des Grundstammes, den man kurz und bündig </w:t>
      </w:r>
      <w:r>
        <w:rPr>
          <w:rStyle w:val="Bodytext2Italic0"/>
        </w:rPr>
        <w:t>G-Stamm</w:t>
      </w:r>
      <w:r>
        <w:t xml:space="preserve"> nennt:</w:t>
      </w:r>
    </w:p>
    <w:p w:rsidR="00BB7EDA" w:rsidRDefault="007D72B3">
      <w:pPr>
        <w:pStyle w:val="Bodytext100"/>
        <w:numPr>
          <w:ilvl w:val="3"/>
          <w:numId w:val="138"/>
        </w:numPr>
        <w:shd w:val="clear" w:color="auto" w:fill="auto"/>
        <w:tabs>
          <w:tab w:val="left" w:pos="649"/>
        </w:tabs>
        <w:spacing w:before="0"/>
        <w:ind w:firstLine="0"/>
      </w:pPr>
      <w:r>
        <w:t>Der G-Stamm</w:t>
      </w:r>
    </w:p>
    <w:p w:rsidR="00BB7EDA" w:rsidRDefault="007D72B3">
      <w:pPr>
        <w:pStyle w:val="Bodytext20"/>
        <w:numPr>
          <w:ilvl w:val="0"/>
          <w:numId w:val="143"/>
        </w:numPr>
        <w:shd w:val="clear" w:color="auto" w:fill="auto"/>
        <w:tabs>
          <w:tab w:val="left" w:pos="284"/>
        </w:tabs>
        <w:spacing w:before="0" w:line="226" w:lineRule="exact"/>
      </w:pPr>
      <w:r>
        <w:t>Präteritum</w:t>
      </w:r>
    </w:p>
    <w:p w:rsidR="00BB7EDA" w:rsidRDefault="007D72B3">
      <w:pPr>
        <w:pStyle w:val="Bodytext20"/>
        <w:shd w:val="clear" w:color="auto" w:fill="auto"/>
        <w:spacing w:before="0" w:line="226" w:lineRule="exact"/>
      </w:pPr>
      <w:r>
        <w:t xml:space="preserve">Das Präteritum drückt eine punktuelle Vergangenheit aus (z.B. </w:t>
      </w:r>
      <w:r>
        <w:rPr>
          <w:rStyle w:val="Bodytext2Italic0"/>
        </w:rPr>
        <w:t xml:space="preserve">iprus </w:t>
      </w:r>
      <w:r>
        <w:t>= „er schied").</w:t>
      </w:r>
    </w:p>
    <w:p w:rsidR="00BB7EDA" w:rsidRDefault="007D72B3">
      <w:pPr>
        <w:pStyle w:val="Bodytext20"/>
        <w:shd w:val="clear" w:color="auto" w:fill="auto"/>
        <w:spacing w:before="0" w:line="226" w:lineRule="exact"/>
        <w:ind w:firstLine="320"/>
      </w:pPr>
      <w:r>
        <w:pict>
          <v:shape id="_x0000_s1112" type="#_x0000_t202" style="position:absolute;left:0;text-align:left;margin-left:-2.1pt;margin-top:44.4pt;width:209.5pt;height:.05pt;z-index:-125829358;mso-wrap-distance-left:5pt;mso-wrap-distance-right:71.7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32"/>
                    <w:gridCol w:w="960"/>
                    <w:gridCol w:w="998"/>
                  </w:tblGrid>
                  <w:tr w:rsidR="00BB7EDA">
                    <w:tblPrEx>
                      <w:tblCellMar>
                        <w:top w:w="0" w:type="dxa"/>
                        <w:bottom w:w="0" w:type="dxa"/>
                      </w:tblCellMar>
                    </w:tblPrEx>
                    <w:trPr>
                      <w:trHeight w:hRule="exact" w:val="898"/>
                      <w:jc w:val="center"/>
                    </w:trPr>
                    <w:tc>
                      <w:tcPr>
                        <w:tcW w:w="3192" w:type="dxa"/>
                        <w:gridSpan w:val="2"/>
                        <w:shd w:val="clear" w:color="auto" w:fill="FFFFFF"/>
                      </w:tcPr>
                      <w:p w:rsidR="00BB7EDA" w:rsidRDefault="007D72B3">
                        <w:pPr>
                          <w:pStyle w:val="Bodytext20"/>
                          <w:shd w:val="clear" w:color="auto" w:fill="auto"/>
                          <w:spacing w:before="0" w:after="180" w:line="180" w:lineRule="exact"/>
                          <w:ind w:right="220"/>
                          <w:jc w:val="right"/>
                        </w:pPr>
                        <w:r>
                          <w:t>mal unterschieden werden können.</w:t>
                        </w:r>
                      </w:p>
                      <w:p w:rsidR="00BB7EDA" w:rsidRDefault="007D72B3">
                        <w:pPr>
                          <w:pStyle w:val="Bodytext20"/>
                          <w:shd w:val="clear" w:color="auto" w:fill="auto"/>
                          <w:spacing w:before="180" w:after="60" w:line="180" w:lineRule="exact"/>
                          <w:jc w:val="center"/>
                        </w:pPr>
                        <w:r>
                          <w:t>G-Stamm, Präteritum</w:t>
                        </w:r>
                      </w:p>
                      <w:p w:rsidR="00BB7EDA" w:rsidRDefault="007D72B3">
                        <w:pPr>
                          <w:pStyle w:val="Bodytext20"/>
                          <w:shd w:val="clear" w:color="auto" w:fill="auto"/>
                          <w:spacing w:before="60" w:line="180" w:lineRule="exact"/>
                          <w:ind w:right="220"/>
                          <w:jc w:val="right"/>
                        </w:pPr>
                        <w:r>
                          <w:t>Singular</w:t>
                        </w:r>
                      </w:p>
                    </w:tc>
                    <w:tc>
                      <w:tcPr>
                        <w:tcW w:w="998" w:type="dxa"/>
                        <w:shd w:val="clear" w:color="auto" w:fill="FFFFFF"/>
                        <w:vAlign w:val="bottom"/>
                      </w:tcPr>
                      <w:p w:rsidR="00BB7EDA" w:rsidRDefault="007D72B3">
                        <w:pPr>
                          <w:pStyle w:val="Bodytext20"/>
                          <w:shd w:val="clear" w:color="auto" w:fill="auto"/>
                          <w:spacing w:before="0" w:line="180" w:lineRule="exact"/>
                          <w:ind w:left="220"/>
                          <w:jc w:val="left"/>
                        </w:pPr>
                        <w:r>
                          <w:t>Plural</w:t>
                        </w:r>
                      </w:p>
                    </w:tc>
                  </w:tr>
                  <w:tr w:rsidR="00BB7EDA">
                    <w:tblPrEx>
                      <w:tblCellMar>
                        <w:top w:w="0" w:type="dxa"/>
                        <w:bottom w:w="0" w:type="dxa"/>
                      </w:tblCellMar>
                    </w:tblPrEx>
                    <w:trPr>
                      <w:trHeight w:hRule="exact" w:val="274"/>
                      <w:jc w:val="center"/>
                    </w:trPr>
                    <w:tc>
                      <w:tcPr>
                        <w:tcW w:w="2232" w:type="dxa"/>
                        <w:shd w:val="clear" w:color="auto" w:fill="FFFFFF"/>
                        <w:vAlign w:val="bottom"/>
                      </w:tcPr>
                      <w:p w:rsidR="00BB7EDA" w:rsidRDefault="007D72B3">
                        <w:pPr>
                          <w:pStyle w:val="Bodytext20"/>
                          <w:shd w:val="clear" w:color="auto" w:fill="auto"/>
                          <w:spacing w:before="0" w:line="180" w:lineRule="exact"/>
                          <w:jc w:val="center"/>
                        </w:pPr>
                        <w:r>
                          <w:t>3. Pers. mask.</w:t>
                        </w:r>
                      </w:p>
                    </w:tc>
                    <w:tc>
                      <w:tcPr>
                        <w:tcW w:w="960" w:type="dxa"/>
                        <w:shd w:val="clear" w:color="auto" w:fill="FFFFFF"/>
                        <w:vAlign w:val="bottom"/>
                      </w:tcPr>
                      <w:p w:rsidR="00BB7EDA" w:rsidRDefault="007D72B3">
                        <w:pPr>
                          <w:pStyle w:val="Bodytext20"/>
                          <w:shd w:val="clear" w:color="auto" w:fill="auto"/>
                          <w:spacing w:before="0" w:line="180" w:lineRule="exact"/>
                          <w:jc w:val="left"/>
                        </w:pPr>
                        <w:r>
                          <w:t>i-prus</w:t>
                        </w:r>
                      </w:p>
                    </w:tc>
                    <w:tc>
                      <w:tcPr>
                        <w:tcW w:w="998" w:type="dxa"/>
                        <w:shd w:val="clear" w:color="auto" w:fill="FFFFFF"/>
                        <w:vAlign w:val="bottom"/>
                      </w:tcPr>
                      <w:p w:rsidR="00BB7EDA" w:rsidRDefault="007D72B3">
                        <w:pPr>
                          <w:pStyle w:val="Bodytext20"/>
                          <w:shd w:val="clear" w:color="auto" w:fill="auto"/>
                          <w:spacing w:before="0" w:line="180" w:lineRule="exact"/>
                          <w:ind w:left="220"/>
                          <w:jc w:val="left"/>
                        </w:pPr>
                        <w:r>
                          <w:t>i-prus-ü</w:t>
                        </w:r>
                      </w:p>
                    </w:tc>
                  </w:tr>
                  <w:tr w:rsidR="00BB7EDA">
                    <w:tblPrEx>
                      <w:tblCellMar>
                        <w:top w:w="0" w:type="dxa"/>
                        <w:bottom w:w="0" w:type="dxa"/>
                      </w:tblCellMar>
                    </w:tblPrEx>
                    <w:trPr>
                      <w:trHeight w:hRule="exact" w:val="226"/>
                      <w:jc w:val="center"/>
                    </w:trPr>
                    <w:tc>
                      <w:tcPr>
                        <w:tcW w:w="2232" w:type="dxa"/>
                        <w:shd w:val="clear" w:color="auto" w:fill="FFFFFF"/>
                      </w:tcPr>
                      <w:p w:rsidR="00BB7EDA" w:rsidRDefault="007D72B3">
                        <w:pPr>
                          <w:pStyle w:val="Bodytext20"/>
                          <w:shd w:val="clear" w:color="auto" w:fill="auto"/>
                          <w:spacing w:before="0" w:line="180" w:lineRule="exact"/>
                          <w:jc w:val="center"/>
                        </w:pPr>
                        <w:r>
                          <w:t>3. Pers. fern.</w:t>
                        </w:r>
                      </w:p>
                    </w:tc>
                    <w:tc>
                      <w:tcPr>
                        <w:tcW w:w="960" w:type="dxa"/>
                        <w:shd w:val="clear" w:color="auto" w:fill="FFFFFF"/>
                      </w:tcPr>
                      <w:p w:rsidR="00BB7EDA" w:rsidRDefault="007D72B3">
                        <w:pPr>
                          <w:pStyle w:val="Bodytext20"/>
                          <w:shd w:val="clear" w:color="auto" w:fill="auto"/>
                          <w:spacing w:before="0" w:line="180" w:lineRule="exact"/>
                          <w:jc w:val="left"/>
                        </w:pPr>
                        <w:r>
                          <w:t>i-prus</w:t>
                        </w:r>
                      </w:p>
                    </w:tc>
                    <w:tc>
                      <w:tcPr>
                        <w:tcW w:w="998" w:type="dxa"/>
                        <w:shd w:val="clear" w:color="auto" w:fill="FFFFFF"/>
                      </w:tcPr>
                      <w:p w:rsidR="00BB7EDA" w:rsidRDefault="007D72B3">
                        <w:pPr>
                          <w:pStyle w:val="Bodytext20"/>
                          <w:shd w:val="clear" w:color="auto" w:fill="auto"/>
                          <w:spacing w:before="0" w:line="180" w:lineRule="exact"/>
                          <w:ind w:left="220"/>
                          <w:jc w:val="left"/>
                        </w:pPr>
                        <w:r>
                          <w:t>i-prus-ä</w:t>
                        </w:r>
                      </w:p>
                    </w:tc>
                  </w:tr>
                  <w:tr w:rsidR="00BB7EDA">
                    <w:tblPrEx>
                      <w:tblCellMar>
                        <w:top w:w="0" w:type="dxa"/>
                        <w:bottom w:w="0" w:type="dxa"/>
                      </w:tblCellMar>
                    </w:tblPrEx>
                    <w:trPr>
                      <w:trHeight w:hRule="exact" w:val="221"/>
                      <w:jc w:val="center"/>
                    </w:trPr>
                    <w:tc>
                      <w:tcPr>
                        <w:tcW w:w="2232" w:type="dxa"/>
                        <w:shd w:val="clear" w:color="auto" w:fill="FFFFFF"/>
                        <w:vAlign w:val="bottom"/>
                      </w:tcPr>
                      <w:p w:rsidR="00BB7EDA" w:rsidRDefault="007D72B3">
                        <w:pPr>
                          <w:pStyle w:val="Bodytext20"/>
                          <w:shd w:val="clear" w:color="auto" w:fill="auto"/>
                          <w:spacing w:before="0" w:line="180" w:lineRule="exact"/>
                          <w:jc w:val="center"/>
                        </w:pPr>
                        <w:r>
                          <w:t>2. Pers. mask.</w:t>
                        </w:r>
                      </w:p>
                    </w:tc>
                    <w:tc>
                      <w:tcPr>
                        <w:tcW w:w="960" w:type="dxa"/>
                        <w:shd w:val="clear" w:color="auto" w:fill="FFFFFF"/>
                        <w:vAlign w:val="bottom"/>
                      </w:tcPr>
                      <w:p w:rsidR="00BB7EDA" w:rsidRDefault="007D72B3">
                        <w:pPr>
                          <w:pStyle w:val="Bodytext20"/>
                          <w:shd w:val="clear" w:color="auto" w:fill="auto"/>
                          <w:spacing w:before="0" w:line="180" w:lineRule="exact"/>
                          <w:jc w:val="left"/>
                        </w:pPr>
                        <w:r>
                          <w:t>ta-prus</w:t>
                        </w:r>
                      </w:p>
                    </w:tc>
                    <w:tc>
                      <w:tcPr>
                        <w:tcW w:w="998" w:type="dxa"/>
                        <w:shd w:val="clear" w:color="auto" w:fill="FFFFFF"/>
                        <w:vAlign w:val="bottom"/>
                      </w:tcPr>
                      <w:p w:rsidR="00BB7EDA" w:rsidRDefault="007D72B3">
                        <w:pPr>
                          <w:pStyle w:val="Bodytext20"/>
                          <w:shd w:val="clear" w:color="auto" w:fill="auto"/>
                          <w:spacing w:before="0" w:line="180" w:lineRule="exact"/>
                          <w:ind w:left="220"/>
                          <w:jc w:val="left"/>
                        </w:pPr>
                        <w:r>
                          <w:t>ta prus-ä</w:t>
                        </w:r>
                      </w:p>
                    </w:tc>
                  </w:tr>
                  <w:tr w:rsidR="00BB7EDA">
                    <w:tblPrEx>
                      <w:tblCellMar>
                        <w:top w:w="0" w:type="dxa"/>
                        <w:bottom w:w="0" w:type="dxa"/>
                      </w:tblCellMar>
                    </w:tblPrEx>
                    <w:trPr>
                      <w:trHeight w:hRule="exact" w:val="226"/>
                      <w:jc w:val="center"/>
                    </w:trPr>
                    <w:tc>
                      <w:tcPr>
                        <w:tcW w:w="2232" w:type="dxa"/>
                        <w:shd w:val="clear" w:color="auto" w:fill="FFFFFF"/>
                      </w:tcPr>
                      <w:p w:rsidR="00BB7EDA" w:rsidRDefault="007D72B3">
                        <w:pPr>
                          <w:pStyle w:val="Bodytext20"/>
                          <w:shd w:val="clear" w:color="auto" w:fill="auto"/>
                          <w:spacing w:before="0" w:line="180" w:lineRule="exact"/>
                          <w:jc w:val="center"/>
                        </w:pPr>
                        <w:r>
                          <w:t>2. Pers. fern.</w:t>
                        </w:r>
                      </w:p>
                    </w:tc>
                    <w:tc>
                      <w:tcPr>
                        <w:tcW w:w="960" w:type="dxa"/>
                        <w:shd w:val="clear" w:color="auto" w:fill="FFFFFF"/>
                      </w:tcPr>
                      <w:p w:rsidR="00BB7EDA" w:rsidRDefault="007D72B3">
                        <w:pPr>
                          <w:pStyle w:val="Bodytext20"/>
                          <w:shd w:val="clear" w:color="auto" w:fill="auto"/>
                          <w:spacing w:before="0" w:line="180" w:lineRule="exact"/>
                          <w:jc w:val="left"/>
                        </w:pPr>
                        <w:r>
                          <w:t>ta-prusT</w:t>
                        </w:r>
                      </w:p>
                    </w:tc>
                    <w:tc>
                      <w:tcPr>
                        <w:tcW w:w="998" w:type="dxa"/>
                        <w:shd w:val="clear" w:color="auto" w:fill="FFFFFF"/>
                      </w:tcPr>
                      <w:p w:rsidR="00BB7EDA" w:rsidRDefault="007D72B3">
                        <w:pPr>
                          <w:pStyle w:val="Bodytext20"/>
                          <w:shd w:val="clear" w:color="auto" w:fill="auto"/>
                          <w:spacing w:before="0" w:line="180" w:lineRule="exact"/>
                          <w:ind w:left="220"/>
                          <w:jc w:val="left"/>
                        </w:pPr>
                        <w:r>
                          <w:t>ta-prus-ä</w:t>
                        </w:r>
                      </w:p>
                    </w:tc>
                  </w:tr>
                  <w:tr w:rsidR="00BB7EDA">
                    <w:tblPrEx>
                      <w:tblCellMar>
                        <w:top w:w="0" w:type="dxa"/>
                        <w:bottom w:w="0" w:type="dxa"/>
                      </w:tblCellMar>
                    </w:tblPrEx>
                    <w:trPr>
                      <w:trHeight w:hRule="exact" w:val="245"/>
                      <w:jc w:val="center"/>
                    </w:trPr>
                    <w:tc>
                      <w:tcPr>
                        <w:tcW w:w="2232" w:type="dxa"/>
                        <w:shd w:val="clear" w:color="auto" w:fill="FFFFFF"/>
                        <w:vAlign w:val="bottom"/>
                      </w:tcPr>
                      <w:p w:rsidR="00BB7EDA" w:rsidRDefault="007D72B3">
                        <w:pPr>
                          <w:pStyle w:val="Bodytext20"/>
                          <w:shd w:val="clear" w:color="auto" w:fill="auto"/>
                          <w:spacing w:before="0" w:line="180" w:lineRule="exact"/>
                          <w:jc w:val="right"/>
                        </w:pPr>
                        <w:r>
                          <w:t>1. Pers. mask./fern.</w:t>
                        </w:r>
                      </w:p>
                    </w:tc>
                    <w:tc>
                      <w:tcPr>
                        <w:tcW w:w="960" w:type="dxa"/>
                        <w:shd w:val="clear" w:color="auto" w:fill="FFFFFF"/>
                        <w:vAlign w:val="bottom"/>
                      </w:tcPr>
                      <w:p w:rsidR="00BB7EDA" w:rsidRDefault="007D72B3">
                        <w:pPr>
                          <w:pStyle w:val="Bodytext20"/>
                          <w:shd w:val="clear" w:color="auto" w:fill="auto"/>
                          <w:spacing w:before="0" w:line="180" w:lineRule="exact"/>
                          <w:jc w:val="left"/>
                        </w:pPr>
                        <w:r>
                          <w:t>a-prus</w:t>
                        </w:r>
                      </w:p>
                    </w:tc>
                    <w:tc>
                      <w:tcPr>
                        <w:tcW w:w="998" w:type="dxa"/>
                        <w:shd w:val="clear" w:color="auto" w:fill="FFFFFF"/>
                        <w:vAlign w:val="bottom"/>
                      </w:tcPr>
                      <w:p w:rsidR="00BB7EDA" w:rsidRDefault="007D72B3">
                        <w:pPr>
                          <w:pStyle w:val="Bodytext20"/>
                          <w:shd w:val="clear" w:color="auto" w:fill="auto"/>
                          <w:spacing w:before="0" w:line="180" w:lineRule="exact"/>
                          <w:ind w:left="220"/>
                          <w:jc w:val="left"/>
                        </w:pPr>
                        <w:r>
                          <w:t>ni-prus</w:t>
                        </w:r>
                      </w:p>
                    </w:tc>
                  </w:tr>
                </w:tbl>
                <w:p w:rsidR="00BB7EDA" w:rsidRDefault="00BB7EDA">
                  <w:pPr>
                    <w:rPr>
                      <w:sz w:val="2"/>
                      <w:szCs w:val="2"/>
                    </w:rPr>
                  </w:pPr>
                </w:p>
              </w:txbxContent>
            </v:textbox>
            <w10:wrap type="topAndBottom" anchorx="margin"/>
          </v:shape>
        </w:pict>
      </w:r>
      <w:r>
        <w:t>Man beachte Folgendes: In den Verbaltabellen werden die Perso</w:t>
      </w:r>
      <w:r>
        <w:softHyphen/>
        <w:t xml:space="preserve">nen in anderer Reihenfolge aufgeführt als dies im Deutschen üblich ist: nämlich: 3./2./1. Person. Die 3. und 2. Person wird zudem für maskulinum und femininum gesondert aufgeführt, da </w:t>
      </w:r>
      <w:r>
        <w:t>sie z.T. for-</w:t>
      </w:r>
      <w:r>
        <w:br w:type="page"/>
      </w:r>
    </w:p>
    <w:p w:rsidR="00BB7EDA" w:rsidRDefault="007D72B3">
      <w:pPr>
        <w:pStyle w:val="Bodytext20"/>
        <w:numPr>
          <w:ilvl w:val="0"/>
          <w:numId w:val="143"/>
        </w:numPr>
        <w:shd w:val="clear" w:color="auto" w:fill="auto"/>
        <w:tabs>
          <w:tab w:val="left" w:pos="294"/>
        </w:tabs>
        <w:spacing w:before="0" w:line="226" w:lineRule="exact"/>
      </w:pPr>
      <w:r>
        <w:t>Präsens</w:t>
      </w:r>
    </w:p>
    <w:p w:rsidR="00BB7EDA" w:rsidRDefault="007D72B3">
      <w:pPr>
        <w:pStyle w:val="Bodytext20"/>
        <w:shd w:val="clear" w:color="auto" w:fill="auto"/>
        <w:spacing w:before="0" w:line="226" w:lineRule="exact"/>
      </w:pPr>
      <w:r>
        <w:t xml:space="preserve">Das akkadische Präsens kann Verschiedenes ausdrücken: Gegenwärtiges, Zukünftiges, Modales (können, wollen, dürfen) und Duratives (in Gegenwart und Vergangenheit). So bedeutet z.B. </w:t>
      </w:r>
      <w:r>
        <w:rPr>
          <w:rStyle w:val="Bodytext2Italic0"/>
        </w:rPr>
        <w:t xml:space="preserve">iparras </w:t>
      </w:r>
      <w:r>
        <w:t>u.a. „er scheidet", „er wird scheiden", „er w</w:t>
      </w:r>
      <w:r>
        <w:t>ill scheiden" oder „er pflegte zu scheiden". Man bedenke in diesem Zusammenhang, dass Mehrdeutigkeit sprachlicher Ausdrücke meistens durch kontextu- elle Faktoren neutralisiert wird.</w:t>
      </w:r>
      <w:r>
        <w:rPr>
          <w:vertAlign w:val="superscript"/>
        </w:rPr>
        <w:footnoteReference w:id="300"/>
      </w:r>
    </w:p>
    <w:tbl>
      <w:tblPr>
        <w:tblOverlap w:val="never"/>
        <w:tblW w:w="0" w:type="auto"/>
        <w:jc w:val="center"/>
        <w:tblLayout w:type="fixed"/>
        <w:tblCellMar>
          <w:left w:w="10" w:type="dxa"/>
          <w:right w:w="10" w:type="dxa"/>
        </w:tblCellMar>
        <w:tblLook w:val="0000" w:firstRow="0" w:lastRow="0" w:firstColumn="0" w:lastColumn="0" w:noHBand="0" w:noVBand="0"/>
      </w:tblPr>
      <w:tblGrid>
        <w:gridCol w:w="2208"/>
        <w:gridCol w:w="917"/>
        <w:gridCol w:w="2501"/>
      </w:tblGrid>
      <w:tr w:rsidR="00BB7EDA">
        <w:tblPrEx>
          <w:tblCellMar>
            <w:top w:w="0" w:type="dxa"/>
            <w:bottom w:w="0" w:type="dxa"/>
          </w:tblCellMar>
        </w:tblPrEx>
        <w:trPr>
          <w:trHeight w:hRule="exact" w:val="211"/>
          <w:jc w:val="center"/>
        </w:trPr>
        <w:tc>
          <w:tcPr>
            <w:tcW w:w="2208"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right"/>
            </w:pPr>
            <w:r>
              <w:t>G-Stamm, Präsens</w:t>
            </w:r>
          </w:p>
        </w:tc>
        <w:tc>
          <w:tcPr>
            <w:tcW w:w="917" w:type="dxa"/>
            <w:shd w:val="clear" w:color="auto" w:fill="FFFFFF"/>
          </w:tcPr>
          <w:p w:rsidR="00BB7EDA" w:rsidRDefault="00BB7EDA">
            <w:pPr>
              <w:framePr w:w="5626" w:wrap="notBeside" w:vAnchor="text" w:hAnchor="text" w:xAlign="center" w:y="1"/>
              <w:rPr>
                <w:sz w:val="10"/>
                <w:szCs w:val="10"/>
              </w:rPr>
            </w:pPr>
          </w:p>
        </w:tc>
        <w:tc>
          <w:tcPr>
            <w:tcW w:w="2501" w:type="dxa"/>
            <w:shd w:val="clear" w:color="auto" w:fill="FFFFFF"/>
          </w:tcPr>
          <w:p w:rsidR="00BB7EDA" w:rsidRDefault="00BB7EDA">
            <w:pPr>
              <w:framePr w:w="5626" w:wrap="notBeside" w:vAnchor="text" w:hAnchor="text" w:xAlign="center" w:y="1"/>
              <w:rPr>
                <w:sz w:val="10"/>
                <w:szCs w:val="10"/>
              </w:rPr>
            </w:pPr>
          </w:p>
        </w:tc>
      </w:tr>
      <w:tr w:rsidR="00BB7EDA">
        <w:tblPrEx>
          <w:tblCellMar>
            <w:top w:w="0" w:type="dxa"/>
            <w:bottom w:w="0" w:type="dxa"/>
          </w:tblCellMar>
        </w:tblPrEx>
        <w:trPr>
          <w:trHeight w:hRule="exact" w:val="283"/>
          <w:jc w:val="center"/>
        </w:trPr>
        <w:tc>
          <w:tcPr>
            <w:tcW w:w="2208" w:type="dxa"/>
            <w:shd w:val="clear" w:color="auto" w:fill="FFFFFF"/>
          </w:tcPr>
          <w:p w:rsidR="00BB7EDA" w:rsidRDefault="00BB7EDA">
            <w:pPr>
              <w:framePr w:w="5626" w:wrap="notBeside" w:vAnchor="text" w:hAnchor="text" w:xAlign="center" w:y="1"/>
              <w:rPr>
                <w:sz w:val="10"/>
                <w:szCs w:val="10"/>
              </w:rPr>
            </w:pP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Singular</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Plural</w:t>
            </w:r>
          </w:p>
        </w:tc>
      </w:tr>
      <w:tr w:rsidR="00BB7EDA">
        <w:tblPrEx>
          <w:tblCellMar>
            <w:top w:w="0" w:type="dxa"/>
            <w:bottom w:w="0" w:type="dxa"/>
          </w:tblCellMar>
        </w:tblPrEx>
        <w:trPr>
          <w:trHeight w:hRule="exact" w:val="259"/>
          <w:jc w:val="center"/>
        </w:trPr>
        <w:tc>
          <w:tcPr>
            <w:tcW w:w="2208"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center"/>
            </w:pPr>
            <w:r>
              <w:t>3. Pers. mask.</w:t>
            </w:r>
          </w:p>
        </w:tc>
        <w:tc>
          <w:tcPr>
            <w:tcW w:w="917"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i-parras</w:t>
            </w:r>
          </w:p>
        </w:tc>
        <w:tc>
          <w:tcPr>
            <w:tcW w:w="2501"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ind w:left="280"/>
              <w:jc w:val="left"/>
            </w:pPr>
            <w:r>
              <w:t>i-parras-ü</w:t>
            </w:r>
          </w:p>
        </w:tc>
      </w:tr>
      <w:tr w:rsidR="00BB7EDA">
        <w:tblPrEx>
          <w:tblCellMar>
            <w:top w:w="0" w:type="dxa"/>
            <w:bottom w:w="0" w:type="dxa"/>
          </w:tblCellMar>
        </w:tblPrEx>
        <w:trPr>
          <w:trHeight w:hRule="exact" w:val="226"/>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center"/>
            </w:pPr>
            <w:r>
              <w:t>3. Pers. fern.</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i-parras</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i-parras-ä</w:t>
            </w:r>
          </w:p>
        </w:tc>
      </w:tr>
      <w:tr w:rsidR="00BB7EDA">
        <w:tblPrEx>
          <w:tblCellMar>
            <w:top w:w="0" w:type="dxa"/>
            <w:bottom w:w="0" w:type="dxa"/>
          </w:tblCellMar>
        </w:tblPrEx>
        <w:trPr>
          <w:trHeight w:hRule="exact" w:val="221"/>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center"/>
            </w:pPr>
            <w:r>
              <w:t>2. Pers. mask.</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ta-parras</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ta-parras-ä</w:t>
            </w:r>
          </w:p>
        </w:tc>
      </w:tr>
      <w:tr w:rsidR="00BB7EDA">
        <w:tblPrEx>
          <w:tblCellMar>
            <w:top w:w="0" w:type="dxa"/>
            <w:bottom w:w="0" w:type="dxa"/>
          </w:tblCellMar>
        </w:tblPrEx>
        <w:trPr>
          <w:trHeight w:hRule="exact" w:val="221"/>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center"/>
            </w:pPr>
            <w:r>
              <w:t>2. Pers. fern.</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ta-parras-i</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i ta-parras-ä</w:t>
            </w:r>
          </w:p>
        </w:tc>
      </w:tr>
      <w:tr w:rsidR="00BB7EDA">
        <w:tblPrEx>
          <w:tblCellMar>
            <w:top w:w="0" w:type="dxa"/>
            <w:bottom w:w="0" w:type="dxa"/>
          </w:tblCellMar>
        </w:tblPrEx>
        <w:trPr>
          <w:trHeight w:hRule="exact" w:val="293"/>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right"/>
            </w:pPr>
            <w:r>
              <w:t>1. Pers. mask./fern.</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a-parras</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ni-parras</w:t>
            </w:r>
          </w:p>
        </w:tc>
      </w:tr>
      <w:tr w:rsidR="00BB7EDA">
        <w:tblPrEx>
          <w:tblCellMar>
            <w:top w:w="0" w:type="dxa"/>
            <w:bottom w:w="0" w:type="dxa"/>
          </w:tblCellMar>
        </w:tblPrEx>
        <w:trPr>
          <w:trHeight w:hRule="exact" w:val="278"/>
          <w:jc w:val="center"/>
        </w:trPr>
        <w:tc>
          <w:tcPr>
            <w:tcW w:w="2208"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c) Perfekt</w:t>
            </w:r>
          </w:p>
        </w:tc>
        <w:tc>
          <w:tcPr>
            <w:tcW w:w="917" w:type="dxa"/>
            <w:shd w:val="clear" w:color="auto" w:fill="FFFFFF"/>
          </w:tcPr>
          <w:p w:rsidR="00BB7EDA" w:rsidRDefault="00BB7EDA">
            <w:pPr>
              <w:framePr w:w="5626" w:wrap="notBeside" w:vAnchor="text" w:hAnchor="text" w:xAlign="center" w:y="1"/>
              <w:rPr>
                <w:sz w:val="10"/>
                <w:szCs w:val="10"/>
              </w:rPr>
            </w:pPr>
          </w:p>
        </w:tc>
        <w:tc>
          <w:tcPr>
            <w:tcW w:w="2501" w:type="dxa"/>
            <w:shd w:val="clear" w:color="auto" w:fill="FFFFFF"/>
          </w:tcPr>
          <w:p w:rsidR="00BB7EDA" w:rsidRDefault="00BB7EDA">
            <w:pPr>
              <w:framePr w:w="5626" w:wrap="notBeside" w:vAnchor="text" w:hAnchor="text" w:xAlign="center" w:y="1"/>
              <w:rPr>
                <w:sz w:val="10"/>
                <w:szCs w:val="10"/>
              </w:rPr>
            </w:pPr>
          </w:p>
        </w:tc>
      </w:tr>
      <w:tr w:rsidR="00BB7EDA">
        <w:tblPrEx>
          <w:tblCellMar>
            <w:top w:w="0" w:type="dxa"/>
            <w:bottom w:w="0" w:type="dxa"/>
          </w:tblCellMar>
        </w:tblPrEx>
        <w:trPr>
          <w:trHeight w:hRule="exact" w:val="235"/>
          <w:jc w:val="center"/>
        </w:trPr>
        <w:tc>
          <w:tcPr>
            <w:tcW w:w="5626" w:type="dxa"/>
            <w:gridSpan w:val="3"/>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Das Perfekt bezeichnet soeben Vollendetes, das bis in die Gegenwart</w:t>
            </w:r>
          </w:p>
        </w:tc>
      </w:tr>
      <w:tr w:rsidR="00BB7EDA">
        <w:tblPrEx>
          <w:tblCellMar>
            <w:top w:w="0" w:type="dxa"/>
            <w:bottom w:w="0" w:type="dxa"/>
          </w:tblCellMar>
        </w:tblPrEx>
        <w:trPr>
          <w:trHeight w:hRule="exact" w:val="240"/>
          <w:jc w:val="center"/>
        </w:trPr>
        <w:tc>
          <w:tcPr>
            <w:tcW w:w="5626" w:type="dxa"/>
            <w:gridSpan w:val="3"/>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hinein Wirkung</w:t>
            </w:r>
            <w:r>
              <w:t xml:space="preserve"> zeigt. Nebst Präfixen und Affixen wird hier auch</w:t>
            </w:r>
          </w:p>
        </w:tc>
      </w:tr>
      <w:tr w:rsidR="00BB7EDA">
        <w:tblPrEx>
          <w:tblCellMar>
            <w:top w:w="0" w:type="dxa"/>
            <w:bottom w:w="0" w:type="dxa"/>
          </w:tblCellMar>
        </w:tblPrEx>
        <w:trPr>
          <w:trHeight w:hRule="exact" w:val="221"/>
          <w:jc w:val="center"/>
        </w:trPr>
        <w:tc>
          <w:tcPr>
            <w:tcW w:w="3125" w:type="dxa"/>
            <w:gridSpan w:val="2"/>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 xml:space="preserve">noch ein f-Infix verwendet, </w:t>
            </w:r>
            <w:r>
              <w:rPr>
                <w:rStyle w:val="Bodytext2Italic0"/>
              </w:rPr>
              <w:t>iptaras z.</w:t>
            </w:r>
          </w:p>
        </w:tc>
        <w:tc>
          <w:tcPr>
            <w:tcW w:w="2501"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.B. bedeutet ungefähr „er hat</w:t>
            </w:r>
          </w:p>
        </w:tc>
      </w:tr>
      <w:tr w:rsidR="00BB7EDA">
        <w:tblPrEx>
          <w:tblCellMar>
            <w:top w:w="0" w:type="dxa"/>
            <w:bottom w:w="0" w:type="dxa"/>
          </w:tblCellMar>
        </w:tblPrEx>
        <w:trPr>
          <w:trHeight w:hRule="exact" w:val="312"/>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soeben geschieden".</w:t>
            </w:r>
          </w:p>
        </w:tc>
        <w:tc>
          <w:tcPr>
            <w:tcW w:w="917" w:type="dxa"/>
            <w:shd w:val="clear" w:color="auto" w:fill="FFFFFF"/>
          </w:tcPr>
          <w:p w:rsidR="00BB7EDA" w:rsidRDefault="00BB7EDA">
            <w:pPr>
              <w:framePr w:w="5626" w:wrap="notBeside" w:vAnchor="text" w:hAnchor="text" w:xAlign="center" w:y="1"/>
              <w:rPr>
                <w:sz w:val="10"/>
                <w:szCs w:val="10"/>
              </w:rPr>
            </w:pPr>
          </w:p>
        </w:tc>
        <w:tc>
          <w:tcPr>
            <w:tcW w:w="2501" w:type="dxa"/>
            <w:shd w:val="clear" w:color="auto" w:fill="FFFFFF"/>
          </w:tcPr>
          <w:p w:rsidR="00BB7EDA" w:rsidRDefault="00BB7EDA">
            <w:pPr>
              <w:framePr w:w="5626" w:wrap="notBeside" w:vAnchor="text" w:hAnchor="text" w:xAlign="center" w:y="1"/>
              <w:rPr>
                <w:sz w:val="10"/>
                <w:szCs w:val="10"/>
              </w:rPr>
            </w:pPr>
          </w:p>
        </w:tc>
      </w:tr>
      <w:tr w:rsidR="00BB7EDA">
        <w:tblPrEx>
          <w:tblCellMar>
            <w:top w:w="0" w:type="dxa"/>
            <w:bottom w:w="0" w:type="dxa"/>
          </w:tblCellMar>
        </w:tblPrEx>
        <w:trPr>
          <w:trHeight w:hRule="exact" w:val="278"/>
          <w:jc w:val="center"/>
        </w:trPr>
        <w:tc>
          <w:tcPr>
            <w:tcW w:w="2208"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ind w:right="140"/>
              <w:jc w:val="right"/>
            </w:pPr>
            <w:r>
              <w:t>G-Stamm, Perfekt</w:t>
            </w:r>
          </w:p>
        </w:tc>
        <w:tc>
          <w:tcPr>
            <w:tcW w:w="917" w:type="dxa"/>
            <w:shd w:val="clear" w:color="auto" w:fill="FFFFFF"/>
          </w:tcPr>
          <w:p w:rsidR="00BB7EDA" w:rsidRDefault="00BB7EDA">
            <w:pPr>
              <w:framePr w:w="5626" w:wrap="notBeside" w:vAnchor="text" w:hAnchor="text" w:xAlign="center" w:y="1"/>
              <w:rPr>
                <w:sz w:val="10"/>
                <w:szCs w:val="10"/>
              </w:rPr>
            </w:pPr>
          </w:p>
        </w:tc>
        <w:tc>
          <w:tcPr>
            <w:tcW w:w="2501" w:type="dxa"/>
            <w:shd w:val="clear" w:color="auto" w:fill="FFFFFF"/>
          </w:tcPr>
          <w:p w:rsidR="00BB7EDA" w:rsidRDefault="00BB7EDA">
            <w:pPr>
              <w:framePr w:w="5626" w:wrap="notBeside" w:vAnchor="text" w:hAnchor="text" w:xAlign="center" w:y="1"/>
              <w:rPr>
                <w:sz w:val="10"/>
                <w:szCs w:val="10"/>
              </w:rPr>
            </w:pPr>
          </w:p>
        </w:tc>
      </w:tr>
      <w:tr w:rsidR="00BB7EDA">
        <w:tblPrEx>
          <w:tblCellMar>
            <w:top w:w="0" w:type="dxa"/>
            <w:bottom w:w="0" w:type="dxa"/>
          </w:tblCellMar>
        </w:tblPrEx>
        <w:trPr>
          <w:trHeight w:hRule="exact" w:val="283"/>
          <w:jc w:val="center"/>
        </w:trPr>
        <w:tc>
          <w:tcPr>
            <w:tcW w:w="2208" w:type="dxa"/>
            <w:shd w:val="clear" w:color="auto" w:fill="FFFFFF"/>
          </w:tcPr>
          <w:p w:rsidR="00BB7EDA" w:rsidRDefault="00BB7EDA">
            <w:pPr>
              <w:framePr w:w="5626" w:wrap="notBeside" w:vAnchor="text" w:hAnchor="text" w:xAlign="center" w:y="1"/>
              <w:rPr>
                <w:sz w:val="10"/>
                <w:szCs w:val="10"/>
              </w:rPr>
            </w:pP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Singular</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Plural</w:t>
            </w:r>
          </w:p>
        </w:tc>
      </w:tr>
      <w:tr w:rsidR="00BB7EDA">
        <w:tblPrEx>
          <w:tblCellMar>
            <w:top w:w="0" w:type="dxa"/>
            <w:bottom w:w="0" w:type="dxa"/>
          </w:tblCellMar>
        </w:tblPrEx>
        <w:trPr>
          <w:trHeight w:hRule="exact" w:val="254"/>
          <w:jc w:val="center"/>
        </w:trPr>
        <w:tc>
          <w:tcPr>
            <w:tcW w:w="2208"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center"/>
            </w:pPr>
            <w:r>
              <w:t>3. Pers. mask.</w:t>
            </w:r>
          </w:p>
        </w:tc>
        <w:tc>
          <w:tcPr>
            <w:tcW w:w="917"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jc w:val="left"/>
            </w:pPr>
            <w:r>
              <w:t>i-ptaras</w:t>
            </w:r>
          </w:p>
        </w:tc>
        <w:tc>
          <w:tcPr>
            <w:tcW w:w="2501" w:type="dxa"/>
            <w:shd w:val="clear" w:color="auto" w:fill="FFFFFF"/>
            <w:vAlign w:val="bottom"/>
          </w:tcPr>
          <w:p w:rsidR="00BB7EDA" w:rsidRDefault="007D72B3">
            <w:pPr>
              <w:pStyle w:val="Bodytext20"/>
              <w:framePr w:w="5626" w:wrap="notBeside" w:vAnchor="text" w:hAnchor="text" w:xAlign="center" w:y="1"/>
              <w:shd w:val="clear" w:color="auto" w:fill="auto"/>
              <w:spacing w:before="0" w:line="180" w:lineRule="exact"/>
              <w:ind w:left="280"/>
              <w:jc w:val="left"/>
            </w:pPr>
            <w:r>
              <w:t>i-ptars-ü</w:t>
            </w:r>
          </w:p>
        </w:tc>
      </w:tr>
      <w:tr w:rsidR="00BB7EDA">
        <w:tblPrEx>
          <w:tblCellMar>
            <w:top w:w="0" w:type="dxa"/>
            <w:bottom w:w="0" w:type="dxa"/>
          </w:tblCellMar>
        </w:tblPrEx>
        <w:trPr>
          <w:trHeight w:hRule="exact" w:val="221"/>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center"/>
            </w:pPr>
            <w:r>
              <w:t>3. Pers. fern.</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i-ptaras</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i-ptars-ä</w:t>
            </w:r>
          </w:p>
        </w:tc>
      </w:tr>
      <w:tr w:rsidR="00BB7EDA">
        <w:tblPrEx>
          <w:tblCellMar>
            <w:top w:w="0" w:type="dxa"/>
            <w:bottom w:w="0" w:type="dxa"/>
          </w:tblCellMar>
        </w:tblPrEx>
        <w:trPr>
          <w:trHeight w:hRule="exact" w:val="221"/>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center"/>
            </w:pPr>
            <w:r>
              <w:t xml:space="preserve">2. </w:t>
            </w:r>
            <w:r>
              <w:t>Pers. mask.</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ta-ptaras</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ta-ptars-ä</w:t>
            </w:r>
          </w:p>
        </w:tc>
      </w:tr>
      <w:tr w:rsidR="00BB7EDA">
        <w:tblPrEx>
          <w:tblCellMar>
            <w:top w:w="0" w:type="dxa"/>
            <w:bottom w:w="0" w:type="dxa"/>
          </w:tblCellMar>
        </w:tblPrEx>
        <w:trPr>
          <w:trHeight w:hRule="exact" w:val="221"/>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center"/>
            </w:pPr>
            <w:r>
              <w:t>2. Pers. fern.</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ta-ptarsl</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ta-ptars-ä</w:t>
            </w:r>
          </w:p>
        </w:tc>
      </w:tr>
      <w:tr w:rsidR="00BB7EDA">
        <w:tblPrEx>
          <w:tblCellMar>
            <w:top w:w="0" w:type="dxa"/>
            <w:bottom w:w="0" w:type="dxa"/>
          </w:tblCellMar>
        </w:tblPrEx>
        <w:trPr>
          <w:trHeight w:hRule="exact" w:val="240"/>
          <w:jc w:val="center"/>
        </w:trPr>
        <w:tc>
          <w:tcPr>
            <w:tcW w:w="2208"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right"/>
            </w:pPr>
            <w:r>
              <w:t>1. Pers. mask./fern.</w:t>
            </w:r>
          </w:p>
        </w:tc>
        <w:tc>
          <w:tcPr>
            <w:tcW w:w="917" w:type="dxa"/>
            <w:shd w:val="clear" w:color="auto" w:fill="FFFFFF"/>
          </w:tcPr>
          <w:p w:rsidR="00BB7EDA" w:rsidRDefault="007D72B3">
            <w:pPr>
              <w:pStyle w:val="Bodytext20"/>
              <w:framePr w:w="5626" w:wrap="notBeside" w:vAnchor="text" w:hAnchor="text" w:xAlign="center" w:y="1"/>
              <w:shd w:val="clear" w:color="auto" w:fill="auto"/>
              <w:spacing w:before="0" w:line="180" w:lineRule="exact"/>
              <w:jc w:val="left"/>
            </w:pPr>
            <w:r>
              <w:t>a-ptaras</w:t>
            </w:r>
          </w:p>
        </w:tc>
        <w:tc>
          <w:tcPr>
            <w:tcW w:w="2501" w:type="dxa"/>
            <w:shd w:val="clear" w:color="auto" w:fill="FFFFFF"/>
          </w:tcPr>
          <w:p w:rsidR="00BB7EDA" w:rsidRDefault="007D72B3">
            <w:pPr>
              <w:pStyle w:val="Bodytext20"/>
              <w:framePr w:w="5626" w:wrap="notBeside" w:vAnchor="text" w:hAnchor="text" w:xAlign="center" w:y="1"/>
              <w:shd w:val="clear" w:color="auto" w:fill="auto"/>
              <w:spacing w:before="0" w:line="180" w:lineRule="exact"/>
              <w:ind w:left="280"/>
              <w:jc w:val="left"/>
            </w:pPr>
            <w:r>
              <w:t>ni-ptaras</w:t>
            </w:r>
          </w:p>
        </w:tc>
      </w:tr>
    </w:tbl>
    <w:p w:rsidR="00BB7EDA" w:rsidRDefault="00BB7EDA">
      <w:pPr>
        <w:framePr w:w="5626" w:wrap="notBeside" w:vAnchor="text" w:hAnchor="text" w:xAlign="center" w:y="1"/>
        <w:rPr>
          <w:sz w:val="2"/>
          <w:szCs w:val="2"/>
        </w:rPr>
      </w:pPr>
    </w:p>
    <w:p w:rsidR="00BB7EDA" w:rsidRDefault="00BB7EDA">
      <w:pPr>
        <w:rPr>
          <w:sz w:val="2"/>
          <w:szCs w:val="2"/>
        </w:rPr>
      </w:pPr>
    </w:p>
    <w:p w:rsidR="00BB7EDA" w:rsidRDefault="007D72B3">
      <w:pPr>
        <w:pStyle w:val="Bodytext20"/>
        <w:shd w:val="clear" w:color="auto" w:fill="auto"/>
        <w:spacing w:before="79" w:after="120" w:line="226" w:lineRule="exact"/>
        <w:ind w:firstLine="320"/>
        <w:jc w:val="left"/>
      </w:pPr>
      <w:r>
        <w:t xml:space="preserve">Es folgen nun die Formen des Passiv-/Reflexiv-Stammes. Man bezeichnet ihn als </w:t>
      </w:r>
      <w:r>
        <w:rPr>
          <w:rStyle w:val="Bodytext2Italic0"/>
        </w:rPr>
        <w:t>N-Stamm:</w:t>
      </w:r>
    </w:p>
    <w:p w:rsidR="00BB7EDA" w:rsidRDefault="007D72B3">
      <w:pPr>
        <w:pStyle w:val="Bodytext100"/>
        <w:shd w:val="clear" w:color="auto" w:fill="auto"/>
        <w:spacing w:before="0"/>
        <w:ind w:right="3840" w:firstLine="0"/>
        <w:jc w:val="left"/>
      </w:pPr>
      <w:r>
        <w:t xml:space="preserve">6.2.42 Der N-Stamm </w:t>
      </w:r>
      <w:r>
        <w:rPr>
          <w:rStyle w:val="Bodytext109ptNotBoldNotItalic"/>
        </w:rPr>
        <w:t>a) Präteritum</w:t>
      </w:r>
    </w:p>
    <w:p w:rsidR="00BB7EDA" w:rsidRDefault="007D72B3">
      <w:pPr>
        <w:pStyle w:val="Bodytext20"/>
        <w:shd w:val="clear" w:color="auto" w:fill="auto"/>
        <w:spacing w:before="0" w:line="226" w:lineRule="exact"/>
        <w:sectPr w:rsidR="00BB7EDA">
          <w:pgSz w:w="7266" w:h="11422"/>
          <w:pgMar w:top="717" w:right="715" w:bottom="1079" w:left="877" w:header="0" w:footer="3" w:gutter="0"/>
          <w:cols w:space="720"/>
          <w:noEndnote/>
          <w:docGrid w:linePitch="360"/>
        </w:sectPr>
      </w:pPr>
      <w:r>
        <w:rPr>
          <w:rStyle w:val="Bodytext2Italic0"/>
        </w:rPr>
        <w:t>ipparis</w:t>
      </w:r>
      <w:r>
        <w:t xml:space="preserve"> z.B. bedeutet „er wurde geschieden". Durch sprach- geschichtliche Rekonstruktion kann als ursprüngliche Form </w:t>
      </w:r>
      <w:r>
        <w:rPr>
          <w:rStyle w:val="Bodytext2Italic0"/>
        </w:rPr>
        <w:t xml:space="preserve">inparis </w:t>
      </w:r>
      <w:r>
        <w:t>erschlossen werden. Von diesem typischen darin enthaltenen form</w:t>
      </w:r>
      <w:r>
        <w:softHyphen/>
        <w:t xml:space="preserve">bildenden </w:t>
      </w:r>
      <w:r>
        <w:rPr>
          <w:rStyle w:val="Bodytext2Italic0"/>
        </w:rPr>
        <w:t>n</w:t>
      </w:r>
      <w:r>
        <w:t xml:space="preserve"> her ergibt sich die Bezeichnung N-Stamm.</w:t>
      </w:r>
    </w:p>
    <w:p w:rsidR="00BB7EDA" w:rsidRDefault="007D72B3">
      <w:pPr>
        <w:rPr>
          <w:sz w:val="2"/>
          <w:szCs w:val="2"/>
        </w:rPr>
      </w:pPr>
      <w:r>
        <w:pict>
          <v:shape id="_x0000_s1113" type="#_x0000_t202" style="position:absolute;margin-left:-88.5pt;margin-top:12pt;width:82.8pt;height:58.35pt;z-index:-125829357;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ma</w:t>
                  </w:r>
                  <w:r w:rsidRPr="007D72B3">
                    <w:rPr>
                      <w:rStyle w:val="Bodytext2Exact"/>
                      <w:lang w:val="en-US"/>
                    </w:rPr>
                    <w:t>sk.</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fern.</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2. Pers. mask.</w:t>
                  </w:r>
                </w:p>
                <w:p w:rsidR="00BB7EDA" w:rsidRDefault="007D72B3">
                  <w:pPr>
                    <w:pStyle w:val="Bodytext20"/>
                    <w:shd w:val="clear" w:color="auto" w:fill="auto"/>
                    <w:spacing w:before="0" w:line="221" w:lineRule="exact"/>
                    <w:jc w:val="left"/>
                  </w:pPr>
                  <w:r>
                    <w:rPr>
                      <w:rStyle w:val="Bodytext2Exact"/>
                    </w:rPr>
                    <w:t>2. Pers. fern.</w:t>
                  </w:r>
                </w:p>
                <w:p w:rsidR="00BB7EDA" w:rsidRDefault="007D72B3">
                  <w:pPr>
                    <w:pStyle w:val="Bodytext20"/>
                    <w:shd w:val="clear" w:color="auto" w:fill="auto"/>
                    <w:spacing w:before="0" w:line="221" w:lineRule="exact"/>
                    <w:jc w:val="left"/>
                  </w:pPr>
                  <w:r>
                    <w:rPr>
                      <w:rStyle w:val="Bodytext2Exact"/>
                    </w:rPr>
                    <w:t>1. Pers. mask./fern.</w:t>
                  </w:r>
                </w:p>
              </w:txbxContent>
            </v:textbox>
            <w10:wrap type="square" side="right" anchorx="margin"/>
          </v:shape>
        </w:pict>
      </w:r>
    </w:p>
    <w:p w:rsidR="00BB7EDA" w:rsidRPr="007D72B3" w:rsidRDefault="007D72B3">
      <w:pPr>
        <w:pStyle w:val="Bodytext20"/>
        <w:shd w:val="clear" w:color="auto" w:fill="auto"/>
        <w:spacing w:before="0" w:line="221" w:lineRule="exact"/>
        <w:jc w:val="left"/>
        <w:rPr>
          <w:lang w:val="en-US"/>
        </w:rPr>
      </w:pPr>
      <w:r w:rsidRPr="007D72B3">
        <w:rPr>
          <w:lang w:val="en-US"/>
        </w:rPr>
        <w:t>i-pparis</w:t>
      </w:r>
    </w:p>
    <w:p w:rsidR="00BB7EDA" w:rsidRPr="007D72B3" w:rsidRDefault="007D72B3">
      <w:pPr>
        <w:pStyle w:val="Bodytext20"/>
        <w:shd w:val="clear" w:color="auto" w:fill="auto"/>
        <w:spacing w:before="0" w:line="221" w:lineRule="exact"/>
        <w:jc w:val="left"/>
        <w:rPr>
          <w:lang w:val="en-US"/>
        </w:rPr>
      </w:pPr>
      <w:r w:rsidRPr="007D72B3">
        <w:rPr>
          <w:lang w:val="en-US"/>
        </w:rPr>
        <w:t>i-pparis</w:t>
      </w:r>
    </w:p>
    <w:p w:rsidR="00BB7EDA" w:rsidRPr="007D72B3" w:rsidRDefault="007D72B3">
      <w:pPr>
        <w:pStyle w:val="Bodytext20"/>
        <w:shd w:val="clear" w:color="auto" w:fill="auto"/>
        <w:spacing w:before="0" w:line="221" w:lineRule="exact"/>
        <w:jc w:val="left"/>
        <w:rPr>
          <w:lang w:val="en-US"/>
        </w:rPr>
      </w:pPr>
      <w:r w:rsidRPr="007D72B3">
        <w:rPr>
          <w:lang w:val="en-US"/>
        </w:rPr>
        <w:t>ta-pparis</w:t>
      </w:r>
    </w:p>
    <w:p w:rsidR="00BB7EDA" w:rsidRPr="007D72B3" w:rsidRDefault="007D72B3">
      <w:pPr>
        <w:pStyle w:val="Bodytext20"/>
        <w:shd w:val="clear" w:color="auto" w:fill="auto"/>
        <w:spacing w:before="0" w:line="221" w:lineRule="exact"/>
        <w:jc w:val="left"/>
        <w:rPr>
          <w:lang w:val="en-US"/>
        </w:rPr>
      </w:pPr>
      <w:r w:rsidRPr="007D72B3">
        <w:rPr>
          <w:lang w:val="en-US"/>
        </w:rPr>
        <w:t>ta-pparis-T</w:t>
      </w:r>
    </w:p>
    <w:p w:rsidR="00BB7EDA" w:rsidRPr="007D72B3" w:rsidRDefault="007D72B3">
      <w:pPr>
        <w:pStyle w:val="Bodytext20"/>
        <w:shd w:val="clear" w:color="auto" w:fill="auto"/>
        <w:spacing w:before="0" w:line="221" w:lineRule="exact"/>
        <w:jc w:val="left"/>
        <w:rPr>
          <w:lang w:val="en-US"/>
        </w:rPr>
      </w:pPr>
      <w:r w:rsidRPr="007D72B3">
        <w:rPr>
          <w:lang w:val="en-US"/>
        </w:rPr>
        <w:t>a-pparis</w:t>
      </w:r>
    </w:p>
    <w:p w:rsidR="00BB7EDA" w:rsidRPr="007D72B3" w:rsidRDefault="007D72B3">
      <w:pPr>
        <w:pStyle w:val="Bodytext20"/>
        <w:shd w:val="clear" w:color="auto" w:fill="auto"/>
        <w:spacing w:before="0" w:after="37" w:line="180" w:lineRule="exact"/>
        <w:jc w:val="left"/>
        <w:rPr>
          <w:lang w:val="en-US"/>
        </w:rPr>
      </w:pPr>
      <w:r w:rsidRPr="007D72B3">
        <w:rPr>
          <w:lang w:val="en-US"/>
        </w:rPr>
        <w:br w:type="column"/>
      </w:r>
      <w:r w:rsidRPr="007D72B3">
        <w:rPr>
          <w:lang w:val="en-US"/>
        </w:rPr>
        <w:t>Plural</w:t>
      </w:r>
    </w:p>
    <w:p w:rsidR="00BB7EDA" w:rsidRPr="007D72B3" w:rsidRDefault="007D72B3">
      <w:pPr>
        <w:pStyle w:val="Bodytext20"/>
        <w:shd w:val="clear" w:color="auto" w:fill="auto"/>
        <w:spacing w:before="0" w:line="221" w:lineRule="exact"/>
        <w:jc w:val="left"/>
        <w:rPr>
          <w:lang w:val="en-US"/>
        </w:rPr>
      </w:pPr>
      <w:r w:rsidRPr="007D72B3">
        <w:rPr>
          <w:lang w:val="en-US"/>
        </w:rPr>
        <w:t>i-ppars-ü</w:t>
      </w:r>
    </w:p>
    <w:p w:rsidR="00BB7EDA" w:rsidRPr="007D72B3" w:rsidRDefault="007D72B3">
      <w:pPr>
        <w:pStyle w:val="Bodytext20"/>
        <w:shd w:val="clear" w:color="auto" w:fill="auto"/>
        <w:spacing w:before="0" w:line="221" w:lineRule="exact"/>
        <w:jc w:val="left"/>
        <w:rPr>
          <w:lang w:val="en-US"/>
        </w:rPr>
      </w:pPr>
      <w:r w:rsidRPr="007D72B3">
        <w:rPr>
          <w:lang w:val="en-US"/>
        </w:rPr>
        <w:t>i-ppars-ä</w:t>
      </w:r>
    </w:p>
    <w:p w:rsidR="00BB7EDA" w:rsidRPr="007D72B3" w:rsidRDefault="007D72B3">
      <w:pPr>
        <w:pStyle w:val="Bodytext20"/>
        <w:shd w:val="clear" w:color="auto" w:fill="auto"/>
        <w:spacing w:before="0" w:line="221" w:lineRule="exact"/>
        <w:jc w:val="left"/>
        <w:rPr>
          <w:lang w:val="en-US"/>
        </w:rPr>
      </w:pPr>
      <w:r w:rsidRPr="007D72B3">
        <w:rPr>
          <w:lang w:val="en-US"/>
        </w:rPr>
        <w:t>ta-ppars-ä</w:t>
      </w:r>
    </w:p>
    <w:p w:rsidR="00BB7EDA" w:rsidRPr="007D72B3" w:rsidRDefault="007D72B3">
      <w:pPr>
        <w:pStyle w:val="Bodytext20"/>
        <w:shd w:val="clear" w:color="auto" w:fill="auto"/>
        <w:spacing w:before="0" w:line="221" w:lineRule="exact"/>
        <w:jc w:val="left"/>
        <w:rPr>
          <w:lang w:val="en-US"/>
        </w:rPr>
      </w:pPr>
      <w:r w:rsidRPr="007D72B3">
        <w:rPr>
          <w:lang w:val="en-US"/>
        </w:rPr>
        <w:t>ta-ppars-ä</w:t>
      </w:r>
    </w:p>
    <w:p w:rsidR="00BB7EDA" w:rsidRDefault="007D72B3">
      <w:pPr>
        <w:pStyle w:val="Bodytext20"/>
        <w:shd w:val="clear" w:color="auto" w:fill="auto"/>
        <w:spacing w:before="0" w:line="221" w:lineRule="exact"/>
        <w:jc w:val="left"/>
        <w:sectPr w:rsidR="00BB7EDA">
          <w:footerReference w:type="even" r:id="rId96"/>
          <w:footerReference w:type="default" r:id="rId97"/>
          <w:headerReference w:type="first" r:id="rId98"/>
          <w:footerReference w:type="first" r:id="rId99"/>
          <w:pgSz w:w="7266" w:h="11422"/>
          <w:pgMar w:top="953" w:right="2186" w:bottom="1174" w:left="3069" w:header="0" w:footer="3" w:gutter="0"/>
          <w:cols w:num="2" w:space="203"/>
          <w:noEndnote/>
          <w:titlePg/>
          <w:docGrid w:linePitch="360"/>
        </w:sectPr>
      </w:pPr>
      <w:r>
        <w:t>ni-pparis</w:t>
      </w:r>
    </w:p>
    <w:p w:rsidR="00BB7EDA" w:rsidRDefault="00BB7EDA">
      <w:pPr>
        <w:spacing w:line="97" w:lineRule="exact"/>
        <w:rPr>
          <w:sz w:val="8"/>
          <w:szCs w:val="8"/>
        </w:rPr>
      </w:pPr>
    </w:p>
    <w:p w:rsidR="00BB7EDA" w:rsidRDefault="00BB7EDA">
      <w:pPr>
        <w:rPr>
          <w:sz w:val="2"/>
          <w:szCs w:val="2"/>
        </w:rPr>
        <w:sectPr w:rsidR="00BB7EDA">
          <w:type w:val="continuous"/>
          <w:pgSz w:w="7266" w:h="11422"/>
          <w:pgMar w:top="1269" w:right="0" w:bottom="1029" w:left="0" w:header="0" w:footer="3" w:gutter="0"/>
          <w:cols w:space="720"/>
          <w:noEndnote/>
          <w:docGrid w:linePitch="360"/>
        </w:sectPr>
      </w:pPr>
    </w:p>
    <w:p w:rsidR="00BB7EDA" w:rsidRDefault="007D72B3">
      <w:pPr>
        <w:pStyle w:val="Bodytext20"/>
        <w:framePr w:w="5630" w:h="977" w:wrap="none" w:vAnchor="text" w:hAnchor="margin" w:x="-70" w:y="3958"/>
        <w:shd w:val="clear" w:color="auto" w:fill="auto"/>
        <w:spacing w:before="0" w:line="226" w:lineRule="exact"/>
        <w:ind w:firstLine="320"/>
      </w:pPr>
      <w:r>
        <w:rPr>
          <w:rStyle w:val="Bodytext2Exact"/>
        </w:rPr>
        <w:t xml:space="preserve">Es folgen die Formen des Faktitiv-Stammes, der in der Semitistik allgemein als </w:t>
      </w:r>
      <w:r>
        <w:rPr>
          <w:rStyle w:val="Bodytext2ItalicExact"/>
        </w:rPr>
        <w:t>D-Stamm</w:t>
      </w:r>
      <w:r>
        <w:rPr>
          <w:rStyle w:val="Bodytext2ItalicExact"/>
          <w:vertAlign w:val="superscript"/>
        </w:rPr>
        <w:t>372</w:t>
      </w:r>
      <w:r>
        <w:rPr>
          <w:rStyle w:val="Bodytext2Exact"/>
        </w:rPr>
        <w:t xml:space="preserve"> bezeichnet wird. Dieser Verbalstamm drückt meistens die Herbeiführung des durch den G-Stamm ausgedrück</w:t>
      </w:r>
      <w:r>
        <w:rPr>
          <w:rStyle w:val="Bodytext2Exact"/>
        </w:rPr>
        <w:softHyphen/>
        <w:t>ten Vorgangs bzw. Zustands aus.</w:t>
      </w:r>
    </w:p>
    <w:p w:rsidR="00BB7EDA" w:rsidRDefault="007D72B3">
      <w:pPr>
        <w:spacing w:line="360" w:lineRule="exact"/>
      </w:pPr>
      <w:r>
        <w:pict>
          <v:shape id="_x0000_s1118" type="#_x0000_t202" style="position:absolute;margin-left:-3.3pt;margin-top:.1pt;width:150.5pt;height:35.5pt;z-index:251657731;mso-wrap-distance-left:5pt;mso-wrap-distance-right:5pt;mso-position-horizontal-relative:margin" filled="f" stroked="f">
            <v:textbox style="mso-fit-shape-to-text:t" inset="0,0,0,0">
              <w:txbxContent>
                <w:p w:rsidR="00BB7EDA" w:rsidRDefault="007D72B3">
                  <w:pPr>
                    <w:pStyle w:val="Bodytext20"/>
                    <w:shd w:val="clear" w:color="auto" w:fill="auto"/>
                    <w:spacing w:before="0"/>
                    <w:jc w:val="left"/>
                  </w:pPr>
                  <w:r>
                    <w:rPr>
                      <w:rStyle w:val="Bodytext2Exact"/>
                    </w:rPr>
                    <w:t>b) Präsens</w:t>
                  </w:r>
                </w:p>
                <w:p w:rsidR="00BB7EDA" w:rsidRDefault="007D72B3">
                  <w:pPr>
                    <w:pStyle w:val="Bodytext20"/>
                    <w:shd w:val="clear" w:color="auto" w:fill="auto"/>
                    <w:spacing w:before="0"/>
                    <w:ind w:left="600"/>
                    <w:jc w:val="left"/>
                  </w:pPr>
                  <w:r>
                    <w:rPr>
                      <w:rStyle w:val="Bodytext2Exact"/>
                    </w:rPr>
                    <w:t>N-Stamm, Präsens</w:t>
                  </w:r>
                </w:p>
                <w:p w:rsidR="00BB7EDA" w:rsidRDefault="007D72B3">
                  <w:pPr>
                    <w:pStyle w:val="Bodytext20"/>
                    <w:shd w:val="clear" w:color="auto" w:fill="auto"/>
                    <w:spacing w:before="0"/>
                    <w:jc w:val="right"/>
                  </w:pPr>
                  <w:r>
                    <w:rPr>
                      <w:rStyle w:val="Bodytext2Exact"/>
                    </w:rPr>
                    <w:t>Singular</w:t>
                  </w:r>
                </w:p>
              </w:txbxContent>
            </v:textbox>
            <w10:wrap anchorx="margin"/>
          </v:shape>
        </w:pict>
      </w:r>
      <w:r>
        <w:pict>
          <v:shape id="_x0000_s1119" type="#_x0000_t202" style="position:absolute;margin-left:24.75pt;margin-top:35.55pt;width:82.55pt;height:58.85pt;z-index:251657732;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mask.</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fern.</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2. Pers. mask.</w:t>
                  </w:r>
                </w:p>
                <w:p w:rsidR="00BB7EDA" w:rsidRDefault="007D72B3">
                  <w:pPr>
                    <w:pStyle w:val="Bodytext20"/>
                    <w:shd w:val="clear" w:color="auto" w:fill="auto"/>
                    <w:spacing w:before="0" w:line="221" w:lineRule="exact"/>
                    <w:jc w:val="left"/>
                  </w:pPr>
                  <w:r>
                    <w:rPr>
                      <w:rStyle w:val="Bodytext2Exact"/>
                    </w:rPr>
                    <w:t>2. Pers. fern.</w:t>
                  </w:r>
                </w:p>
                <w:p w:rsidR="00BB7EDA" w:rsidRDefault="007D72B3">
                  <w:pPr>
                    <w:pStyle w:val="Bodytext20"/>
                    <w:shd w:val="clear" w:color="auto" w:fill="auto"/>
                    <w:spacing w:before="0" w:line="221" w:lineRule="exact"/>
                    <w:jc w:val="left"/>
                  </w:pPr>
                  <w:r>
                    <w:rPr>
                      <w:rStyle w:val="Bodytext2Exact"/>
                    </w:rPr>
                    <w:t xml:space="preserve">1. Pers. </w:t>
                  </w:r>
                  <w:r>
                    <w:rPr>
                      <w:rStyle w:val="Bodytext2Exact"/>
                    </w:rPr>
                    <w:t>mask./fern.</w:t>
                  </w:r>
                </w:p>
              </w:txbxContent>
            </v:textbox>
            <w10:wrap anchorx="margin"/>
          </v:shape>
        </w:pict>
      </w:r>
      <w:r>
        <w:pict>
          <v:shape id="_x0000_s1120" type="#_x0000_t202" style="position:absolute;margin-left:109.5pt;margin-top:35.75pt;width:51.35pt;height:59.05pt;z-index:251657733;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i-pparras</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i-pparras</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ta-pparras</w:t>
                  </w:r>
                </w:p>
                <w:p w:rsidR="00BB7EDA" w:rsidRDefault="007D72B3">
                  <w:pPr>
                    <w:pStyle w:val="Bodytext20"/>
                    <w:shd w:val="clear" w:color="auto" w:fill="auto"/>
                    <w:spacing w:before="0" w:line="221" w:lineRule="exact"/>
                    <w:jc w:val="left"/>
                  </w:pPr>
                  <w:r>
                    <w:rPr>
                      <w:rStyle w:val="Bodytext2Exact"/>
                    </w:rPr>
                    <w:t>ta-pparras-i</w:t>
                  </w:r>
                </w:p>
                <w:p w:rsidR="00BB7EDA" w:rsidRDefault="007D72B3">
                  <w:pPr>
                    <w:pStyle w:val="Bodytext20"/>
                    <w:shd w:val="clear" w:color="auto" w:fill="auto"/>
                    <w:spacing w:before="0" w:line="221" w:lineRule="exact"/>
                    <w:jc w:val="left"/>
                  </w:pPr>
                  <w:r>
                    <w:rPr>
                      <w:rStyle w:val="Bodytext2Exact"/>
                    </w:rPr>
                    <w:t>a-pparras</w:t>
                  </w:r>
                </w:p>
              </w:txbxContent>
            </v:textbox>
            <w10:wrap anchorx="margin"/>
          </v:shape>
        </w:pict>
      </w:r>
      <w:r>
        <w:pict>
          <v:shape id="_x0000_s1121" type="#_x0000_t202" style="position:absolute;margin-left:165.9pt;margin-top:22.8pt;width:53.05pt;height:1in;z-index:251657734;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after="37" w:line="180" w:lineRule="exact"/>
                    <w:jc w:val="left"/>
                    <w:rPr>
                      <w:lang w:val="en-US"/>
                    </w:rPr>
                  </w:pPr>
                  <w:r w:rsidRPr="007D72B3">
                    <w:rPr>
                      <w:rStyle w:val="Bodytext2Exact"/>
                      <w:lang w:val="en-US"/>
                    </w:rPr>
                    <w:t>Plural</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i-pparras-ü</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i-pparras-ä</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ta-pparras-ä</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ta-pparras-ä</w:t>
                  </w:r>
                </w:p>
                <w:p w:rsidR="00BB7EDA" w:rsidRDefault="007D72B3">
                  <w:pPr>
                    <w:pStyle w:val="Bodytext20"/>
                    <w:shd w:val="clear" w:color="auto" w:fill="auto"/>
                    <w:spacing w:before="0" w:line="221" w:lineRule="exact"/>
                    <w:jc w:val="left"/>
                  </w:pPr>
                  <w:r>
                    <w:rPr>
                      <w:rStyle w:val="Bodytext2Exact"/>
                    </w:rPr>
                    <w:t>ni-pparras</w:t>
                  </w:r>
                </w:p>
              </w:txbxContent>
            </v:textbox>
            <w10:wrap anchorx="margin"/>
          </v:shape>
        </w:pict>
      </w:r>
      <w:r>
        <w:pict>
          <v:shape id="_x0000_s1122" type="#_x0000_t202" style="position:absolute;margin-left:-3.55pt;margin-top:97.6pt;width:150.7pt;height:37.55pt;z-index:251657735;mso-wrap-distance-left:5pt;mso-wrap-distance-right:5pt;mso-position-horizontal-relative:margin" filled="f" stroked="f">
            <v:textbox style="mso-fit-shape-to-text:t" inset="0,0,0,0">
              <w:txbxContent>
                <w:p w:rsidR="00BB7EDA" w:rsidRDefault="007D72B3">
                  <w:pPr>
                    <w:pStyle w:val="Bodytext20"/>
                    <w:shd w:val="clear" w:color="auto" w:fill="auto"/>
                    <w:spacing w:before="0"/>
                    <w:jc w:val="left"/>
                  </w:pPr>
                  <w:r>
                    <w:rPr>
                      <w:rStyle w:val="Bodytext2Exact"/>
                    </w:rPr>
                    <w:t>c) Perfekt</w:t>
                  </w:r>
                </w:p>
                <w:p w:rsidR="00BB7EDA" w:rsidRDefault="007D72B3">
                  <w:pPr>
                    <w:pStyle w:val="Bodytext20"/>
                    <w:shd w:val="clear" w:color="auto" w:fill="auto"/>
                    <w:spacing w:before="0"/>
                    <w:ind w:left="600"/>
                    <w:jc w:val="left"/>
                  </w:pPr>
                  <w:r>
                    <w:rPr>
                      <w:rStyle w:val="Bodytext2Exact"/>
                    </w:rPr>
                    <w:t>N-Stamm, Perfekt:</w:t>
                  </w:r>
                </w:p>
                <w:p w:rsidR="00BB7EDA" w:rsidRDefault="007D72B3">
                  <w:pPr>
                    <w:pStyle w:val="Bodytext20"/>
                    <w:shd w:val="clear" w:color="auto" w:fill="auto"/>
                    <w:spacing w:before="0"/>
                    <w:jc w:val="right"/>
                  </w:pPr>
                  <w:r>
                    <w:rPr>
                      <w:rStyle w:val="Bodytext2Exact"/>
                    </w:rPr>
                    <w:t>Singular</w:t>
                  </w:r>
                </w:p>
              </w:txbxContent>
            </v:textbox>
            <w10:wrap anchorx="margin"/>
          </v:shape>
        </w:pict>
      </w:r>
      <w:r>
        <w:pict>
          <v:shape id="_x0000_s1123" type="#_x0000_t202" style="position:absolute;margin-left:24.75pt;margin-top:135.15pt;width:82.8pt;height:58.35pt;z-index:251657736;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mask.</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fern.</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2. Pers. mask.</w:t>
                  </w:r>
                </w:p>
                <w:p w:rsidR="00BB7EDA" w:rsidRDefault="007D72B3">
                  <w:pPr>
                    <w:pStyle w:val="Bodytext20"/>
                    <w:shd w:val="clear" w:color="auto" w:fill="auto"/>
                    <w:spacing w:before="0" w:line="221" w:lineRule="exact"/>
                    <w:jc w:val="left"/>
                  </w:pPr>
                  <w:r>
                    <w:rPr>
                      <w:rStyle w:val="Bodytext2Exact"/>
                    </w:rPr>
                    <w:t>2. Pers. fern.</w:t>
                  </w:r>
                </w:p>
                <w:p w:rsidR="00BB7EDA" w:rsidRDefault="007D72B3">
                  <w:pPr>
                    <w:pStyle w:val="Bodytext20"/>
                    <w:shd w:val="clear" w:color="auto" w:fill="auto"/>
                    <w:spacing w:before="0" w:line="221" w:lineRule="exact"/>
                    <w:jc w:val="left"/>
                  </w:pPr>
                  <w:r>
                    <w:rPr>
                      <w:rStyle w:val="Bodytext2Exact"/>
                    </w:rPr>
                    <w:t xml:space="preserve">1. Pers. </w:t>
                  </w:r>
                  <w:r>
                    <w:rPr>
                      <w:rStyle w:val="Bodytext2Exact"/>
                    </w:rPr>
                    <w:t>mask./fern.</w:t>
                  </w:r>
                </w:p>
              </w:txbxContent>
            </v:textbox>
            <w10:wrap anchorx="margin"/>
          </v:shape>
        </w:pict>
      </w:r>
      <w:r>
        <w:pict>
          <v:shape id="_x0000_s1124" type="#_x0000_t202" style="position:absolute;margin-left:109.5pt;margin-top:135.15pt;width:48.5pt;height:58.75pt;z-index:251657737;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i-ttapras</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i-ttapras</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ta-ttapras</w:t>
                  </w:r>
                </w:p>
                <w:p w:rsidR="00BB7EDA" w:rsidRDefault="007D72B3">
                  <w:pPr>
                    <w:pStyle w:val="Bodytext20"/>
                    <w:shd w:val="clear" w:color="auto" w:fill="auto"/>
                    <w:spacing w:before="0" w:line="221" w:lineRule="exact"/>
                    <w:jc w:val="left"/>
                  </w:pPr>
                  <w:r>
                    <w:rPr>
                      <w:rStyle w:val="Bodytext2Exact"/>
                    </w:rPr>
                    <w:t>ta-ttapras-T</w:t>
                  </w:r>
                </w:p>
                <w:p w:rsidR="00BB7EDA" w:rsidRDefault="007D72B3">
                  <w:pPr>
                    <w:pStyle w:val="Bodytext20"/>
                    <w:shd w:val="clear" w:color="auto" w:fill="auto"/>
                    <w:spacing w:before="0" w:line="221" w:lineRule="exact"/>
                    <w:jc w:val="left"/>
                  </w:pPr>
                  <w:r>
                    <w:rPr>
                      <w:rStyle w:val="Bodytext2Exact"/>
                    </w:rPr>
                    <w:t>a-ttapras</w:t>
                  </w:r>
                </w:p>
              </w:txbxContent>
            </v:textbox>
            <w10:wrap anchorx="margin"/>
          </v:shape>
        </w:pict>
      </w:r>
      <w:r>
        <w:pict>
          <v:shape id="_x0000_s1125" type="#_x0000_t202" style="position:absolute;margin-left:165.9pt;margin-top:122.4pt;width:49.7pt;height:71.55pt;z-index:251657738;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after="37" w:line="180" w:lineRule="exact"/>
                    <w:jc w:val="left"/>
                    <w:rPr>
                      <w:lang w:val="en-US"/>
                    </w:rPr>
                  </w:pPr>
                  <w:r w:rsidRPr="007D72B3">
                    <w:rPr>
                      <w:rStyle w:val="Bodytext2Exact"/>
                      <w:lang w:val="en-US"/>
                    </w:rPr>
                    <w:t>Plural</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i-ttapras-ü</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i-ttapras-ä</w:t>
                  </w:r>
                </w:p>
                <w:p w:rsidR="00BB7EDA" w:rsidRDefault="007D72B3">
                  <w:pPr>
                    <w:pStyle w:val="Bodytext20"/>
                    <w:shd w:val="clear" w:color="auto" w:fill="auto"/>
                    <w:spacing w:before="0" w:line="221" w:lineRule="exact"/>
                    <w:jc w:val="left"/>
                  </w:pPr>
                  <w:r>
                    <w:rPr>
                      <w:rStyle w:val="Bodytext2Exact"/>
                    </w:rPr>
                    <w:t>ta-ttapras-ä</w:t>
                  </w:r>
                </w:p>
                <w:p w:rsidR="00BB7EDA" w:rsidRDefault="007D72B3">
                  <w:pPr>
                    <w:pStyle w:val="Bodytext20"/>
                    <w:shd w:val="clear" w:color="auto" w:fill="auto"/>
                    <w:spacing w:before="0" w:line="221" w:lineRule="exact"/>
                    <w:jc w:val="left"/>
                  </w:pPr>
                  <w:r>
                    <w:rPr>
                      <w:rStyle w:val="Bodytext2Exact"/>
                    </w:rPr>
                    <w:t>ta-ttapras-ä</w:t>
                  </w:r>
                </w:p>
                <w:p w:rsidR="00BB7EDA" w:rsidRDefault="007D72B3">
                  <w:pPr>
                    <w:pStyle w:val="Bodytext20"/>
                    <w:shd w:val="clear" w:color="auto" w:fill="auto"/>
                    <w:spacing w:before="0" w:line="221" w:lineRule="exact"/>
                    <w:jc w:val="left"/>
                  </w:pPr>
                  <w:r>
                    <w:rPr>
                      <w:rStyle w:val="Bodytext2Exact"/>
                    </w:rPr>
                    <w:t>ni-ttapras</w:t>
                  </w:r>
                </w:p>
              </w:txbxContent>
            </v:textbox>
            <w10:wrap anchorx="margin"/>
          </v:shape>
        </w:pict>
      </w:r>
      <w:r>
        <w:pict>
          <v:shape id="_x0000_s1126" type="#_x0000_t202" style="position:absolute;margin-left:-3.3pt;margin-top:257.2pt;width:150.5pt;height:49.75pt;z-index:251657739;mso-wrap-distance-left:5pt;mso-wrap-distance-right:5pt;mso-position-horizontal-relative:margin" filled="f" stroked="f">
            <v:textbox style="mso-fit-shape-to-text:t" inset="0,0,0,0">
              <w:txbxContent>
                <w:p w:rsidR="00BB7EDA" w:rsidRDefault="007D72B3">
                  <w:pPr>
                    <w:pStyle w:val="Bodytext100"/>
                    <w:shd w:val="clear" w:color="auto" w:fill="auto"/>
                    <w:spacing w:before="0" w:line="230" w:lineRule="exact"/>
                    <w:ind w:right="1220" w:firstLine="0"/>
                    <w:jc w:val="left"/>
                  </w:pPr>
                  <w:r>
                    <w:rPr>
                      <w:rStyle w:val="Bodytext10Exact"/>
                      <w:b/>
                      <w:bCs/>
                      <w:i/>
                      <w:iCs/>
                    </w:rPr>
                    <w:t xml:space="preserve">6.2A.3 Der D-Stamm </w:t>
                  </w:r>
                  <w:r>
                    <w:rPr>
                      <w:rStyle w:val="Bodytext109ptNotBoldNotItalicExact"/>
                    </w:rPr>
                    <w:t>a) Präteritum</w:t>
                  </w:r>
                </w:p>
                <w:p w:rsidR="00BB7EDA" w:rsidRDefault="007D72B3">
                  <w:pPr>
                    <w:pStyle w:val="Bodytext20"/>
                    <w:shd w:val="clear" w:color="auto" w:fill="auto"/>
                    <w:spacing w:before="0"/>
                    <w:ind w:left="40"/>
                    <w:jc w:val="center"/>
                  </w:pPr>
                  <w:r>
                    <w:rPr>
                      <w:rStyle w:val="Bodytext2Exact"/>
                    </w:rPr>
                    <w:t>D-Stamm, Präteritum</w:t>
                  </w:r>
                </w:p>
                <w:p w:rsidR="00BB7EDA" w:rsidRDefault="007D72B3">
                  <w:pPr>
                    <w:pStyle w:val="Bodytext20"/>
                    <w:shd w:val="clear" w:color="auto" w:fill="auto"/>
                    <w:spacing w:before="0"/>
                    <w:jc w:val="right"/>
                  </w:pPr>
                  <w:r>
                    <w:rPr>
                      <w:rStyle w:val="Bodytext2Exact"/>
                    </w:rPr>
                    <w:t>Singular</w:t>
                  </w:r>
                </w:p>
              </w:txbxContent>
            </v:textbox>
            <w10:wrap anchorx="margin"/>
          </v:shape>
        </w:pict>
      </w:r>
      <w:r>
        <w:pict>
          <v:shape id="_x0000_s1127" type="#_x0000_t202" style="position:absolute;margin-left:22.6pt;margin-top:306.95pt;width:84.95pt;height:57.4pt;z-index:251657740;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mask.</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3. Pers. fern.</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2. Pers. mask.</w:t>
                  </w:r>
                </w:p>
                <w:p w:rsidR="00BB7EDA" w:rsidRDefault="007D72B3">
                  <w:pPr>
                    <w:pStyle w:val="Bodytext20"/>
                    <w:shd w:val="clear" w:color="auto" w:fill="auto"/>
                    <w:spacing w:before="0" w:line="221" w:lineRule="exact"/>
                    <w:jc w:val="left"/>
                  </w:pPr>
                  <w:r>
                    <w:rPr>
                      <w:rStyle w:val="Bodytext2Exact"/>
                    </w:rPr>
                    <w:t xml:space="preserve">2. </w:t>
                  </w:r>
                  <w:r>
                    <w:rPr>
                      <w:rStyle w:val="Bodytext2Exact"/>
                    </w:rPr>
                    <w:t>Pers. fern.</w:t>
                  </w:r>
                </w:p>
                <w:p w:rsidR="00BB7EDA" w:rsidRDefault="007D72B3">
                  <w:pPr>
                    <w:pStyle w:val="Bodytext20"/>
                    <w:shd w:val="clear" w:color="auto" w:fill="auto"/>
                    <w:spacing w:before="0" w:line="221" w:lineRule="exact"/>
                    <w:jc w:val="left"/>
                  </w:pPr>
                  <w:r>
                    <w:rPr>
                      <w:rStyle w:val="Bodytext2Exact"/>
                    </w:rPr>
                    <w:t>1. Pers. mask./fern.</w:t>
                  </w:r>
                </w:p>
              </w:txbxContent>
            </v:textbox>
            <w10:wrap anchorx="margin"/>
          </v:shape>
        </w:pict>
      </w:r>
      <w:r>
        <w:pict>
          <v:shape id="_x0000_s1128" type="#_x0000_t202" style="position:absolute;margin-left:109.5pt;margin-top:306.75pt;width:46.1pt;height:58.05pt;z-index:251657741;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u-parris</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u-parris</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tu-parris</w:t>
                  </w:r>
                </w:p>
                <w:p w:rsidR="00BB7EDA" w:rsidRDefault="007D72B3">
                  <w:pPr>
                    <w:pStyle w:val="Bodytext20"/>
                    <w:shd w:val="clear" w:color="auto" w:fill="auto"/>
                    <w:spacing w:before="0" w:line="221" w:lineRule="exact"/>
                    <w:jc w:val="left"/>
                  </w:pPr>
                  <w:r>
                    <w:rPr>
                      <w:rStyle w:val="Bodytext2Exact"/>
                    </w:rPr>
                    <w:t>tu-parris-i</w:t>
                  </w:r>
                </w:p>
                <w:p w:rsidR="00BB7EDA" w:rsidRDefault="007D72B3">
                  <w:pPr>
                    <w:pStyle w:val="Bodytext20"/>
                    <w:shd w:val="clear" w:color="auto" w:fill="auto"/>
                    <w:spacing w:before="0" w:line="221" w:lineRule="exact"/>
                    <w:jc w:val="left"/>
                  </w:pPr>
                  <w:r>
                    <w:rPr>
                      <w:rStyle w:val="Bodytext2Exact"/>
                    </w:rPr>
                    <w:t>u-parris</w:t>
                  </w:r>
                </w:p>
              </w:txbxContent>
            </v:textbox>
            <w10:wrap anchorx="margin"/>
          </v:shape>
        </w:pict>
      </w:r>
      <w:r>
        <w:pict>
          <v:shape id="_x0000_s1129" type="#_x0000_t202" style="position:absolute;margin-left:166.35pt;margin-top:294.25pt;width:46.1pt;height:71.05pt;z-index:251657742;mso-wrap-distance-left:5pt;mso-wrap-distance-right:5pt;mso-position-horizontal-relative:margin" filled="f" stroked="f">
            <v:textbox style="mso-fit-shape-to-text:t" inset="0,0,0,0">
              <w:txbxContent>
                <w:p w:rsidR="00BB7EDA" w:rsidRPr="007D72B3" w:rsidRDefault="007D72B3">
                  <w:pPr>
                    <w:pStyle w:val="Bodytext20"/>
                    <w:shd w:val="clear" w:color="auto" w:fill="auto"/>
                    <w:spacing w:before="0" w:after="37" w:line="180" w:lineRule="exact"/>
                    <w:jc w:val="left"/>
                    <w:rPr>
                      <w:lang w:val="en-US"/>
                    </w:rPr>
                  </w:pPr>
                  <w:r w:rsidRPr="007D72B3">
                    <w:rPr>
                      <w:rStyle w:val="Bodytext2Exact"/>
                      <w:lang w:val="en-US"/>
                    </w:rPr>
                    <w:t>Plural</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u-parris-ü</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u-parris-ä</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tu-parris-ä</w:t>
                  </w:r>
                </w:p>
                <w:p w:rsidR="00BB7EDA" w:rsidRPr="007D72B3" w:rsidRDefault="007D72B3">
                  <w:pPr>
                    <w:pStyle w:val="Bodytext20"/>
                    <w:shd w:val="clear" w:color="auto" w:fill="auto"/>
                    <w:spacing w:before="0" w:line="221" w:lineRule="exact"/>
                    <w:jc w:val="left"/>
                    <w:rPr>
                      <w:lang w:val="en-US"/>
                    </w:rPr>
                  </w:pPr>
                  <w:r w:rsidRPr="007D72B3">
                    <w:rPr>
                      <w:rStyle w:val="Bodytext2Exact"/>
                      <w:lang w:val="en-US"/>
                    </w:rPr>
                    <w:t>tu-parris-ä</w:t>
                  </w:r>
                </w:p>
                <w:p w:rsidR="00BB7EDA" w:rsidRDefault="007D72B3">
                  <w:pPr>
                    <w:pStyle w:val="Bodytext20"/>
                    <w:shd w:val="clear" w:color="auto" w:fill="auto"/>
                    <w:spacing w:before="0" w:line="221" w:lineRule="exact"/>
                    <w:jc w:val="left"/>
                  </w:pPr>
                  <w:r>
                    <w:rPr>
                      <w:rStyle w:val="Bodytext2Exact"/>
                    </w:rPr>
                    <w:t>nu-parris</w:t>
                  </w:r>
                </w:p>
              </w:txbxContent>
            </v:textbox>
            <w10:wrap anchorx="margin"/>
          </v:shape>
        </w:pict>
      </w:r>
      <w:r>
        <w:pict>
          <v:shape id="_x0000_s1130" type="#_x0000_t202" style="position:absolute;margin-left:-3.1pt;margin-top:373.9pt;width:281.05pt;height:12.25pt;z-index:251657743;mso-wrap-distance-left:5pt;mso-wrap-distance-right:5pt;mso-position-horizontal-relative:margin" filled="f" stroked="f">
            <v:textbox style="mso-fit-shape-to-text:t" inset="0,0,0,0">
              <w:txbxContent>
                <w:p w:rsidR="00BB7EDA" w:rsidRDefault="007D72B3">
                  <w:pPr>
                    <w:pStyle w:val="Bodytext60"/>
                    <w:shd w:val="clear" w:color="auto" w:fill="auto"/>
                    <w:spacing w:line="180" w:lineRule="exact"/>
                  </w:pPr>
                  <w:r>
                    <w:rPr>
                      <w:rStyle w:val="Bodytext69ptExact"/>
                      <w:vertAlign w:val="superscript"/>
                    </w:rPr>
                    <w:t>372</w:t>
                  </w:r>
                  <w:r>
                    <w:rPr>
                      <w:rStyle w:val="Bodytext6Exact"/>
                    </w:rPr>
                    <w:t xml:space="preserve"> = Doppelungs-Stamm. Man beachte die Verdoppelung des mittleren Radikals.</w:t>
                  </w:r>
                </w:p>
              </w:txbxContent>
            </v:textbox>
            <w10:wrap anchorx="margin"/>
          </v:shape>
        </w:pict>
      </w: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360" w:lineRule="exact"/>
      </w:pPr>
    </w:p>
    <w:p w:rsidR="00BB7EDA" w:rsidRDefault="00BB7EDA">
      <w:pPr>
        <w:spacing w:line="515" w:lineRule="exact"/>
      </w:pPr>
    </w:p>
    <w:p w:rsidR="00BB7EDA" w:rsidRDefault="00BB7EDA">
      <w:pPr>
        <w:rPr>
          <w:sz w:val="2"/>
          <w:szCs w:val="2"/>
        </w:rPr>
        <w:sectPr w:rsidR="00BB7EDA">
          <w:type w:val="continuous"/>
          <w:pgSz w:w="7266" w:h="11422"/>
          <w:pgMar w:top="1269" w:right="832" w:bottom="1029" w:left="803" w:header="0" w:footer="3" w:gutter="0"/>
          <w:cols w:space="720"/>
          <w:noEndnote/>
          <w:docGrid w:linePitch="360"/>
        </w:sectPr>
      </w:pPr>
    </w:p>
    <w:p w:rsidR="00BB7EDA" w:rsidRDefault="007D72B3">
      <w:pPr>
        <w:pStyle w:val="Bodytext20"/>
        <w:shd w:val="clear" w:color="auto" w:fill="auto"/>
        <w:spacing w:before="0" w:line="180" w:lineRule="exact"/>
      </w:pPr>
      <w:r>
        <w:t>b) Präsens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6"/>
        <w:gridCol w:w="1080"/>
      </w:tblGrid>
      <w:tr w:rsidR="00BB7EDA">
        <w:tblPrEx>
          <w:tblCellMar>
            <w:top w:w="0" w:type="dxa"/>
            <w:bottom w:w="0" w:type="dxa"/>
          </w:tblCellMar>
        </w:tblPrEx>
        <w:trPr>
          <w:trHeight w:hRule="exact" w:val="504"/>
          <w:jc w:val="center"/>
        </w:trPr>
        <w:tc>
          <w:tcPr>
            <w:tcW w:w="2726" w:type="dxa"/>
            <w:shd w:val="clear" w:color="auto" w:fill="FFFFFF"/>
          </w:tcPr>
          <w:p w:rsidR="00BB7EDA" w:rsidRDefault="007D72B3">
            <w:pPr>
              <w:pStyle w:val="Bodytext20"/>
              <w:framePr w:w="3806" w:hSpace="610" w:wrap="notBeside" w:vAnchor="text" w:hAnchor="text" w:xAlign="center" w:y="1"/>
              <w:shd w:val="clear" w:color="auto" w:fill="auto"/>
              <w:spacing w:before="0" w:after="60" w:line="180" w:lineRule="exact"/>
              <w:jc w:val="left"/>
            </w:pPr>
            <w:r>
              <w:t>D-Stamm, Präsens</w:t>
            </w:r>
          </w:p>
          <w:p w:rsidR="00BB7EDA" w:rsidRDefault="007D72B3">
            <w:pPr>
              <w:pStyle w:val="Bodytext20"/>
              <w:framePr w:w="3806" w:hSpace="610" w:wrap="notBeside" w:vAnchor="text" w:hAnchor="text" w:xAlign="center" w:y="1"/>
              <w:shd w:val="clear" w:color="auto" w:fill="auto"/>
              <w:spacing w:before="60" w:line="180" w:lineRule="exact"/>
              <w:ind w:right="300"/>
              <w:jc w:val="right"/>
            </w:pPr>
            <w:r>
              <w:t>Singular</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74"/>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ind w:right="300"/>
              <w:jc w:val="right"/>
            </w:pPr>
            <w:r>
              <w:t>3. Pers. mask. u-parras</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u-parras-ü</w:t>
            </w:r>
          </w:p>
        </w:tc>
      </w:tr>
      <w:tr w:rsidR="00BB7EDA">
        <w:tblPrEx>
          <w:tblCellMar>
            <w:top w:w="0" w:type="dxa"/>
            <w:bottom w:w="0" w:type="dxa"/>
          </w:tblCellMar>
        </w:tblPrEx>
        <w:trPr>
          <w:trHeight w:hRule="exact" w:val="230"/>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ind w:right="300"/>
              <w:jc w:val="right"/>
            </w:pPr>
            <w:r>
              <w:t>3. Pers. fern. u-parras</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u-parras-ä</w:t>
            </w:r>
          </w:p>
        </w:tc>
      </w:tr>
      <w:tr w:rsidR="00BB7EDA">
        <w:tblPrEx>
          <w:tblCellMar>
            <w:top w:w="0" w:type="dxa"/>
            <w:bottom w:w="0" w:type="dxa"/>
          </w:tblCellMar>
        </w:tblPrEx>
        <w:trPr>
          <w:trHeight w:hRule="exact" w:val="230"/>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2. Pers. mask. tu-parras</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tu-parras-ä</w:t>
            </w:r>
          </w:p>
        </w:tc>
      </w:tr>
      <w:tr w:rsidR="00BB7EDA">
        <w:tblPrEx>
          <w:tblCellMar>
            <w:top w:w="0" w:type="dxa"/>
            <w:bottom w:w="0" w:type="dxa"/>
          </w:tblCellMar>
        </w:tblPrEx>
        <w:trPr>
          <w:trHeight w:hRule="exact" w:val="226"/>
          <w:jc w:val="center"/>
        </w:trPr>
        <w:tc>
          <w:tcPr>
            <w:tcW w:w="2726" w:type="dxa"/>
            <w:shd w:val="clear" w:color="auto" w:fill="FFFFFF"/>
            <w:vAlign w:val="bottom"/>
          </w:tcPr>
          <w:p w:rsidR="00BB7EDA" w:rsidRPr="007D72B3" w:rsidRDefault="007D72B3">
            <w:pPr>
              <w:pStyle w:val="Bodytext20"/>
              <w:framePr w:w="3806" w:hSpace="610" w:wrap="notBeside" w:vAnchor="text" w:hAnchor="text" w:xAlign="center" w:y="1"/>
              <w:shd w:val="clear" w:color="auto" w:fill="auto"/>
              <w:spacing w:before="0" w:line="180" w:lineRule="exact"/>
              <w:jc w:val="left"/>
              <w:rPr>
                <w:lang w:val="en-US"/>
              </w:rPr>
            </w:pPr>
            <w:r w:rsidRPr="007D72B3">
              <w:rPr>
                <w:lang w:val="en-US"/>
              </w:rPr>
              <w:t>2. Pers. fern. tu-parras-I</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tu-parras-ä</w:t>
            </w:r>
          </w:p>
        </w:tc>
      </w:tr>
      <w:tr w:rsidR="00BB7EDA">
        <w:tblPrEx>
          <w:tblCellMar>
            <w:top w:w="0" w:type="dxa"/>
            <w:bottom w:w="0" w:type="dxa"/>
          </w:tblCellMar>
        </w:tblPrEx>
        <w:trPr>
          <w:trHeight w:hRule="exact" w:val="288"/>
          <w:jc w:val="center"/>
        </w:trPr>
        <w:tc>
          <w:tcPr>
            <w:tcW w:w="2726" w:type="dxa"/>
            <w:shd w:val="clear" w:color="auto" w:fill="FFFFFF"/>
          </w:tcPr>
          <w:p w:rsidR="00BB7EDA" w:rsidRPr="007D72B3" w:rsidRDefault="007D72B3">
            <w:pPr>
              <w:pStyle w:val="Bodytext20"/>
              <w:framePr w:w="3806" w:hSpace="610" w:wrap="notBeside" w:vAnchor="text" w:hAnchor="text" w:xAlign="center" w:y="1"/>
              <w:shd w:val="clear" w:color="auto" w:fill="auto"/>
              <w:spacing w:before="0" w:line="180" w:lineRule="exact"/>
              <w:ind w:right="300"/>
              <w:jc w:val="right"/>
              <w:rPr>
                <w:lang w:val="en-US"/>
              </w:rPr>
            </w:pPr>
            <w:r w:rsidRPr="007D72B3">
              <w:rPr>
                <w:lang w:val="en-US"/>
              </w:rPr>
              <w:t>1. Pers. mask./fem. u-parras</w:t>
            </w:r>
          </w:p>
        </w:tc>
        <w:tc>
          <w:tcPr>
            <w:tcW w:w="1080" w:type="dxa"/>
            <w:shd w:val="clear" w:color="auto" w:fill="FFFFFF"/>
          </w:tcPr>
          <w:p w:rsidR="00BB7EDA" w:rsidRDefault="007D72B3">
            <w:pPr>
              <w:pStyle w:val="Bodytext20"/>
              <w:framePr w:w="3806" w:hSpace="610" w:wrap="notBeside" w:vAnchor="text" w:hAnchor="text" w:xAlign="center" w:y="1"/>
              <w:shd w:val="clear" w:color="auto" w:fill="auto"/>
              <w:spacing w:before="0" w:line="180" w:lineRule="exact"/>
              <w:jc w:val="left"/>
            </w:pPr>
            <w:r>
              <w:t>nu-parras</w:t>
            </w:r>
          </w:p>
        </w:tc>
      </w:tr>
      <w:tr w:rsidR="00BB7EDA">
        <w:tblPrEx>
          <w:tblCellMar>
            <w:top w:w="0" w:type="dxa"/>
            <w:bottom w:w="0" w:type="dxa"/>
          </w:tblCellMar>
        </w:tblPrEx>
        <w:trPr>
          <w:trHeight w:hRule="exact" w:val="802"/>
          <w:jc w:val="center"/>
        </w:trPr>
        <w:tc>
          <w:tcPr>
            <w:tcW w:w="2726" w:type="dxa"/>
            <w:shd w:val="clear" w:color="auto" w:fill="FFFFFF"/>
          </w:tcPr>
          <w:p w:rsidR="00BB7EDA" w:rsidRDefault="007D72B3">
            <w:pPr>
              <w:pStyle w:val="Bodytext20"/>
              <w:framePr w:w="3806" w:hSpace="610" w:wrap="notBeside" w:vAnchor="text" w:hAnchor="text" w:xAlign="center" w:y="1"/>
              <w:shd w:val="clear" w:color="auto" w:fill="auto"/>
              <w:spacing w:before="0"/>
              <w:jc w:val="left"/>
            </w:pPr>
            <w:r>
              <w:t>ekt</w:t>
            </w:r>
          </w:p>
          <w:p w:rsidR="00BB7EDA" w:rsidRDefault="007D72B3">
            <w:pPr>
              <w:pStyle w:val="Bodytext20"/>
              <w:framePr w:w="3806" w:hSpace="610" w:wrap="notBeside" w:vAnchor="text" w:hAnchor="text" w:xAlign="center" w:y="1"/>
              <w:shd w:val="clear" w:color="auto" w:fill="auto"/>
              <w:spacing w:before="0"/>
              <w:jc w:val="left"/>
            </w:pPr>
            <w:r>
              <w:t>D-Stamm, Perfekt</w:t>
            </w:r>
          </w:p>
          <w:p w:rsidR="00BB7EDA" w:rsidRDefault="007D72B3">
            <w:pPr>
              <w:pStyle w:val="Bodytext20"/>
              <w:framePr w:w="3806" w:hSpace="610" w:wrap="notBeside" w:vAnchor="text" w:hAnchor="text" w:xAlign="center" w:y="1"/>
              <w:shd w:val="clear" w:color="auto" w:fill="auto"/>
              <w:spacing w:before="0"/>
              <w:ind w:right="300"/>
              <w:jc w:val="right"/>
            </w:pPr>
            <w:r>
              <w:t>Singular</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69"/>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ind w:right="300"/>
              <w:jc w:val="right"/>
            </w:pPr>
            <w:r>
              <w:t>3. Pers. mask. u-ptarris</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u-ptarris-ü</w:t>
            </w:r>
          </w:p>
        </w:tc>
      </w:tr>
      <w:tr w:rsidR="00BB7EDA">
        <w:tblPrEx>
          <w:tblCellMar>
            <w:top w:w="0" w:type="dxa"/>
            <w:bottom w:w="0" w:type="dxa"/>
          </w:tblCellMar>
        </w:tblPrEx>
        <w:trPr>
          <w:trHeight w:hRule="exact" w:val="230"/>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ind w:right="300"/>
              <w:jc w:val="right"/>
            </w:pPr>
            <w:r>
              <w:t>3. Pers. fern. u-ptarris</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u-ptarris-ä</w:t>
            </w:r>
          </w:p>
        </w:tc>
      </w:tr>
      <w:tr w:rsidR="00BB7EDA">
        <w:tblPrEx>
          <w:tblCellMar>
            <w:top w:w="0" w:type="dxa"/>
            <w:bottom w:w="0" w:type="dxa"/>
          </w:tblCellMar>
        </w:tblPrEx>
        <w:trPr>
          <w:trHeight w:hRule="exact" w:val="230"/>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2. Pers. mask. tu-ptarris</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tu-ptarris-ä</w:t>
            </w:r>
          </w:p>
        </w:tc>
      </w:tr>
      <w:tr w:rsidR="00BB7EDA">
        <w:tblPrEx>
          <w:tblCellMar>
            <w:top w:w="0" w:type="dxa"/>
            <w:bottom w:w="0" w:type="dxa"/>
          </w:tblCellMar>
        </w:tblPrEx>
        <w:trPr>
          <w:trHeight w:hRule="exact" w:val="226"/>
          <w:jc w:val="center"/>
        </w:trPr>
        <w:tc>
          <w:tcPr>
            <w:tcW w:w="2726"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2. Pers. fern. tu-ptarris-T</w:t>
            </w:r>
          </w:p>
        </w:tc>
        <w:tc>
          <w:tcPr>
            <w:tcW w:w="1080" w:type="dxa"/>
            <w:shd w:val="clear" w:color="auto" w:fill="FFFFFF"/>
            <w:vAlign w:val="bottom"/>
          </w:tcPr>
          <w:p w:rsidR="00BB7EDA" w:rsidRDefault="007D72B3">
            <w:pPr>
              <w:pStyle w:val="Bodytext20"/>
              <w:framePr w:w="3806" w:hSpace="610" w:wrap="notBeside" w:vAnchor="text" w:hAnchor="text" w:xAlign="center" w:y="1"/>
              <w:shd w:val="clear" w:color="auto" w:fill="auto"/>
              <w:spacing w:before="0" w:line="180" w:lineRule="exact"/>
              <w:jc w:val="left"/>
            </w:pPr>
            <w:r>
              <w:t>tu-ptarris-ä</w:t>
            </w:r>
          </w:p>
        </w:tc>
      </w:tr>
      <w:tr w:rsidR="00BB7EDA">
        <w:tblPrEx>
          <w:tblCellMar>
            <w:top w:w="0" w:type="dxa"/>
            <w:bottom w:w="0" w:type="dxa"/>
          </w:tblCellMar>
        </w:tblPrEx>
        <w:trPr>
          <w:trHeight w:hRule="exact" w:val="245"/>
          <w:jc w:val="center"/>
        </w:trPr>
        <w:tc>
          <w:tcPr>
            <w:tcW w:w="2726" w:type="dxa"/>
            <w:shd w:val="clear" w:color="auto" w:fill="FFFFFF"/>
          </w:tcPr>
          <w:p w:rsidR="00BB7EDA" w:rsidRPr="007D72B3" w:rsidRDefault="007D72B3">
            <w:pPr>
              <w:pStyle w:val="Bodytext20"/>
              <w:framePr w:w="3806" w:hSpace="610" w:wrap="notBeside" w:vAnchor="text" w:hAnchor="text" w:xAlign="center" w:y="1"/>
              <w:shd w:val="clear" w:color="auto" w:fill="auto"/>
              <w:spacing w:before="0" w:line="180" w:lineRule="exact"/>
              <w:ind w:right="300"/>
              <w:jc w:val="right"/>
              <w:rPr>
                <w:lang w:val="en-US"/>
              </w:rPr>
            </w:pPr>
            <w:r w:rsidRPr="007D72B3">
              <w:rPr>
                <w:lang w:val="en-US"/>
              </w:rPr>
              <w:t>1. Pers. mask./fem. u-ptarris</w:t>
            </w:r>
          </w:p>
        </w:tc>
        <w:tc>
          <w:tcPr>
            <w:tcW w:w="1080" w:type="dxa"/>
            <w:shd w:val="clear" w:color="auto" w:fill="FFFFFF"/>
          </w:tcPr>
          <w:p w:rsidR="00BB7EDA" w:rsidRDefault="007D72B3">
            <w:pPr>
              <w:pStyle w:val="Bodytext20"/>
              <w:framePr w:w="3806" w:hSpace="610" w:wrap="notBeside" w:vAnchor="text" w:hAnchor="text" w:xAlign="center" w:y="1"/>
              <w:shd w:val="clear" w:color="auto" w:fill="auto"/>
              <w:spacing w:before="0" w:line="180" w:lineRule="exact"/>
              <w:jc w:val="left"/>
            </w:pPr>
            <w:r>
              <w:t>nu-ptarris</w:t>
            </w:r>
          </w:p>
        </w:tc>
      </w:tr>
    </w:tbl>
    <w:p w:rsidR="00BB7EDA" w:rsidRDefault="00BB7EDA">
      <w:pPr>
        <w:framePr w:w="3806" w:hSpace="610" w:wrap="notBeside" w:vAnchor="text" w:hAnchor="text" w:xAlign="center" w:y="1"/>
        <w:rPr>
          <w:sz w:val="2"/>
          <w:szCs w:val="2"/>
        </w:rPr>
      </w:pPr>
    </w:p>
    <w:p w:rsidR="00BB7EDA" w:rsidRDefault="00BB7EDA">
      <w:pPr>
        <w:rPr>
          <w:sz w:val="2"/>
          <w:szCs w:val="2"/>
        </w:rPr>
      </w:pPr>
    </w:p>
    <w:p w:rsidR="00BB7EDA" w:rsidRDefault="007D72B3">
      <w:pPr>
        <w:pStyle w:val="Bodytext20"/>
        <w:shd w:val="clear" w:color="auto" w:fill="auto"/>
        <w:spacing w:before="70" w:after="120"/>
        <w:ind w:firstLine="360"/>
      </w:pPr>
      <w:r>
        <w:t xml:space="preserve">Es </w:t>
      </w:r>
      <w:r>
        <w:t>folgen die Formen des Kausativ-Stammes, den man wegen des vorne angefügten Scfi-Lautes S</w:t>
      </w:r>
      <w:r>
        <w:rPr>
          <w:rStyle w:val="Bodytext2Italic0"/>
        </w:rPr>
        <w:t>-Stamm</w:t>
      </w:r>
      <w:r>
        <w:t xml:space="preserve"> nennt. Mit diesem Verbal- Stamm wird das Veranlassen des durch den G-Stamm ausgedrück</w:t>
      </w:r>
      <w:r>
        <w:softHyphen/>
        <w:t>ten Vorgangs zum Ausdruck gebracht.</w:t>
      </w:r>
    </w:p>
    <w:p w:rsidR="00BB7EDA" w:rsidRDefault="007D72B3">
      <w:pPr>
        <w:pStyle w:val="Bodytext100"/>
        <w:shd w:val="clear" w:color="auto" w:fill="auto"/>
        <w:spacing w:before="0" w:line="230" w:lineRule="exact"/>
        <w:ind w:firstLine="0"/>
      </w:pPr>
      <w:r>
        <w:t>6.2.4A Der S-Stamm</w:t>
      </w:r>
    </w:p>
    <w:p w:rsidR="00BB7EDA" w:rsidRDefault="007D72B3">
      <w:pPr>
        <w:pStyle w:val="Bodytext20"/>
        <w:numPr>
          <w:ilvl w:val="0"/>
          <w:numId w:val="147"/>
        </w:numPr>
        <w:shd w:val="clear" w:color="auto" w:fill="auto"/>
        <w:tabs>
          <w:tab w:val="left" w:pos="304"/>
        </w:tabs>
        <w:spacing w:before="0"/>
      </w:pPr>
      <w:r>
        <w:t>Präteritum</w:t>
      </w:r>
    </w:p>
    <w:p w:rsidR="00BB7EDA" w:rsidRDefault="007D72B3">
      <w:pPr>
        <w:pStyle w:val="Tablecaption0"/>
        <w:framePr w:w="3782" w:hSpace="600" w:wrap="notBeside" w:vAnchor="text" w:hAnchor="text" w:xAlign="center" w:y="1"/>
        <w:shd w:val="clear" w:color="auto" w:fill="auto"/>
        <w:spacing w:line="230" w:lineRule="exact"/>
      </w:pPr>
      <w:r>
        <w:t xml:space="preserve">S-Stamm, </w:t>
      </w:r>
      <w:r>
        <w:t>Präteritum</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1051"/>
        <w:gridCol w:w="1070"/>
      </w:tblGrid>
      <w:tr w:rsidR="00BB7EDA">
        <w:tblPrEx>
          <w:tblCellMar>
            <w:top w:w="0" w:type="dxa"/>
            <w:bottom w:w="0" w:type="dxa"/>
          </w:tblCellMar>
        </w:tblPrEx>
        <w:trPr>
          <w:trHeight w:hRule="exact" w:val="274"/>
          <w:jc w:val="center"/>
        </w:trPr>
        <w:tc>
          <w:tcPr>
            <w:tcW w:w="1661" w:type="dxa"/>
            <w:shd w:val="clear" w:color="auto" w:fill="FFFFFF"/>
          </w:tcPr>
          <w:p w:rsidR="00BB7EDA" w:rsidRDefault="00BB7EDA">
            <w:pPr>
              <w:framePr w:w="3782" w:hSpace="600" w:wrap="notBeside" w:vAnchor="text" w:hAnchor="text" w:xAlign="center" w:y="1"/>
              <w:rPr>
                <w:sz w:val="10"/>
                <w:szCs w:val="10"/>
              </w:rPr>
            </w:pP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Singular</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Plural</w:t>
            </w:r>
          </w:p>
        </w:tc>
      </w:tr>
      <w:tr w:rsidR="00BB7EDA">
        <w:tblPrEx>
          <w:tblCellMar>
            <w:top w:w="0" w:type="dxa"/>
            <w:bottom w:w="0" w:type="dxa"/>
          </w:tblCellMar>
        </w:tblPrEx>
        <w:trPr>
          <w:trHeight w:hRule="exact" w:val="278"/>
          <w:jc w:val="center"/>
        </w:trPr>
        <w:tc>
          <w:tcPr>
            <w:tcW w:w="166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3. Pers. mask.</w:t>
            </w:r>
          </w:p>
        </w:tc>
        <w:tc>
          <w:tcPr>
            <w:tcW w:w="105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u-sapris</w:t>
            </w:r>
          </w:p>
        </w:tc>
        <w:tc>
          <w:tcPr>
            <w:tcW w:w="1070"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ind w:left="140"/>
              <w:jc w:val="left"/>
            </w:pPr>
            <w:r>
              <w:t>u-saprisü</w:t>
            </w:r>
          </w:p>
        </w:tc>
      </w:tr>
      <w:tr w:rsidR="00BB7EDA">
        <w:tblPrEx>
          <w:tblCellMar>
            <w:top w:w="0" w:type="dxa"/>
            <w:bottom w:w="0" w:type="dxa"/>
          </w:tblCellMar>
        </w:tblPrEx>
        <w:trPr>
          <w:trHeight w:hRule="exact" w:val="230"/>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3. Pers. fern.</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u-sapris</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u-saprisa</w:t>
            </w:r>
          </w:p>
        </w:tc>
      </w:tr>
      <w:tr w:rsidR="00BB7EDA">
        <w:tblPrEx>
          <w:tblCellMar>
            <w:top w:w="0" w:type="dxa"/>
            <w:bottom w:w="0" w:type="dxa"/>
          </w:tblCellMar>
        </w:tblPrEx>
        <w:trPr>
          <w:trHeight w:hRule="exact" w:val="226"/>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2. Pers. mask.</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tu-sapris</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tu-sapris-a</w:t>
            </w:r>
          </w:p>
        </w:tc>
      </w:tr>
      <w:tr w:rsidR="00BB7EDA">
        <w:tblPrEx>
          <w:tblCellMar>
            <w:top w:w="0" w:type="dxa"/>
            <w:bottom w:w="0" w:type="dxa"/>
          </w:tblCellMar>
        </w:tblPrEx>
        <w:trPr>
          <w:trHeight w:hRule="exact" w:val="226"/>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2. Pers. fern.</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tu-sapris-i</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tu-sapris-a</w:t>
            </w:r>
          </w:p>
        </w:tc>
      </w:tr>
      <w:tr w:rsidR="00BB7EDA">
        <w:tblPrEx>
          <w:tblCellMar>
            <w:top w:w="0" w:type="dxa"/>
            <w:bottom w:w="0" w:type="dxa"/>
          </w:tblCellMar>
        </w:tblPrEx>
        <w:trPr>
          <w:trHeight w:hRule="exact" w:val="331"/>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1. Pers. mask./fem.</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u-sapris</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nu-sapris</w:t>
            </w:r>
          </w:p>
        </w:tc>
      </w:tr>
      <w:tr w:rsidR="00BB7EDA">
        <w:tblPrEx>
          <w:tblCellMar>
            <w:top w:w="0" w:type="dxa"/>
            <w:bottom w:w="0" w:type="dxa"/>
          </w:tblCellMar>
        </w:tblPrEx>
        <w:trPr>
          <w:trHeight w:hRule="exact" w:val="264"/>
          <w:jc w:val="center"/>
        </w:trPr>
        <w:tc>
          <w:tcPr>
            <w:tcW w:w="166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;ens</w:t>
            </w:r>
          </w:p>
        </w:tc>
        <w:tc>
          <w:tcPr>
            <w:tcW w:w="1051" w:type="dxa"/>
            <w:shd w:val="clear" w:color="auto" w:fill="FFFFFF"/>
          </w:tcPr>
          <w:p w:rsidR="00BB7EDA" w:rsidRDefault="00BB7EDA">
            <w:pPr>
              <w:framePr w:w="3782" w:hSpace="600" w:wrap="notBeside" w:vAnchor="text" w:hAnchor="text" w:xAlign="center" w:y="1"/>
              <w:rPr>
                <w:sz w:val="10"/>
                <w:szCs w:val="10"/>
              </w:rPr>
            </w:pPr>
          </w:p>
        </w:tc>
        <w:tc>
          <w:tcPr>
            <w:tcW w:w="1070" w:type="dxa"/>
            <w:shd w:val="clear" w:color="auto" w:fill="FFFFFF"/>
          </w:tcPr>
          <w:p w:rsidR="00BB7EDA" w:rsidRDefault="00BB7EDA">
            <w:pPr>
              <w:framePr w:w="3782" w:hSpace="600" w:wrap="notBeside" w:vAnchor="text" w:hAnchor="text" w:xAlign="center" w:y="1"/>
              <w:rPr>
                <w:sz w:val="10"/>
                <w:szCs w:val="10"/>
              </w:rPr>
            </w:pPr>
          </w:p>
        </w:tc>
      </w:tr>
      <w:tr w:rsidR="00BB7EDA">
        <w:tblPrEx>
          <w:tblCellMar>
            <w:top w:w="0" w:type="dxa"/>
            <w:bottom w:w="0" w:type="dxa"/>
          </w:tblCellMar>
        </w:tblPrEx>
        <w:trPr>
          <w:trHeight w:hRule="exact" w:val="518"/>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S-Stamm, Präsens</w:t>
            </w:r>
          </w:p>
        </w:tc>
        <w:tc>
          <w:tcPr>
            <w:tcW w:w="105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Singular</w:t>
            </w:r>
          </w:p>
        </w:tc>
        <w:tc>
          <w:tcPr>
            <w:tcW w:w="1070"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ind w:left="140"/>
              <w:jc w:val="left"/>
            </w:pPr>
            <w:r>
              <w:t>Plural</w:t>
            </w:r>
          </w:p>
        </w:tc>
      </w:tr>
      <w:tr w:rsidR="00BB7EDA">
        <w:tblPrEx>
          <w:tblCellMar>
            <w:top w:w="0" w:type="dxa"/>
            <w:bottom w:w="0" w:type="dxa"/>
          </w:tblCellMar>
        </w:tblPrEx>
        <w:trPr>
          <w:trHeight w:hRule="exact" w:val="264"/>
          <w:jc w:val="center"/>
        </w:trPr>
        <w:tc>
          <w:tcPr>
            <w:tcW w:w="166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3. Pers. mask.</w:t>
            </w:r>
          </w:p>
        </w:tc>
        <w:tc>
          <w:tcPr>
            <w:tcW w:w="105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u-sapras</w:t>
            </w:r>
          </w:p>
        </w:tc>
        <w:tc>
          <w:tcPr>
            <w:tcW w:w="1070"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ind w:left="140"/>
              <w:jc w:val="left"/>
            </w:pPr>
            <w:r>
              <w:t>u-sapras-ü</w:t>
            </w:r>
          </w:p>
        </w:tc>
      </w:tr>
      <w:tr w:rsidR="00BB7EDA">
        <w:tblPrEx>
          <w:tblCellMar>
            <w:top w:w="0" w:type="dxa"/>
            <w:bottom w:w="0" w:type="dxa"/>
          </w:tblCellMar>
        </w:tblPrEx>
        <w:trPr>
          <w:trHeight w:hRule="exact" w:val="230"/>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3. Pers. fern.</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u-sapras</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u-sapras-ä</w:t>
            </w:r>
          </w:p>
        </w:tc>
      </w:tr>
      <w:tr w:rsidR="00BB7EDA">
        <w:tblPrEx>
          <w:tblCellMar>
            <w:top w:w="0" w:type="dxa"/>
            <w:bottom w:w="0" w:type="dxa"/>
          </w:tblCellMar>
        </w:tblPrEx>
        <w:trPr>
          <w:trHeight w:hRule="exact" w:val="226"/>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2. Pers. mask.</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tu-sapras</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tu-sapras-ä</w:t>
            </w:r>
          </w:p>
        </w:tc>
      </w:tr>
      <w:tr w:rsidR="00BB7EDA">
        <w:tblPrEx>
          <w:tblCellMar>
            <w:top w:w="0" w:type="dxa"/>
            <w:bottom w:w="0" w:type="dxa"/>
          </w:tblCellMar>
        </w:tblPrEx>
        <w:trPr>
          <w:trHeight w:hRule="exact" w:val="226"/>
          <w:jc w:val="center"/>
        </w:trPr>
        <w:tc>
          <w:tcPr>
            <w:tcW w:w="166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2. Pers. fern.</w:t>
            </w:r>
          </w:p>
        </w:tc>
        <w:tc>
          <w:tcPr>
            <w:tcW w:w="1051"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jc w:val="left"/>
            </w:pPr>
            <w:r>
              <w:t>tu-sapras-i</w:t>
            </w:r>
          </w:p>
        </w:tc>
        <w:tc>
          <w:tcPr>
            <w:tcW w:w="1070" w:type="dxa"/>
            <w:shd w:val="clear" w:color="auto" w:fill="FFFFFF"/>
          </w:tcPr>
          <w:p w:rsidR="00BB7EDA" w:rsidRDefault="007D72B3">
            <w:pPr>
              <w:pStyle w:val="Bodytext20"/>
              <w:framePr w:w="3782" w:hSpace="600" w:wrap="notBeside" w:vAnchor="text" w:hAnchor="text" w:xAlign="center" w:y="1"/>
              <w:shd w:val="clear" w:color="auto" w:fill="auto"/>
              <w:spacing w:before="0" w:line="180" w:lineRule="exact"/>
              <w:ind w:left="140"/>
              <w:jc w:val="left"/>
            </w:pPr>
            <w:r>
              <w:t>tu-sapras-ä</w:t>
            </w:r>
          </w:p>
        </w:tc>
      </w:tr>
      <w:tr w:rsidR="00BB7EDA">
        <w:tblPrEx>
          <w:tblCellMar>
            <w:top w:w="0" w:type="dxa"/>
            <w:bottom w:w="0" w:type="dxa"/>
          </w:tblCellMar>
        </w:tblPrEx>
        <w:trPr>
          <w:trHeight w:hRule="exact" w:val="240"/>
          <w:jc w:val="center"/>
        </w:trPr>
        <w:tc>
          <w:tcPr>
            <w:tcW w:w="166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1. Pers. mask./fem.</w:t>
            </w:r>
          </w:p>
        </w:tc>
        <w:tc>
          <w:tcPr>
            <w:tcW w:w="1051"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jc w:val="left"/>
            </w:pPr>
            <w:r>
              <w:t>u-sapras</w:t>
            </w:r>
          </w:p>
        </w:tc>
        <w:tc>
          <w:tcPr>
            <w:tcW w:w="1070" w:type="dxa"/>
            <w:shd w:val="clear" w:color="auto" w:fill="FFFFFF"/>
            <w:vAlign w:val="bottom"/>
          </w:tcPr>
          <w:p w:rsidR="00BB7EDA" w:rsidRDefault="007D72B3">
            <w:pPr>
              <w:pStyle w:val="Bodytext20"/>
              <w:framePr w:w="3782" w:hSpace="600" w:wrap="notBeside" w:vAnchor="text" w:hAnchor="text" w:xAlign="center" w:y="1"/>
              <w:shd w:val="clear" w:color="auto" w:fill="auto"/>
              <w:spacing w:before="0" w:line="180" w:lineRule="exact"/>
              <w:ind w:left="140"/>
              <w:jc w:val="left"/>
            </w:pPr>
            <w:r>
              <w:t>nu-sapras</w:t>
            </w:r>
          </w:p>
        </w:tc>
      </w:tr>
    </w:tbl>
    <w:p w:rsidR="00BB7EDA" w:rsidRDefault="00BB7EDA">
      <w:pPr>
        <w:framePr w:w="3782" w:hSpace="600" w:wrap="notBeside" w:vAnchor="text" w:hAnchor="text" w:xAlign="center" w:y="1"/>
        <w:rPr>
          <w:sz w:val="2"/>
          <w:szCs w:val="2"/>
        </w:rPr>
      </w:pPr>
    </w:p>
    <w:p w:rsidR="00BB7EDA" w:rsidRDefault="007D72B3">
      <w:pPr>
        <w:rPr>
          <w:sz w:val="2"/>
          <w:szCs w:val="2"/>
        </w:rPr>
      </w:pPr>
      <w:r>
        <w:br w:type="page"/>
      </w:r>
    </w:p>
    <w:p w:rsidR="00BB7EDA" w:rsidRDefault="007D72B3">
      <w:pPr>
        <w:pStyle w:val="Bodytext20"/>
        <w:shd w:val="clear" w:color="auto" w:fill="auto"/>
        <w:spacing w:before="0"/>
        <w:ind w:firstLine="320"/>
      </w:pPr>
      <w:r>
        <w:pict>
          <v:shape id="_x0000_s1131" type="#_x0000_t202" style="position:absolute;left:0;text-align:left;margin-left:-1.15pt;margin-top:-108.25pt;width:110.4pt;height:95.9pt;z-index:-125829356;mso-wrap-distance-left:5pt;mso-wrap-distance-right:171.35pt;mso-wrap-distance-bottom:.35pt;mso-position-horizontal-relative:margin" filled="f" stroked="f">
            <v:textbox style="mso-fit-shape-to-text:t" inset="0,0,0,0">
              <w:txbxContent>
                <w:p w:rsidR="00BB7EDA" w:rsidRDefault="007D72B3">
                  <w:pPr>
                    <w:pStyle w:val="Bodytext20"/>
                    <w:numPr>
                      <w:ilvl w:val="0"/>
                      <w:numId w:val="144"/>
                    </w:numPr>
                    <w:shd w:val="clear" w:color="auto" w:fill="auto"/>
                    <w:tabs>
                      <w:tab w:val="left" w:pos="192"/>
                    </w:tabs>
                    <w:spacing w:before="0" w:line="180" w:lineRule="exact"/>
                  </w:pPr>
                  <w:r>
                    <w:rPr>
                      <w:rStyle w:val="Bodytext2Exact"/>
                    </w:rPr>
                    <w:t>Perfekt</w:t>
                  </w:r>
                </w:p>
                <w:p w:rsidR="00BB7EDA" w:rsidRDefault="007D72B3">
                  <w:pPr>
                    <w:pStyle w:val="Bodytext23"/>
                    <w:shd w:val="clear" w:color="auto" w:fill="auto"/>
                    <w:spacing w:after="274" w:line="180" w:lineRule="exact"/>
                    <w:ind w:left="600"/>
                  </w:pPr>
                  <w:r>
                    <w:t>5-Stamm, Perfekt</w:t>
                  </w:r>
                </w:p>
                <w:p w:rsidR="00BB7EDA" w:rsidRDefault="007D72B3">
                  <w:pPr>
                    <w:pStyle w:val="Bodytext20"/>
                    <w:numPr>
                      <w:ilvl w:val="0"/>
                      <w:numId w:val="145"/>
                    </w:numPr>
                    <w:shd w:val="clear" w:color="auto" w:fill="auto"/>
                    <w:tabs>
                      <w:tab w:val="left" w:pos="787"/>
                    </w:tabs>
                    <w:spacing w:before="0"/>
                    <w:ind w:left="600"/>
                  </w:pPr>
                  <w:r>
                    <w:rPr>
                      <w:rStyle w:val="Bodytext2Exact"/>
                    </w:rPr>
                    <w:t>Pers. mask.</w:t>
                  </w:r>
                </w:p>
                <w:p w:rsidR="00BB7EDA" w:rsidRDefault="007D72B3">
                  <w:pPr>
                    <w:pStyle w:val="Bodytext20"/>
                    <w:numPr>
                      <w:ilvl w:val="0"/>
                      <w:numId w:val="146"/>
                    </w:numPr>
                    <w:shd w:val="clear" w:color="auto" w:fill="auto"/>
                    <w:tabs>
                      <w:tab w:val="left" w:pos="787"/>
                    </w:tabs>
                    <w:spacing w:before="0"/>
                    <w:ind w:left="600"/>
                  </w:pPr>
                  <w:r>
                    <w:rPr>
                      <w:rStyle w:val="Bodytext2Exact"/>
                    </w:rPr>
                    <w:t>Pers. fem.</w:t>
                  </w:r>
                </w:p>
                <w:p w:rsidR="00BB7EDA" w:rsidRDefault="007D72B3">
                  <w:pPr>
                    <w:pStyle w:val="Bodytext20"/>
                    <w:shd w:val="clear" w:color="auto" w:fill="auto"/>
                    <w:spacing w:before="0"/>
                    <w:ind w:left="600"/>
                  </w:pPr>
                  <w:r>
                    <w:rPr>
                      <w:rStyle w:val="Bodytext2Exact"/>
                    </w:rPr>
                    <w:t xml:space="preserve">2. </w:t>
                  </w:r>
                  <w:r>
                    <w:rPr>
                      <w:rStyle w:val="Bodytext2Exact"/>
                    </w:rPr>
                    <w:t>Pers. mask.</w:t>
                  </w:r>
                </w:p>
                <w:p w:rsidR="00BB7EDA" w:rsidRDefault="007D72B3">
                  <w:pPr>
                    <w:pStyle w:val="Bodytext20"/>
                    <w:shd w:val="clear" w:color="auto" w:fill="auto"/>
                    <w:spacing w:before="0"/>
                    <w:ind w:left="600"/>
                  </w:pPr>
                  <w:r>
                    <w:rPr>
                      <w:rStyle w:val="Bodytext2Exact"/>
                    </w:rPr>
                    <w:t>2. Pers. fem.</w:t>
                  </w:r>
                </w:p>
                <w:p w:rsidR="00BB7EDA" w:rsidRDefault="007D72B3">
                  <w:pPr>
                    <w:pStyle w:val="Bodytext20"/>
                    <w:shd w:val="clear" w:color="auto" w:fill="auto"/>
                    <w:spacing w:before="0"/>
                    <w:ind w:left="600"/>
                  </w:pPr>
                  <w:r>
                    <w:rPr>
                      <w:rStyle w:val="Bodytext2Exact"/>
                    </w:rPr>
                    <w:t>1. Pers. mask. /fem.</w:t>
                  </w:r>
                </w:p>
              </w:txbxContent>
            </v:textbox>
            <w10:wrap type="topAndBottom" anchorx="margin"/>
          </v:shape>
        </w:pict>
      </w:r>
      <w:r>
        <w:pict>
          <v:shape id="_x0000_s1132" type="#_x0000_t202" style="position:absolute;left:0;text-align:left;margin-left:111.65pt;margin-top:-84.95pt;width:105.35pt;height:.05pt;z-index:-125829355;mso-wrap-distance-left:112.8pt;mso-wrap-distance-top:22.8pt;mso-wrap-distance-right:63.6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27"/>
                    <w:gridCol w:w="1080"/>
                  </w:tblGrid>
                  <w:tr w:rsidR="00BB7EDA">
                    <w:tblPrEx>
                      <w:tblCellMar>
                        <w:top w:w="0" w:type="dxa"/>
                        <w:bottom w:w="0" w:type="dxa"/>
                      </w:tblCellMar>
                    </w:tblPrEx>
                    <w:trPr>
                      <w:trHeight w:hRule="exact" w:val="274"/>
                      <w:jc w:val="center"/>
                    </w:trPr>
                    <w:tc>
                      <w:tcPr>
                        <w:tcW w:w="1027" w:type="dxa"/>
                        <w:shd w:val="clear" w:color="auto" w:fill="FFFFFF"/>
                      </w:tcPr>
                      <w:p w:rsidR="00BB7EDA" w:rsidRDefault="007D72B3">
                        <w:pPr>
                          <w:pStyle w:val="Bodytext20"/>
                          <w:shd w:val="clear" w:color="auto" w:fill="auto"/>
                          <w:spacing w:before="0" w:line="180" w:lineRule="exact"/>
                          <w:jc w:val="left"/>
                        </w:pPr>
                        <w:r>
                          <w:t>Singular</w:t>
                        </w:r>
                      </w:p>
                    </w:tc>
                    <w:tc>
                      <w:tcPr>
                        <w:tcW w:w="1080" w:type="dxa"/>
                        <w:shd w:val="clear" w:color="auto" w:fill="FFFFFF"/>
                      </w:tcPr>
                      <w:p w:rsidR="00BB7EDA" w:rsidRDefault="007D72B3">
                        <w:pPr>
                          <w:pStyle w:val="Bodytext20"/>
                          <w:shd w:val="clear" w:color="auto" w:fill="auto"/>
                          <w:spacing w:before="0" w:line="180" w:lineRule="exact"/>
                          <w:jc w:val="left"/>
                        </w:pPr>
                        <w:r>
                          <w:t>Plural</w:t>
                        </w:r>
                      </w:p>
                    </w:tc>
                  </w:tr>
                  <w:tr w:rsidR="00BB7EDA">
                    <w:tblPrEx>
                      <w:tblCellMar>
                        <w:top w:w="0" w:type="dxa"/>
                        <w:bottom w:w="0" w:type="dxa"/>
                      </w:tblCellMar>
                    </w:tblPrEx>
                    <w:trPr>
                      <w:trHeight w:hRule="exact" w:val="259"/>
                      <w:jc w:val="center"/>
                    </w:trPr>
                    <w:tc>
                      <w:tcPr>
                        <w:tcW w:w="1027" w:type="dxa"/>
                        <w:shd w:val="clear" w:color="auto" w:fill="FFFFFF"/>
                        <w:vAlign w:val="bottom"/>
                      </w:tcPr>
                      <w:p w:rsidR="00BB7EDA" w:rsidRDefault="007D72B3">
                        <w:pPr>
                          <w:pStyle w:val="Bodytext20"/>
                          <w:shd w:val="clear" w:color="auto" w:fill="auto"/>
                          <w:spacing w:before="0" w:line="180" w:lineRule="exact"/>
                          <w:jc w:val="left"/>
                        </w:pPr>
                        <w:r>
                          <w:t>u-stapris</w:t>
                        </w:r>
                      </w:p>
                    </w:tc>
                    <w:tc>
                      <w:tcPr>
                        <w:tcW w:w="1080" w:type="dxa"/>
                        <w:shd w:val="clear" w:color="auto" w:fill="FFFFFF"/>
                        <w:vAlign w:val="bottom"/>
                      </w:tcPr>
                      <w:p w:rsidR="00BB7EDA" w:rsidRDefault="007D72B3">
                        <w:pPr>
                          <w:pStyle w:val="Bodytext20"/>
                          <w:shd w:val="clear" w:color="auto" w:fill="auto"/>
                          <w:spacing w:before="0" w:line="180" w:lineRule="exact"/>
                          <w:jc w:val="left"/>
                        </w:pPr>
                        <w:r>
                          <w:t>u-stapris-ü</w:t>
                        </w:r>
                      </w:p>
                    </w:tc>
                  </w:tr>
                  <w:tr w:rsidR="00BB7EDA">
                    <w:tblPrEx>
                      <w:tblCellMar>
                        <w:top w:w="0" w:type="dxa"/>
                        <w:bottom w:w="0" w:type="dxa"/>
                      </w:tblCellMar>
                    </w:tblPrEx>
                    <w:trPr>
                      <w:trHeight w:hRule="exact" w:val="230"/>
                      <w:jc w:val="center"/>
                    </w:trPr>
                    <w:tc>
                      <w:tcPr>
                        <w:tcW w:w="1027" w:type="dxa"/>
                        <w:shd w:val="clear" w:color="auto" w:fill="FFFFFF"/>
                      </w:tcPr>
                      <w:p w:rsidR="00BB7EDA" w:rsidRDefault="007D72B3">
                        <w:pPr>
                          <w:pStyle w:val="Bodytext20"/>
                          <w:shd w:val="clear" w:color="auto" w:fill="auto"/>
                          <w:spacing w:before="0" w:line="180" w:lineRule="exact"/>
                          <w:jc w:val="left"/>
                        </w:pPr>
                        <w:r>
                          <w:t>u-stapris</w:t>
                        </w:r>
                      </w:p>
                    </w:tc>
                    <w:tc>
                      <w:tcPr>
                        <w:tcW w:w="1080" w:type="dxa"/>
                        <w:shd w:val="clear" w:color="auto" w:fill="FFFFFF"/>
                      </w:tcPr>
                      <w:p w:rsidR="00BB7EDA" w:rsidRDefault="007D72B3">
                        <w:pPr>
                          <w:pStyle w:val="Bodytext20"/>
                          <w:shd w:val="clear" w:color="auto" w:fill="auto"/>
                          <w:spacing w:before="0" w:line="180" w:lineRule="exact"/>
                          <w:jc w:val="left"/>
                        </w:pPr>
                        <w:r>
                          <w:t>u-stapris-ä</w:t>
                        </w:r>
                      </w:p>
                    </w:tc>
                  </w:tr>
                  <w:tr w:rsidR="00BB7EDA">
                    <w:tblPrEx>
                      <w:tblCellMar>
                        <w:top w:w="0" w:type="dxa"/>
                        <w:bottom w:w="0" w:type="dxa"/>
                      </w:tblCellMar>
                    </w:tblPrEx>
                    <w:trPr>
                      <w:trHeight w:hRule="exact" w:val="230"/>
                      <w:jc w:val="center"/>
                    </w:trPr>
                    <w:tc>
                      <w:tcPr>
                        <w:tcW w:w="1027" w:type="dxa"/>
                        <w:shd w:val="clear" w:color="auto" w:fill="FFFFFF"/>
                        <w:vAlign w:val="bottom"/>
                      </w:tcPr>
                      <w:p w:rsidR="00BB7EDA" w:rsidRDefault="007D72B3">
                        <w:pPr>
                          <w:pStyle w:val="Bodytext20"/>
                          <w:shd w:val="clear" w:color="auto" w:fill="auto"/>
                          <w:spacing w:before="0" w:line="180" w:lineRule="exact"/>
                          <w:jc w:val="left"/>
                        </w:pPr>
                        <w:r>
                          <w:t>tu-stapris</w:t>
                        </w:r>
                      </w:p>
                    </w:tc>
                    <w:tc>
                      <w:tcPr>
                        <w:tcW w:w="1080" w:type="dxa"/>
                        <w:shd w:val="clear" w:color="auto" w:fill="FFFFFF"/>
                        <w:vAlign w:val="bottom"/>
                      </w:tcPr>
                      <w:p w:rsidR="00BB7EDA" w:rsidRDefault="007D72B3">
                        <w:pPr>
                          <w:pStyle w:val="Bodytext20"/>
                          <w:shd w:val="clear" w:color="auto" w:fill="auto"/>
                          <w:spacing w:before="0" w:line="180" w:lineRule="exact"/>
                          <w:jc w:val="left"/>
                        </w:pPr>
                        <w:r>
                          <w:t>tu-stapris-ä</w:t>
                        </w:r>
                      </w:p>
                    </w:tc>
                  </w:tr>
                  <w:tr w:rsidR="00BB7EDA">
                    <w:tblPrEx>
                      <w:tblCellMar>
                        <w:top w:w="0" w:type="dxa"/>
                        <w:bottom w:w="0" w:type="dxa"/>
                      </w:tblCellMar>
                    </w:tblPrEx>
                    <w:trPr>
                      <w:trHeight w:hRule="exact" w:val="235"/>
                      <w:jc w:val="center"/>
                    </w:trPr>
                    <w:tc>
                      <w:tcPr>
                        <w:tcW w:w="1027" w:type="dxa"/>
                        <w:shd w:val="clear" w:color="auto" w:fill="FFFFFF"/>
                      </w:tcPr>
                      <w:p w:rsidR="00BB7EDA" w:rsidRDefault="007D72B3">
                        <w:pPr>
                          <w:pStyle w:val="Bodytext20"/>
                          <w:shd w:val="clear" w:color="auto" w:fill="auto"/>
                          <w:spacing w:before="0" w:line="180" w:lineRule="exact"/>
                          <w:jc w:val="left"/>
                        </w:pPr>
                        <w:r>
                          <w:t>tu-stapris-I</w:t>
                        </w:r>
                      </w:p>
                    </w:tc>
                    <w:tc>
                      <w:tcPr>
                        <w:tcW w:w="1080" w:type="dxa"/>
                        <w:shd w:val="clear" w:color="auto" w:fill="FFFFFF"/>
                      </w:tcPr>
                      <w:p w:rsidR="00BB7EDA" w:rsidRDefault="007D72B3">
                        <w:pPr>
                          <w:pStyle w:val="Bodytext20"/>
                          <w:shd w:val="clear" w:color="auto" w:fill="auto"/>
                          <w:spacing w:before="0" w:line="180" w:lineRule="exact"/>
                          <w:jc w:val="left"/>
                        </w:pPr>
                        <w:r>
                          <w:t>tu-staprisä</w:t>
                        </w:r>
                      </w:p>
                    </w:tc>
                  </w:tr>
                  <w:tr w:rsidR="00BB7EDA">
                    <w:tblPrEx>
                      <w:tblCellMar>
                        <w:top w:w="0" w:type="dxa"/>
                        <w:bottom w:w="0" w:type="dxa"/>
                      </w:tblCellMar>
                    </w:tblPrEx>
                    <w:trPr>
                      <w:trHeight w:hRule="exact" w:val="230"/>
                      <w:jc w:val="center"/>
                    </w:trPr>
                    <w:tc>
                      <w:tcPr>
                        <w:tcW w:w="1027" w:type="dxa"/>
                        <w:shd w:val="clear" w:color="auto" w:fill="FFFFFF"/>
                      </w:tcPr>
                      <w:p w:rsidR="00BB7EDA" w:rsidRDefault="007D72B3">
                        <w:pPr>
                          <w:pStyle w:val="Bodytext20"/>
                          <w:shd w:val="clear" w:color="auto" w:fill="auto"/>
                          <w:spacing w:before="0" w:line="180" w:lineRule="exact"/>
                          <w:jc w:val="left"/>
                        </w:pPr>
                        <w:r>
                          <w:t>u-stapris</w:t>
                        </w:r>
                      </w:p>
                    </w:tc>
                    <w:tc>
                      <w:tcPr>
                        <w:tcW w:w="1080" w:type="dxa"/>
                        <w:shd w:val="clear" w:color="auto" w:fill="FFFFFF"/>
                      </w:tcPr>
                      <w:p w:rsidR="00BB7EDA" w:rsidRDefault="007D72B3">
                        <w:pPr>
                          <w:pStyle w:val="Bodytext20"/>
                          <w:shd w:val="clear" w:color="auto" w:fill="auto"/>
                          <w:spacing w:before="0" w:line="180" w:lineRule="exact"/>
                          <w:jc w:val="left"/>
                        </w:pPr>
                        <w:r>
                          <w:t>nu-stapris</w:t>
                        </w:r>
                      </w:p>
                    </w:tc>
                  </w:tr>
                </w:tbl>
                <w:p w:rsidR="00BB7EDA" w:rsidRDefault="00BB7EDA">
                  <w:pPr>
                    <w:rPr>
                      <w:sz w:val="2"/>
                      <w:szCs w:val="2"/>
                    </w:rPr>
                  </w:pPr>
                </w:p>
              </w:txbxContent>
            </v:textbox>
            <w10:wrap type="topAndBottom" anchorx="margin"/>
          </v:shape>
        </w:pict>
      </w:r>
      <w:r>
        <w:t xml:space="preserve">Neben den Formen des Präteritum, Präsens und Perfekt, kennt das </w:t>
      </w:r>
      <w:r>
        <w:t>Akkadische ferner den so genannten Permansiv, mit dem Zu</w:t>
      </w:r>
      <w:r>
        <w:softHyphen/>
        <w:t xml:space="preserve">stände, ohne Berücksichtigung der Zeitstufe, ausgedrückt werden. Es folgen die Paradigmata im G-Stamm. </w:t>
      </w:r>
      <w:r>
        <w:rPr>
          <w:rStyle w:val="Bodytext2Italic0"/>
        </w:rPr>
        <w:t>paris</w:t>
      </w:r>
      <w:r>
        <w:t xml:space="preserve"> kann z.B. mit „er ist einer, der scheidet" übersetzt werden.</w:t>
      </w:r>
    </w:p>
    <w:p w:rsidR="00BB7EDA" w:rsidRDefault="007D72B3">
      <w:pPr>
        <w:pStyle w:val="Tablecaption20"/>
        <w:framePr w:w="3773" w:hSpace="571" w:wrap="notBeside" w:vAnchor="text" w:hAnchor="text" w:xAlign="center" w:y="1"/>
        <w:shd w:val="clear" w:color="auto" w:fill="auto"/>
        <w:spacing w:line="170" w:lineRule="exact"/>
      </w:pPr>
      <w:r>
        <w:t>6.2A.5 Der Permansiv</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974"/>
        <w:gridCol w:w="1138"/>
      </w:tblGrid>
      <w:tr w:rsidR="00BB7EDA">
        <w:tblPrEx>
          <w:tblCellMar>
            <w:top w:w="0" w:type="dxa"/>
            <w:bottom w:w="0" w:type="dxa"/>
          </w:tblCellMar>
        </w:tblPrEx>
        <w:trPr>
          <w:trHeight w:hRule="exact" w:val="499"/>
          <w:jc w:val="center"/>
        </w:trPr>
        <w:tc>
          <w:tcPr>
            <w:tcW w:w="1661"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Permansi</w:t>
            </w:r>
            <w:r>
              <w:t>v</w:t>
            </w:r>
          </w:p>
        </w:tc>
        <w:tc>
          <w:tcPr>
            <w:tcW w:w="974" w:type="dxa"/>
            <w:shd w:val="clear" w:color="auto" w:fill="FFFFFF"/>
            <w:vAlign w:val="bottom"/>
          </w:tcPr>
          <w:p w:rsidR="00BB7EDA" w:rsidRDefault="007D72B3">
            <w:pPr>
              <w:pStyle w:val="Bodytext20"/>
              <w:framePr w:w="3773" w:hSpace="571" w:wrap="notBeside" w:vAnchor="text" w:hAnchor="text" w:xAlign="center" w:y="1"/>
              <w:shd w:val="clear" w:color="auto" w:fill="auto"/>
              <w:spacing w:before="0" w:line="180" w:lineRule="exact"/>
              <w:jc w:val="left"/>
            </w:pPr>
            <w:r>
              <w:t>Singular</w:t>
            </w:r>
          </w:p>
        </w:tc>
        <w:tc>
          <w:tcPr>
            <w:tcW w:w="1138" w:type="dxa"/>
            <w:shd w:val="clear" w:color="auto" w:fill="FFFFFF"/>
            <w:vAlign w:val="bottom"/>
          </w:tcPr>
          <w:p w:rsidR="00BB7EDA" w:rsidRDefault="007D72B3">
            <w:pPr>
              <w:pStyle w:val="Bodytext20"/>
              <w:framePr w:w="3773" w:hSpace="571" w:wrap="notBeside" w:vAnchor="text" w:hAnchor="text" w:xAlign="center" w:y="1"/>
              <w:shd w:val="clear" w:color="auto" w:fill="auto"/>
              <w:spacing w:before="0" w:line="180" w:lineRule="exact"/>
              <w:ind w:left="200"/>
              <w:jc w:val="left"/>
            </w:pPr>
            <w:r>
              <w:t>Plural</w:t>
            </w:r>
          </w:p>
        </w:tc>
      </w:tr>
      <w:tr w:rsidR="00BB7EDA">
        <w:tblPrEx>
          <w:tblCellMar>
            <w:top w:w="0" w:type="dxa"/>
            <w:bottom w:w="0" w:type="dxa"/>
          </w:tblCellMar>
        </w:tblPrEx>
        <w:trPr>
          <w:trHeight w:hRule="exact" w:val="259"/>
          <w:jc w:val="center"/>
        </w:trPr>
        <w:tc>
          <w:tcPr>
            <w:tcW w:w="1661" w:type="dxa"/>
            <w:shd w:val="clear" w:color="auto" w:fill="FFFFFF"/>
            <w:vAlign w:val="bottom"/>
          </w:tcPr>
          <w:p w:rsidR="00BB7EDA" w:rsidRDefault="007D72B3">
            <w:pPr>
              <w:pStyle w:val="Bodytext20"/>
              <w:framePr w:w="3773" w:hSpace="571" w:wrap="notBeside" w:vAnchor="text" w:hAnchor="text" w:xAlign="center" w:y="1"/>
              <w:shd w:val="clear" w:color="auto" w:fill="auto"/>
              <w:spacing w:before="0" w:line="180" w:lineRule="exact"/>
              <w:jc w:val="left"/>
            </w:pPr>
            <w:r>
              <w:t>3. Pers. mask.</w:t>
            </w:r>
          </w:p>
        </w:tc>
        <w:tc>
          <w:tcPr>
            <w:tcW w:w="974" w:type="dxa"/>
            <w:shd w:val="clear" w:color="auto" w:fill="FFFFFF"/>
            <w:vAlign w:val="bottom"/>
          </w:tcPr>
          <w:p w:rsidR="00BB7EDA" w:rsidRDefault="007D72B3">
            <w:pPr>
              <w:pStyle w:val="Bodytext20"/>
              <w:framePr w:w="3773" w:hSpace="571" w:wrap="notBeside" w:vAnchor="text" w:hAnchor="text" w:xAlign="center" w:y="1"/>
              <w:shd w:val="clear" w:color="auto" w:fill="auto"/>
              <w:spacing w:before="0" w:line="180" w:lineRule="exact"/>
              <w:jc w:val="left"/>
            </w:pPr>
            <w:r>
              <w:t>paris</w:t>
            </w:r>
          </w:p>
        </w:tc>
        <w:tc>
          <w:tcPr>
            <w:tcW w:w="1138" w:type="dxa"/>
            <w:shd w:val="clear" w:color="auto" w:fill="FFFFFF"/>
            <w:vAlign w:val="bottom"/>
          </w:tcPr>
          <w:p w:rsidR="00BB7EDA" w:rsidRDefault="007D72B3">
            <w:pPr>
              <w:pStyle w:val="Bodytext20"/>
              <w:framePr w:w="3773" w:hSpace="571" w:wrap="notBeside" w:vAnchor="text" w:hAnchor="text" w:xAlign="center" w:y="1"/>
              <w:shd w:val="clear" w:color="auto" w:fill="auto"/>
              <w:spacing w:before="0" w:line="180" w:lineRule="exact"/>
              <w:ind w:left="200"/>
              <w:jc w:val="left"/>
            </w:pPr>
            <w:r>
              <w:t>pars-ü</w:t>
            </w:r>
          </w:p>
        </w:tc>
      </w:tr>
      <w:tr w:rsidR="00BB7EDA">
        <w:tblPrEx>
          <w:tblCellMar>
            <w:top w:w="0" w:type="dxa"/>
            <w:bottom w:w="0" w:type="dxa"/>
          </w:tblCellMar>
        </w:tblPrEx>
        <w:trPr>
          <w:trHeight w:hRule="exact" w:val="230"/>
          <w:jc w:val="center"/>
        </w:trPr>
        <w:tc>
          <w:tcPr>
            <w:tcW w:w="1661"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3. Pers. fem.</w:t>
            </w:r>
          </w:p>
        </w:tc>
        <w:tc>
          <w:tcPr>
            <w:tcW w:w="974"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pars-at</w:t>
            </w:r>
          </w:p>
        </w:tc>
        <w:tc>
          <w:tcPr>
            <w:tcW w:w="1138"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ind w:left="200"/>
              <w:jc w:val="left"/>
            </w:pPr>
            <w:r>
              <w:t>pars-ä</w:t>
            </w:r>
          </w:p>
        </w:tc>
      </w:tr>
      <w:tr w:rsidR="00BB7EDA">
        <w:tblPrEx>
          <w:tblCellMar>
            <w:top w:w="0" w:type="dxa"/>
            <w:bottom w:w="0" w:type="dxa"/>
          </w:tblCellMar>
        </w:tblPrEx>
        <w:trPr>
          <w:trHeight w:hRule="exact" w:val="226"/>
          <w:jc w:val="center"/>
        </w:trPr>
        <w:tc>
          <w:tcPr>
            <w:tcW w:w="1661"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2. Pers. mask.</w:t>
            </w:r>
          </w:p>
        </w:tc>
        <w:tc>
          <w:tcPr>
            <w:tcW w:w="974"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pars-äta</w:t>
            </w:r>
          </w:p>
        </w:tc>
        <w:tc>
          <w:tcPr>
            <w:tcW w:w="1138"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ind w:left="200"/>
              <w:jc w:val="left"/>
            </w:pPr>
            <w:r>
              <w:t>pars-ätunu</w:t>
            </w:r>
          </w:p>
        </w:tc>
      </w:tr>
      <w:tr w:rsidR="00BB7EDA">
        <w:tblPrEx>
          <w:tblCellMar>
            <w:top w:w="0" w:type="dxa"/>
            <w:bottom w:w="0" w:type="dxa"/>
          </w:tblCellMar>
        </w:tblPrEx>
        <w:trPr>
          <w:trHeight w:hRule="exact" w:val="230"/>
          <w:jc w:val="center"/>
        </w:trPr>
        <w:tc>
          <w:tcPr>
            <w:tcW w:w="1661"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2. Pers. fem.</w:t>
            </w:r>
          </w:p>
        </w:tc>
        <w:tc>
          <w:tcPr>
            <w:tcW w:w="974"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pars-äti</w:t>
            </w:r>
          </w:p>
        </w:tc>
        <w:tc>
          <w:tcPr>
            <w:tcW w:w="1138"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ind w:left="200"/>
              <w:jc w:val="left"/>
            </w:pPr>
            <w:r>
              <w:t>pars-ätina</w:t>
            </w:r>
          </w:p>
        </w:tc>
      </w:tr>
      <w:tr w:rsidR="00BB7EDA">
        <w:tblPrEx>
          <w:tblCellMar>
            <w:top w:w="0" w:type="dxa"/>
            <w:bottom w:w="0" w:type="dxa"/>
          </w:tblCellMar>
        </w:tblPrEx>
        <w:trPr>
          <w:trHeight w:hRule="exact" w:val="245"/>
          <w:jc w:val="center"/>
        </w:trPr>
        <w:tc>
          <w:tcPr>
            <w:tcW w:w="1661"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1. Pers. mask./fern.</w:t>
            </w:r>
          </w:p>
        </w:tc>
        <w:tc>
          <w:tcPr>
            <w:tcW w:w="974"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jc w:val="left"/>
            </w:pPr>
            <w:r>
              <w:t>pars-äku</w:t>
            </w:r>
          </w:p>
        </w:tc>
        <w:tc>
          <w:tcPr>
            <w:tcW w:w="1138" w:type="dxa"/>
            <w:shd w:val="clear" w:color="auto" w:fill="FFFFFF"/>
          </w:tcPr>
          <w:p w:rsidR="00BB7EDA" w:rsidRDefault="007D72B3">
            <w:pPr>
              <w:pStyle w:val="Bodytext20"/>
              <w:framePr w:w="3773" w:hSpace="571" w:wrap="notBeside" w:vAnchor="text" w:hAnchor="text" w:xAlign="center" w:y="1"/>
              <w:shd w:val="clear" w:color="auto" w:fill="auto"/>
              <w:spacing w:before="0" w:line="180" w:lineRule="exact"/>
              <w:ind w:left="200"/>
              <w:jc w:val="left"/>
            </w:pPr>
            <w:r>
              <w:t>pars-anu</w:t>
            </w:r>
          </w:p>
        </w:tc>
      </w:tr>
    </w:tbl>
    <w:p w:rsidR="00BB7EDA" w:rsidRDefault="00BB7EDA">
      <w:pPr>
        <w:framePr w:w="3773" w:hSpace="571" w:wrap="notBeside" w:vAnchor="text" w:hAnchor="text" w:xAlign="center" w:y="1"/>
        <w:rPr>
          <w:sz w:val="2"/>
          <w:szCs w:val="2"/>
        </w:rPr>
      </w:pPr>
    </w:p>
    <w:p w:rsidR="00BB7EDA" w:rsidRDefault="00BB7EDA">
      <w:pPr>
        <w:rPr>
          <w:sz w:val="2"/>
          <w:szCs w:val="2"/>
        </w:rPr>
      </w:pPr>
    </w:p>
    <w:p w:rsidR="00BB7EDA" w:rsidRDefault="007D72B3">
      <w:pPr>
        <w:pStyle w:val="Bodytext100"/>
        <w:shd w:val="clear" w:color="auto" w:fill="auto"/>
        <w:spacing w:before="134"/>
        <w:ind w:firstLine="0"/>
      </w:pPr>
      <w:r>
        <w:t>6.2A.6 Der Subjunktiv</w:t>
      </w:r>
    </w:p>
    <w:p w:rsidR="00BB7EDA" w:rsidRDefault="007D72B3">
      <w:pPr>
        <w:pStyle w:val="Bodytext20"/>
        <w:shd w:val="clear" w:color="auto" w:fill="auto"/>
        <w:spacing w:before="0" w:after="180" w:line="226" w:lineRule="exact"/>
      </w:pPr>
      <w:r>
        <w:t xml:space="preserve">Im Präteritum, Präsens, Perfekt und </w:t>
      </w:r>
      <w:r>
        <w:t>Permansiv können in allen Ver</w:t>
      </w:r>
      <w:r>
        <w:softHyphen/>
        <w:t>balstämmen Subjunktivformen gebildet werden. An die endungslo</w:t>
      </w:r>
      <w:r>
        <w:softHyphen/>
        <w:t xml:space="preserve">sen Verbformen wird dabei das Suffix </w:t>
      </w:r>
      <w:r>
        <w:rPr>
          <w:rStyle w:val="Bodytext2Italic0"/>
        </w:rPr>
        <w:t>-u</w:t>
      </w:r>
      <w:r>
        <w:t xml:space="preserve"> angehängt. Der Subjunktiv kennzeichnet das Verb in den dem Hauptsatz untergeordneten Nebensätzen. So lautet z.B. die Form </w:t>
      </w:r>
      <w:r>
        <w:rPr>
          <w:rStyle w:val="Bodytext2Italic0"/>
        </w:rPr>
        <w:t>ip</w:t>
      </w:r>
      <w:r>
        <w:rPr>
          <w:rStyle w:val="Bodytext2Italic0"/>
        </w:rPr>
        <w:t>rus</w:t>
      </w:r>
      <w:r>
        <w:t xml:space="preserve"> (= „er schied") im Sub</w:t>
      </w:r>
      <w:r>
        <w:softHyphen/>
        <w:t xml:space="preserve">junktiv </w:t>
      </w:r>
      <w:r>
        <w:rPr>
          <w:rStyle w:val="Bodytext2Italic0"/>
        </w:rPr>
        <w:t>iprusu.</w:t>
      </w:r>
    </w:p>
    <w:p w:rsidR="00BB7EDA" w:rsidRDefault="007D72B3">
      <w:pPr>
        <w:pStyle w:val="Bodytext100"/>
        <w:shd w:val="clear" w:color="auto" w:fill="auto"/>
        <w:spacing w:before="0"/>
        <w:ind w:firstLine="0"/>
      </w:pPr>
      <w:r>
        <w:t>6.2A.7 Der Ventiv</w:t>
      </w:r>
    </w:p>
    <w:p w:rsidR="00BB7EDA" w:rsidRDefault="007D72B3">
      <w:pPr>
        <w:pStyle w:val="Bodytext20"/>
        <w:shd w:val="clear" w:color="auto" w:fill="auto"/>
        <w:spacing w:before="0" w:line="226" w:lineRule="exact"/>
        <w:sectPr w:rsidR="00BB7EDA">
          <w:pgSz w:w="7266" w:h="11422"/>
          <w:pgMar w:top="665" w:right="605" w:bottom="1097" w:left="929" w:header="0" w:footer="3" w:gutter="0"/>
          <w:cols w:space="720"/>
          <w:noEndnote/>
          <w:docGrid w:linePitch="360"/>
        </w:sectPr>
      </w:pPr>
      <w:r>
        <w:t>In allen vier Tempi bzw. Aspekten (Präteritum, Präsens, Perfekt und Permansiv) und in allen Verbalstämmen können Ventivformen ge</w:t>
      </w:r>
      <w:r>
        <w:softHyphen/>
        <w:t xml:space="preserve">bildet werden. Dabei werden an die Verba die </w:t>
      </w:r>
      <w:r>
        <w:t xml:space="preserve">Suffixe </w:t>
      </w:r>
      <w:r>
        <w:rPr>
          <w:rStyle w:val="Bodytext2Italic0"/>
        </w:rPr>
        <w:t>-am, -m</w:t>
      </w:r>
      <w:r>
        <w:t xml:space="preserve"> bzw. </w:t>
      </w:r>
      <w:r>
        <w:rPr>
          <w:rStyle w:val="Bodytext2Italic0"/>
        </w:rPr>
        <w:t>-nun</w:t>
      </w:r>
      <w:r>
        <w:t xml:space="preserve"> angehängt. Der Ventiv vermag etwas über die Bewegungs</w:t>
      </w:r>
      <w:r>
        <w:softHyphen/>
        <w:t xml:space="preserve">richtung der durch das Verb ausgedrückten Handlung auszusagen („zu mir"/,,her"). Als repräsentatives Beispiel folgen die Formen des Präteritums </w:t>
      </w:r>
      <w:r>
        <w:rPr>
          <w:vertAlign w:val="superscript"/>
        </w:rPr>
        <w:t>;</w:t>
      </w:r>
      <w:r>
        <w:t xml:space="preserve">m G-Stamm. </w:t>
      </w:r>
      <w:r>
        <w:rPr>
          <w:rStyle w:val="Bodytext2Italic0"/>
        </w:rPr>
        <w:t>iprusam</w:t>
      </w:r>
      <w:r>
        <w:t xml:space="preserve"> z.B. bedeute</w:t>
      </w:r>
      <w:r>
        <w:t>t wörtlich „er schied her".</w:t>
      </w:r>
    </w:p>
    <w:p w:rsidR="00BB7EDA" w:rsidRDefault="007D72B3">
      <w:pPr>
        <w:rPr>
          <w:sz w:val="2"/>
          <w:szCs w:val="2"/>
        </w:rPr>
      </w:pPr>
      <w:r>
        <w:pict>
          <v:shape id="_x0000_s1133" type="#_x0000_t202" style="position:absolute;margin-left:-3.1pt;margin-top:61.2pt;width:132.95pt;height:12pt;z-index:-125829354;mso-wrap-distance-left:5pt;mso-wrap-distance-right:5pt;mso-wrap-distance-bottom:.25pt;mso-position-horizontal-relative:margin" filled="f" stroked="f">
            <v:textbox style="mso-fit-shape-to-text:t" inset="0,0,0,0">
              <w:txbxContent>
                <w:p w:rsidR="00BB7EDA" w:rsidRPr="007D72B3" w:rsidRDefault="007D72B3">
                  <w:pPr>
                    <w:pStyle w:val="Bodytext20"/>
                    <w:shd w:val="clear" w:color="auto" w:fill="auto"/>
                    <w:spacing w:before="0" w:line="180" w:lineRule="exact"/>
                    <w:jc w:val="left"/>
                    <w:rPr>
                      <w:lang w:val="en-US"/>
                    </w:rPr>
                  </w:pPr>
                  <w:r w:rsidRPr="007D72B3">
                    <w:rPr>
                      <w:rStyle w:val="Bodytext2Exact"/>
                      <w:lang w:val="en-US"/>
                    </w:rPr>
                    <w:t>1. Pers. mask./fern, a-prus-am</w:t>
                  </w:r>
                </w:p>
              </w:txbxContent>
            </v:textbox>
            <w10:wrap type="square" side="right" anchorx="margin"/>
          </v:shape>
        </w:pict>
      </w:r>
      <w:r>
        <w:pict>
          <v:shape id="_x0000_s1134" type="#_x0000_t202" style="position:absolute;margin-left:79.95pt;margin-top:12.85pt;width:50.65pt;height:48.8pt;z-index:-125829353;mso-wrap-distance-left:14.35pt;mso-wrap-distance-right:5pt;mso-position-horizontal-relative:margin" filled="f" stroked="f">
            <v:textbox style="mso-fit-shape-to-text:t" inset="0,0,0,0">
              <w:txbxContent>
                <w:p w:rsidR="00BB7EDA" w:rsidRPr="007D72B3" w:rsidRDefault="007D72B3">
                  <w:pPr>
                    <w:pStyle w:val="Bodytext20"/>
                    <w:shd w:val="clear" w:color="auto" w:fill="auto"/>
                    <w:spacing w:before="0"/>
                    <w:jc w:val="left"/>
                    <w:rPr>
                      <w:lang w:val="en-US"/>
                    </w:rPr>
                  </w:pPr>
                  <w:r w:rsidRPr="007D72B3">
                    <w:rPr>
                      <w:rStyle w:val="Bodytext2Exact"/>
                      <w:lang w:val="en-US"/>
                    </w:rPr>
                    <w:t>i-prus-am</w:t>
                  </w:r>
                </w:p>
                <w:p w:rsidR="00BB7EDA" w:rsidRPr="007D72B3" w:rsidRDefault="007D72B3">
                  <w:pPr>
                    <w:pStyle w:val="Bodytext20"/>
                    <w:shd w:val="clear" w:color="auto" w:fill="auto"/>
                    <w:spacing w:before="0"/>
                    <w:jc w:val="left"/>
                    <w:rPr>
                      <w:lang w:val="en-US"/>
                    </w:rPr>
                  </w:pPr>
                  <w:r w:rsidRPr="007D72B3">
                    <w:rPr>
                      <w:rStyle w:val="Bodytext2Exact"/>
                      <w:lang w:val="en-US"/>
                    </w:rPr>
                    <w:t>i-prus-am</w:t>
                  </w:r>
                </w:p>
                <w:p w:rsidR="00BB7EDA" w:rsidRDefault="007D72B3">
                  <w:pPr>
                    <w:pStyle w:val="Bodytext20"/>
                    <w:shd w:val="clear" w:color="auto" w:fill="auto"/>
                    <w:spacing w:before="0"/>
                    <w:jc w:val="left"/>
                  </w:pPr>
                  <w:r>
                    <w:rPr>
                      <w:rStyle w:val="Bodytext2Exact"/>
                    </w:rPr>
                    <w:t>ta-prus-am</w:t>
                  </w:r>
                </w:p>
                <w:p w:rsidR="00BB7EDA" w:rsidRDefault="007D72B3">
                  <w:pPr>
                    <w:pStyle w:val="Bodytext20"/>
                    <w:shd w:val="clear" w:color="auto" w:fill="auto"/>
                    <w:spacing w:before="0"/>
                    <w:jc w:val="left"/>
                  </w:pPr>
                  <w:r>
                    <w:rPr>
                      <w:rStyle w:val="Bodytext2Exact"/>
                    </w:rPr>
                    <w:t>ta-prus-im</w:t>
                  </w:r>
                </w:p>
              </w:txbxContent>
            </v:textbox>
            <w10:wrap type="square" anchorx="margin"/>
          </v:shape>
        </w:pict>
      </w:r>
    </w:p>
    <w:p w:rsidR="00BB7EDA" w:rsidRPr="007D72B3" w:rsidRDefault="007D72B3">
      <w:pPr>
        <w:pStyle w:val="Bodytext20"/>
        <w:shd w:val="clear" w:color="auto" w:fill="auto"/>
        <w:spacing w:before="0"/>
        <w:rPr>
          <w:lang w:val="en-US"/>
        </w:rPr>
      </w:pPr>
      <w:r w:rsidRPr="007D72B3">
        <w:rPr>
          <w:lang w:val="en-US"/>
        </w:rPr>
        <w:t>3. Pers. mask. 3. Pers. fern.</w:t>
      </w:r>
    </w:p>
    <w:p w:rsidR="00BB7EDA" w:rsidRPr="007D72B3" w:rsidRDefault="007D72B3">
      <w:pPr>
        <w:pStyle w:val="Bodytext20"/>
        <w:shd w:val="clear" w:color="auto" w:fill="auto"/>
        <w:spacing w:before="0"/>
        <w:rPr>
          <w:lang w:val="en-US"/>
        </w:rPr>
      </w:pPr>
      <w:r w:rsidRPr="007D72B3">
        <w:rPr>
          <w:lang w:val="en-US"/>
        </w:rPr>
        <w:t>2. Pers. mask. 2. Pers. fern.</w:t>
      </w:r>
    </w:p>
    <w:p w:rsidR="00BB7EDA" w:rsidRPr="007D72B3" w:rsidRDefault="007D72B3">
      <w:pPr>
        <w:pStyle w:val="Bodytext20"/>
        <w:shd w:val="clear" w:color="auto" w:fill="auto"/>
        <w:spacing w:before="0" w:after="34" w:line="180" w:lineRule="exact"/>
        <w:jc w:val="left"/>
        <w:rPr>
          <w:lang w:val="en-US"/>
        </w:rPr>
      </w:pPr>
      <w:r w:rsidRPr="007D72B3">
        <w:rPr>
          <w:lang w:val="en-US"/>
        </w:rPr>
        <w:br w:type="column"/>
      </w:r>
      <w:r w:rsidRPr="007D72B3">
        <w:rPr>
          <w:lang w:val="en-US"/>
        </w:rPr>
        <w:t>Plural</w:t>
      </w:r>
    </w:p>
    <w:p w:rsidR="00BB7EDA" w:rsidRPr="007D72B3" w:rsidRDefault="007D72B3">
      <w:pPr>
        <w:pStyle w:val="Bodytext20"/>
        <w:shd w:val="clear" w:color="auto" w:fill="auto"/>
        <w:spacing w:before="0" w:line="226" w:lineRule="exact"/>
        <w:jc w:val="left"/>
        <w:rPr>
          <w:lang w:val="en-US"/>
        </w:rPr>
      </w:pPr>
      <w:r w:rsidRPr="007D72B3">
        <w:rPr>
          <w:lang w:val="en-US"/>
        </w:rPr>
        <w:t>i-prus-ü-nim</w:t>
      </w:r>
    </w:p>
    <w:p w:rsidR="00BB7EDA" w:rsidRDefault="007D72B3">
      <w:pPr>
        <w:pStyle w:val="Bodytext20"/>
        <w:shd w:val="clear" w:color="auto" w:fill="auto"/>
        <w:spacing w:before="0" w:line="226" w:lineRule="exact"/>
        <w:jc w:val="left"/>
      </w:pPr>
      <w:r>
        <w:t>i-prus-ä-nim</w:t>
      </w:r>
    </w:p>
    <w:p w:rsidR="00BB7EDA" w:rsidRDefault="007D72B3">
      <w:pPr>
        <w:pStyle w:val="Bodytext20"/>
        <w:shd w:val="clear" w:color="auto" w:fill="auto"/>
        <w:spacing w:before="0" w:line="226" w:lineRule="exact"/>
        <w:jc w:val="left"/>
      </w:pPr>
      <w:r>
        <w:t>ta-prus-ä-nim</w:t>
      </w:r>
    </w:p>
    <w:p w:rsidR="00BB7EDA" w:rsidRDefault="007D72B3">
      <w:pPr>
        <w:pStyle w:val="Bodytext20"/>
        <w:shd w:val="clear" w:color="auto" w:fill="auto"/>
        <w:spacing w:before="0" w:line="226" w:lineRule="exact"/>
        <w:jc w:val="left"/>
      </w:pPr>
      <w:r>
        <w:t>ta-prus-ä-nim</w:t>
      </w:r>
    </w:p>
    <w:p w:rsidR="00BB7EDA" w:rsidRDefault="007D72B3">
      <w:pPr>
        <w:pStyle w:val="Bodytext20"/>
        <w:shd w:val="clear" w:color="auto" w:fill="auto"/>
        <w:spacing w:before="0" w:line="226" w:lineRule="exact"/>
        <w:jc w:val="left"/>
        <w:sectPr w:rsidR="00BB7EDA">
          <w:footerReference w:type="even" r:id="rId100"/>
          <w:footerReference w:type="default" r:id="rId101"/>
          <w:headerReference w:type="first" r:id="rId102"/>
          <w:footerReference w:type="first" r:id="rId103"/>
          <w:pgSz w:w="7266" w:h="11422"/>
          <w:pgMar w:top="948" w:right="1566" w:bottom="1251" w:left="1667" w:header="0" w:footer="3" w:gutter="0"/>
          <w:cols w:num="2" w:space="1552"/>
          <w:noEndnote/>
          <w:titlePg/>
          <w:docGrid w:linePitch="360"/>
        </w:sectPr>
      </w:pPr>
      <w:r>
        <w:t>ni-prus-am</w:t>
      </w:r>
    </w:p>
    <w:p w:rsidR="00BB7EDA" w:rsidRDefault="00BB7EDA">
      <w:pPr>
        <w:spacing w:line="175" w:lineRule="exact"/>
        <w:rPr>
          <w:sz w:val="14"/>
          <w:szCs w:val="14"/>
        </w:rPr>
      </w:pPr>
    </w:p>
    <w:p w:rsidR="00BB7EDA" w:rsidRDefault="00BB7EDA">
      <w:pPr>
        <w:rPr>
          <w:sz w:val="2"/>
          <w:szCs w:val="2"/>
        </w:rPr>
        <w:sectPr w:rsidR="00BB7EDA">
          <w:type w:val="continuous"/>
          <w:pgSz w:w="7266" w:h="11422"/>
          <w:pgMar w:top="963" w:right="0" w:bottom="963" w:left="0" w:header="0" w:footer="3" w:gutter="0"/>
          <w:cols w:space="720"/>
          <w:noEndnote/>
          <w:docGrid w:linePitch="360"/>
        </w:sectPr>
      </w:pPr>
    </w:p>
    <w:p w:rsidR="00BB7EDA" w:rsidRDefault="007D72B3">
      <w:pPr>
        <w:pStyle w:val="Bodytext100"/>
        <w:shd w:val="clear" w:color="auto" w:fill="auto"/>
        <w:spacing w:before="0"/>
        <w:ind w:firstLine="0"/>
      </w:pPr>
      <w:r>
        <w:t>6.2A.8 Der Imperativ</w:t>
      </w:r>
    </w:p>
    <w:p w:rsidR="00BB7EDA" w:rsidRDefault="007D72B3">
      <w:pPr>
        <w:pStyle w:val="Bodytext20"/>
        <w:shd w:val="clear" w:color="auto" w:fill="auto"/>
        <w:spacing w:before="0" w:after="97" w:line="226" w:lineRule="exact"/>
      </w:pPr>
      <w:r>
        <w:t xml:space="preserve">Die Imperativformen betreffen die 2. Person. </w:t>
      </w:r>
      <w:r>
        <w:t>Im Singular werden die Geschlechter formal unterschieden. In allen Verbalstämmen können Imperativformen gebildet werden. Als Beispiel folgen nur die Formen des G-Stammes:</w:t>
      </w:r>
    </w:p>
    <w:p w:rsidR="00BB7EDA" w:rsidRPr="007D72B3" w:rsidRDefault="007D72B3">
      <w:pPr>
        <w:pStyle w:val="Bodytext20"/>
        <w:shd w:val="clear" w:color="auto" w:fill="auto"/>
        <w:spacing w:before="0" w:after="14" w:line="180" w:lineRule="exact"/>
        <w:ind w:left="600"/>
        <w:rPr>
          <w:lang w:val="en-US"/>
        </w:rPr>
      </w:pPr>
      <w:r w:rsidRPr="007D72B3">
        <w:rPr>
          <w:lang w:val="en-US"/>
        </w:rPr>
        <w:t>G-Stamm, Imperativ</w:t>
      </w:r>
    </w:p>
    <w:p w:rsidR="00BB7EDA" w:rsidRPr="007D72B3" w:rsidRDefault="007D72B3">
      <w:pPr>
        <w:pStyle w:val="Bodytext20"/>
        <w:shd w:val="clear" w:color="auto" w:fill="auto"/>
        <w:spacing w:before="0" w:line="180" w:lineRule="exact"/>
        <w:jc w:val="right"/>
        <w:rPr>
          <w:lang w:val="en-US"/>
        </w:rPr>
      </w:pPr>
      <w:r>
        <w:pict>
          <v:shape id="_x0000_s1139" type="#_x0000_t202" style="position:absolute;left:0;text-align:left;margin-left:164.2pt;margin-top:-.5pt;width:29.05pt;height:38.9pt;z-index:-125829352;mso-wrap-distance-left:20.15pt;mso-wrap-distance-top:24.7pt;mso-wrap-distance-right:5pt;mso-wrap-distance-bottom:19.3pt;mso-position-horizontal-relative:margin" filled="f" stroked="f">
            <v:textbox style="mso-fit-shape-to-text:t" inset="0,0,0,0">
              <w:txbxContent>
                <w:p w:rsidR="00BB7EDA" w:rsidRDefault="007D72B3">
                  <w:pPr>
                    <w:pStyle w:val="Bodytext20"/>
                    <w:shd w:val="clear" w:color="auto" w:fill="auto"/>
                    <w:spacing w:before="0" w:after="55" w:line="180" w:lineRule="exact"/>
                    <w:jc w:val="left"/>
                  </w:pPr>
                  <w:r>
                    <w:rPr>
                      <w:rStyle w:val="Bodytext2Exact"/>
                    </w:rPr>
                    <w:t>Plural</w:t>
                  </w:r>
                </w:p>
                <w:p w:rsidR="00BB7EDA" w:rsidRDefault="007D72B3">
                  <w:pPr>
                    <w:pStyle w:val="Bodytext20"/>
                    <w:shd w:val="clear" w:color="auto" w:fill="auto"/>
                    <w:spacing w:before="0" w:line="180" w:lineRule="exact"/>
                    <w:jc w:val="left"/>
                  </w:pPr>
                  <w:r>
                    <w:rPr>
                      <w:rStyle w:val="Bodytext2Exact"/>
                    </w:rPr>
                    <w:t>purs-ä</w:t>
                  </w:r>
                </w:p>
                <w:p w:rsidR="00BB7EDA" w:rsidRDefault="007D72B3">
                  <w:pPr>
                    <w:pStyle w:val="Bodytext20"/>
                    <w:shd w:val="clear" w:color="auto" w:fill="auto"/>
                    <w:spacing w:before="0" w:line="180" w:lineRule="exact"/>
                    <w:jc w:val="left"/>
                  </w:pPr>
                  <w:r>
                    <w:rPr>
                      <w:rStyle w:val="Bodytext2Exact"/>
                    </w:rPr>
                    <w:t>purs-ä</w:t>
                  </w:r>
                </w:p>
              </w:txbxContent>
            </v:textbox>
            <w10:wrap type="square" side="left" anchorx="margin"/>
          </v:shape>
        </w:pict>
      </w:r>
      <w:r w:rsidRPr="007D72B3">
        <w:rPr>
          <w:lang w:val="en-US"/>
        </w:rPr>
        <w:t>Singular</w:t>
      </w:r>
    </w:p>
    <w:p w:rsidR="00BB7EDA" w:rsidRPr="007D72B3" w:rsidRDefault="007D72B3">
      <w:pPr>
        <w:pStyle w:val="Bodytext20"/>
        <w:shd w:val="clear" w:color="auto" w:fill="auto"/>
        <w:tabs>
          <w:tab w:val="left" w:pos="2227"/>
        </w:tabs>
        <w:spacing w:before="0" w:line="226" w:lineRule="exact"/>
        <w:ind w:left="600"/>
        <w:rPr>
          <w:lang w:val="en-US"/>
        </w:rPr>
      </w:pPr>
      <w:r w:rsidRPr="007D72B3">
        <w:rPr>
          <w:lang w:val="en-US"/>
        </w:rPr>
        <w:t>2. Pers., mask.</w:t>
      </w:r>
      <w:r w:rsidRPr="007D72B3">
        <w:rPr>
          <w:lang w:val="en-US"/>
        </w:rPr>
        <w:tab/>
        <w:t>purus</w:t>
      </w:r>
    </w:p>
    <w:p w:rsidR="00BB7EDA" w:rsidRPr="007D72B3" w:rsidRDefault="007D72B3">
      <w:pPr>
        <w:pStyle w:val="Bodytext20"/>
        <w:shd w:val="clear" w:color="auto" w:fill="auto"/>
        <w:tabs>
          <w:tab w:val="left" w:pos="2227"/>
        </w:tabs>
        <w:spacing w:before="0" w:after="180" w:line="226" w:lineRule="exact"/>
        <w:ind w:left="600"/>
        <w:rPr>
          <w:lang w:val="en-US"/>
        </w:rPr>
      </w:pPr>
      <w:r w:rsidRPr="007D72B3">
        <w:rPr>
          <w:lang w:val="en-US"/>
        </w:rPr>
        <w:t xml:space="preserve">2. Pers., </w:t>
      </w:r>
      <w:r w:rsidRPr="007D72B3">
        <w:rPr>
          <w:lang w:val="en-US"/>
        </w:rPr>
        <w:t>fern.</w:t>
      </w:r>
      <w:r w:rsidRPr="007D72B3">
        <w:rPr>
          <w:lang w:val="en-US"/>
        </w:rPr>
        <w:tab/>
        <w:t>purs-i</w:t>
      </w:r>
    </w:p>
    <w:p w:rsidR="00BB7EDA" w:rsidRDefault="007D72B3">
      <w:pPr>
        <w:pStyle w:val="Bodytext20"/>
        <w:shd w:val="clear" w:color="auto" w:fill="auto"/>
        <w:spacing w:before="0" w:after="60" w:line="226" w:lineRule="exact"/>
      </w:pPr>
      <w:r>
        <w:rPr>
          <w:rStyle w:val="Bodytext285ptBoldItalic"/>
        </w:rPr>
        <w:t xml:space="preserve">6.2A.9 Das Partizip </w:t>
      </w:r>
      <w:r>
        <w:t>Beim Partizip werden zwei Geschlechter (maskulinum und femininum), Singular und Plural, Status rectus und Status constructus und die Kasusformen Nominativ, Genitiv und Akkusativ unter</w:t>
      </w:r>
      <w:r>
        <w:softHyphen/>
        <w:t>schieden. Ferner ist zu betonen, dass d</w:t>
      </w:r>
      <w:r>
        <w:t>as Partizip von allen Verbal- Stämmen aus gebildet werden kann. Die maskulinen Nominativ</w:t>
      </w:r>
      <w:r>
        <w:softHyphen/>
        <w:t>formen im Singular lauten folgendermaßen:</w:t>
      </w:r>
    </w:p>
    <w:p w:rsidR="00BB7EDA" w:rsidRDefault="007D72B3">
      <w:pPr>
        <w:pStyle w:val="Bodytext20"/>
        <w:shd w:val="clear" w:color="auto" w:fill="auto"/>
        <w:spacing w:before="0" w:line="226" w:lineRule="exact"/>
        <w:ind w:left="600"/>
      </w:pPr>
      <w:r>
        <w:t>Partizip</w:t>
      </w:r>
    </w:p>
    <w:p w:rsidR="00BB7EDA" w:rsidRDefault="007D72B3">
      <w:pPr>
        <w:pStyle w:val="Bodytext20"/>
        <w:shd w:val="clear" w:color="auto" w:fill="auto"/>
        <w:spacing w:before="0" w:after="180" w:line="226" w:lineRule="exact"/>
        <w:ind w:left="600" w:right="2700"/>
        <w:jc w:val="left"/>
      </w:pPr>
      <w:r>
        <w:t>G-Stamm päris-um N-Stamm mup-pars-um D-Stamm mu-parris-um S-Stamm mu-sa-pris-um</w:t>
      </w:r>
    </w:p>
    <w:p w:rsidR="00BB7EDA" w:rsidRDefault="007D72B3">
      <w:pPr>
        <w:pStyle w:val="Bodytext100"/>
        <w:shd w:val="clear" w:color="auto" w:fill="auto"/>
        <w:spacing w:before="0"/>
        <w:ind w:firstLine="0"/>
      </w:pPr>
      <w:r>
        <w:t>6.2A.10 Der Infinitiv</w:t>
      </w:r>
    </w:p>
    <w:p w:rsidR="00BB7EDA" w:rsidRDefault="007D72B3">
      <w:pPr>
        <w:pStyle w:val="Bodytext20"/>
        <w:shd w:val="clear" w:color="auto" w:fill="auto"/>
        <w:spacing w:before="0" w:line="226" w:lineRule="exact"/>
        <w:sectPr w:rsidR="00BB7EDA">
          <w:type w:val="continuous"/>
          <w:pgSz w:w="7266" w:h="11422"/>
          <w:pgMar w:top="963" w:right="534" w:bottom="963" w:left="1144" w:header="0" w:footer="3" w:gutter="0"/>
          <w:cols w:space="720"/>
          <w:noEndnote/>
          <w:docGrid w:linePitch="360"/>
        </w:sectPr>
      </w:pPr>
      <w:r>
        <w:pict>
          <v:shape id="_x0000_s1140" type="#_x0000_t202" style="position:absolute;left:0;text-align:left;margin-left:24.5pt;margin-top:24.1pt;width:43.9pt;height:59.25pt;z-index:-125829351;mso-wrap-distance-left:28.1pt;mso-wrap-distance-right:207.35pt;mso-wrap-distance-bottom:20.4pt;mso-position-horizontal-relative:margin" filled="f" stroked="f">
            <v:textbox style="mso-fit-shape-to-text:t" inset="0,0,0,0">
              <w:txbxContent>
                <w:p w:rsidR="00BB7EDA" w:rsidRDefault="007D72B3">
                  <w:pPr>
                    <w:pStyle w:val="Bodytext20"/>
                    <w:shd w:val="clear" w:color="auto" w:fill="auto"/>
                    <w:spacing w:before="0" w:line="226" w:lineRule="exact"/>
                    <w:jc w:val="left"/>
                  </w:pPr>
                  <w:r>
                    <w:rPr>
                      <w:rStyle w:val="Bodytext2Exact"/>
                    </w:rPr>
                    <w:t>Infinitive</w:t>
                  </w:r>
                </w:p>
                <w:p w:rsidR="00BB7EDA" w:rsidRDefault="007D72B3">
                  <w:pPr>
                    <w:pStyle w:val="Bodytext20"/>
                    <w:shd w:val="clear" w:color="auto" w:fill="auto"/>
                    <w:spacing w:before="0" w:line="226" w:lineRule="exact"/>
                    <w:jc w:val="left"/>
                  </w:pPr>
                  <w:r>
                    <w:rPr>
                      <w:rStyle w:val="Bodytext2Exact"/>
                    </w:rPr>
                    <w:t>G-Stamm:</w:t>
                  </w:r>
                </w:p>
                <w:p w:rsidR="00BB7EDA" w:rsidRDefault="007D72B3">
                  <w:pPr>
                    <w:pStyle w:val="Bodytext20"/>
                    <w:shd w:val="clear" w:color="auto" w:fill="auto"/>
                    <w:spacing w:before="0" w:line="226" w:lineRule="exact"/>
                    <w:jc w:val="left"/>
                  </w:pPr>
                  <w:r>
                    <w:rPr>
                      <w:rStyle w:val="Bodytext2Exact"/>
                    </w:rPr>
                    <w:t>N-Stamm:</w:t>
                  </w:r>
                </w:p>
                <w:p w:rsidR="00BB7EDA" w:rsidRDefault="007D72B3">
                  <w:pPr>
                    <w:pStyle w:val="Bodytext20"/>
                    <w:shd w:val="clear" w:color="auto" w:fill="auto"/>
                    <w:spacing w:before="0" w:line="226" w:lineRule="exact"/>
                    <w:jc w:val="left"/>
                  </w:pPr>
                  <w:r>
                    <w:rPr>
                      <w:rStyle w:val="Bodytext2Exact"/>
                    </w:rPr>
                    <w:t>D-Stamm:</w:t>
                  </w:r>
                </w:p>
                <w:p w:rsidR="00BB7EDA" w:rsidRDefault="007D72B3">
                  <w:pPr>
                    <w:pStyle w:val="Bodytext20"/>
                    <w:shd w:val="clear" w:color="auto" w:fill="auto"/>
                    <w:spacing w:before="0" w:line="226" w:lineRule="exact"/>
                    <w:jc w:val="left"/>
                  </w:pPr>
                  <w:r>
                    <w:rPr>
                      <w:rStyle w:val="Bodytext2Exact"/>
                    </w:rPr>
                    <w:t>S-Stamm:</w:t>
                  </w:r>
                </w:p>
              </w:txbxContent>
            </v:textbox>
            <w10:wrap type="topAndBottom" anchorx="margin"/>
          </v:shape>
        </w:pict>
      </w:r>
      <w:r>
        <w:pict>
          <v:shape id="_x0000_s1141" type="#_x0000_t202" style="position:absolute;left:0;text-align:left;margin-left:80.2pt;margin-top:35.4pt;width:45.35pt;height:48.35pt;z-index:-125829350;mso-wrap-distance-left:83.75pt;mso-wrap-distance-top:9.25pt;mso-wrap-distance-right:150.25pt;mso-wrap-distance-bottom:20pt;mso-position-horizontal-relative:margin" filled="f" stroked="f">
            <v:textbox style="mso-fit-shape-to-text:t" inset="0,0,0,0">
              <w:txbxContent>
                <w:p w:rsidR="00BB7EDA" w:rsidRDefault="007D72B3">
                  <w:pPr>
                    <w:pStyle w:val="Bodytext20"/>
                    <w:shd w:val="clear" w:color="auto" w:fill="auto"/>
                    <w:spacing w:before="0" w:line="226" w:lineRule="exact"/>
                    <w:jc w:val="left"/>
                  </w:pPr>
                  <w:r>
                    <w:rPr>
                      <w:rStyle w:val="Bodytext2Exact"/>
                    </w:rPr>
                    <w:t>paräsum</w:t>
                  </w:r>
                </w:p>
                <w:p w:rsidR="00BB7EDA" w:rsidRDefault="007D72B3">
                  <w:pPr>
                    <w:pStyle w:val="Bodytext20"/>
                    <w:shd w:val="clear" w:color="auto" w:fill="auto"/>
                    <w:spacing w:before="0" w:line="226" w:lineRule="exact"/>
                    <w:jc w:val="left"/>
                  </w:pPr>
                  <w:r>
                    <w:rPr>
                      <w:rStyle w:val="Bodytext2Exact"/>
                    </w:rPr>
                    <w:t>naprusum</w:t>
                  </w:r>
                </w:p>
                <w:p w:rsidR="00BB7EDA" w:rsidRDefault="007D72B3">
                  <w:pPr>
                    <w:pStyle w:val="Bodytext20"/>
                    <w:shd w:val="clear" w:color="auto" w:fill="auto"/>
                    <w:spacing w:before="0" w:line="226" w:lineRule="exact"/>
                    <w:jc w:val="left"/>
                  </w:pPr>
                  <w:r>
                    <w:rPr>
                      <w:rStyle w:val="Bodytext2Exact"/>
                    </w:rPr>
                    <w:t>purrusum</w:t>
                  </w:r>
                </w:p>
                <w:p w:rsidR="00BB7EDA" w:rsidRDefault="007D72B3">
                  <w:pPr>
                    <w:pStyle w:val="Bodytext20"/>
                    <w:shd w:val="clear" w:color="auto" w:fill="auto"/>
                    <w:spacing w:before="0" w:line="226" w:lineRule="exact"/>
                    <w:jc w:val="left"/>
                  </w:pPr>
                  <w:r>
                    <w:rPr>
                      <w:rStyle w:val="Bodytext2Exact"/>
                    </w:rPr>
                    <w:t>suprusum</w:t>
                  </w:r>
                </w:p>
              </w:txbxContent>
            </v:textbox>
            <w10:wrap type="topAndBottom" anchorx="margin"/>
          </v:shape>
        </w:pict>
      </w:r>
      <w:r>
        <w:t>In allen Verbalstämmen kann ein Infinitiv konstruiert werden. Fer</w:t>
      </w:r>
      <w:r>
        <w:softHyphen/>
        <w:t>ner wird oft auch eine Deklination desselben im Genitiv verwendet.</w:t>
      </w:r>
    </w:p>
    <w:p w:rsidR="00BB7EDA" w:rsidRDefault="007D72B3">
      <w:pPr>
        <w:pStyle w:val="Bodytext100"/>
        <w:numPr>
          <w:ilvl w:val="0"/>
          <w:numId w:val="148"/>
        </w:numPr>
        <w:shd w:val="clear" w:color="auto" w:fill="auto"/>
        <w:tabs>
          <w:tab w:val="left" w:pos="730"/>
        </w:tabs>
        <w:spacing w:before="0"/>
        <w:ind w:left="320" w:hanging="320"/>
      </w:pPr>
      <w:r>
        <w:t xml:space="preserve">Die Gt- , </w:t>
      </w:r>
      <w:r>
        <w:t>Dt- und St-Stämme</w:t>
      </w:r>
    </w:p>
    <w:p w:rsidR="00BB7EDA" w:rsidRDefault="007D72B3">
      <w:pPr>
        <w:pStyle w:val="Bodytext20"/>
        <w:shd w:val="clear" w:color="auto" w:fill="auto"/>
        <w:spacing w:before="0" w:after="180" w:line="226" w:lineRule="exact"/>
      </w:pPr>
      <w:r>
        <w:t>Das akkadische Verb kennt für alle Tempi bzw. Aspekte, Partizipien, Imperative und Infinitive der G- , D- und S-Stämme Formen mit einem to-Infix. Durch dieses Bildeelement entstehen neue Verbal</w:t>
      </w:r>
      <w:r>
        <w:softHyphen/>
        <w:t>stämme. Im Gt-Stamm wird die Handlung als re</w:t>
      </w:r>
      <w:r>
        <w:t xml:space="preserve">ziprok oder als ein nachfolgender Vorgang beschrieben, </w:t>
      </w:r>
      <w:r>
        <w:rPr>
          <w:rStyle w:val="Bodytext2Italic0"/>
        </w:rPr>
        <w:t>iprus</w:t>
      </w:r>
      <w:r>
        <w:t xml:space="preserve"> („er schied") z.B., lautet mit ta-Infix </w:t>
      </w:r>
      <w:r>
        <w:rPr>
          <w:rStyle w:val="Bodytext2Italic0"/>
        </w:rPr>
        <w:t>iptaras</w:t>
      </w:r>
      <w:r>
        <w:t xml:space="preserve"> = „er schied daraufhin". Die Pluralform </w:t>
      </w:r>
      <w:r>
        <w:rPr>
          <w:rStyle w:val="Bodytext2Italic0"/>
        </w:rPr>
        <w:t xml:space="preserve">iptarasu </w:t>
      </w:r>
      <w:r>
        <w:t>kann „sie schieden einander" bedeuten. Die Dt- und St-Stämme haben passivische Bedeutung.</w:t>
      </w:r>
    </w:p>
    <w:p w:rsidR="00BB7EDA" w:rsidRDefault="007D72B3">
      <w:pPr>
        <w:pStyle w:val="Bodytext100"/>
        <w:numPr>
          <w:ilvl w:val="0"/>
          <w:numId w:val="148"/>
        </w:numPr>
        <w:shd w:val="clear" w:color="auto" w:fill="auto"/>
        <w:tabs>
          <w:tab w:val="left" w:pos="745"/>
        </w:tabs>
        <w:spacing w:before="0"/>
        <w:ind w:left="320" w:hanging="320"/>
      </w:pPr>
      <w:r>
        <w:t>Die Gtn-</w:t>
      </w:r>
      <w:r>
        <w:t>, Ntn- , Dtn- und Stn-Stämme</w:t>
      </w:r>
    </w:p>
    <w:p w:rsidR="00BB7EDA" w:rsidRDefault="007D72B3">
      <w:pPr>
        <w:pStyle w:val="Bodytext20"/>
        <w:shd w:val="clear" w:color="auto" w:fill="auto"/>
        <w:spacing w:before="0" w:after="180" w:line="226" w:lineRule="exact"/>
      </w:pPr>
      <w:r>
        <w:t>Durch das Einschieben eines tan-Infix in den G- , N- , D-, und S- Stamm (in allen Tempi, Partizipien etc.) entstehen vier weitere Verbalstämme. Diese Stämme haben iterative Bedeutung. Ein Bei</w:t>
      </w:r>
      <w:r>
        <w:softHyphen/>
        <w:t>spiel mag klären, was damit gemeint</w:t>
      </w:r>
      <w:r>
        <w:t xml:space="preserve"> ist: </w:t>
      </w:r>
      <w:r>
        <w:rPr>
          <w:rStyle w:val="Bodytext2Italic0"/>
        </w:rPr>
        <w:t>iparras</w:t>
      </w:r>
      <w:r>
        <w:t xml:space="preserve"> (= „er scheidet") mit tan-Infix lautet </w:t>
      </w:r>
      <w:r>
        <w:rPr>
          <w:rStyle w:val="Bodytext2Italic0"/>
        </w:rPr>
        <w:t>iptanarras</w:t>
      </w:r>
      <w:r>
        <w:t xml:space="preserve"> und bedeutet „er scheidet immer wieder".</w:t>
      </w:r>
    </w:p>
    <w:p w:rsidR="00BB7EDA" w:rsidRDefault="007D72B3">
      <w:pPr>
        <w:pStyle w:val="Bodytext100"/>
        <w:numPr>
          <w:ilvl w:val="0"/>
          <w:numId w:val="148"/>
        </w:numPr>
        <w:shd w:val="clear" w:color="auto" w:fill="auto"/>
        <w:tabs>
          <w:tab w:val="left" w:pos="745"/>
        </w:tabs>
        <w:spacing w:before="0"/>
        <w:ind w:left="320" w:hanging="320"/>
      </w:pPr>
      <w:r>
        <w:t>Pronominalsuffixe</w:t>
      </w:r>
    </w:p>
    <w:p w:rsidR="00BB7EDA" w:rsidRDefault="007D72B3">
      <w:pPr>
        <w:pStyle w:val="Bodytext20"/>
        <w:shd w:val="clear" w:color="auto" w:fill="auto"/>
        <w:spacing w:before="0" w:after="225" w:line="226" w:lineRule="exact"/>
      </w:pPr>
      <w:r>
        <w:t xml:space="preserve">Ein weiteres interessantes Merkmal des akkadischen Verbs ist die Tatsache, dass Pronomen im Dativ und Akkusativ in Form von Suffixen </w:t>
      </w:r>
      <w:r>
        <w:t>angehängt werden können. Dadurch können recht kompli</w:t>
      </w:r>
      <w:r>
        <w:softHyphen/>
        <w:t xml:space="preserve">zierte Formen entstehen. Ein Beispiel mag hier von Nutzen sein: </w:t>
      </w:r>
      <w:r>
        <w:rPr>
          <w:rStyle w:val="Bodytext2Italic0"/>
        </w:rPr>
        <w:t>atrudakkussu</w:t>
      </w:r>
      <w:r>
        <w:t xml:space="preserve"> bedeutet „ich sandte ihn zu dir" (= 1. Pers. Sing. Präteritum von </w:t>
      </w:r>
      <w:r>
        <w:rPr>
          <w:rStyle w:val="Bodytext2Italic0"/>
        </w:rPr>
        <w:t>taradum</w:t>
      </w:r>
      <w:r>
        <w:t xml:space="preserve"> im Ventiv, mit Dativ- und Akkusativsuffix).</w:t>
      </w:r>
    </w:p>
    <w:p w:rsidR="00BB7EDA" w:rsidRDefault="007D72B3">
      <w:pPr>
        <w:pStyle w:val="Bodytext100"/>
        <w:numPr>
          <w:ilvl w:val="0"/>
          <w:numId w:val="148"/>
        </w:numPr>
        <w:shd w:val="clear" w:color="auto" w:fill="auto"/>
        <w:tabs>
          <w:tab w:val="left" w:pos="750"/>
        </w:tabs>
        <w:spacing w:before="0" w:after="21" w:line="170" w:lineRule="exact"/>
        <w:ind w:left="320" w:hanging="320"/>
      </w:pPr>
      <w:r>
        <w:t>Wunschformen</w:t>
      </w:r>
    </w:p>
    <w:p w:rsidR="00BB7EDA" w:rsidRDefault="007D72B3">
      <w:pPr>
        <w:pStyle w:val="Bodytext20"/>
        <w:shd w:val="clear" w:color="auto" w:fill="auto"/>
        <w:spacing w:before="0" w:after="218" w:line="180" w:lineRule="exact"/>
        <w:ind w:left="320" w:hanging="320"/>
      </w:pPr>
      <w:r>
        <w:t>Nebst dem Imperativ kennt das Akkadische diverse Wunschformen:</w:t>
      </w:r>
    </w:p>
    <w:p w:rsidR="00BB7EDA" w:rsidRDefault="007D72B3">
      <w:pPr>
        <w:pStyle w:val="Bodytext20"/>
        <w:numPr>
          <w:ilvl w:val="0"/>
          <w:numId w:val="149"/>
        </w:numPr>
        <w:shd w:val="clear" w:color="auto" w:fill="auto"/>
        <w:tabs>
          <w:tab w:val="left" w:pos="295"/>
        </w:tabs>
        <w:spacing w:before="0" w:line="226" w:lineRule="exact"/>
        <w:ind w:left="320" w:hanging="320"/>
      </w:pPr>
      <w:r>
        <w:rPr>
          <w:rStyle w:val="Bodytext2Italic0"/>
        </w:rPr>
        <w:t>Prekativ:</w:t>
      </w:r>
      <w:r>
        <w:t xml:space="preserve"> Er wird durch das Präfix </w:t>
      </w:r>
      <w:r>
        <w:rPr>
          <w:rStyle w:val="Bodytext2Italic0"/>
        </w:rPr>
        <w:t>li-</w:t>
      </w:r>
      <w:r>
        <w:t xml:space="preserve"> bei der 3. Person gebildet (z.B. </w:t>
      </w:r>
      <w:r>
        <w:rPr>
          <w:rStyle w:val="Bodytext2Italic0"/>
        </w:rPr>
        <w:t>liprus =</w:t>
      </w:r>
      <w:r>
        <w:t xml:space="preserve"> „er soll scheiden").</w:t>
      </w:r>
    </w:p>
    <w:p w:rsidR="00BB7EDA" w:rsidRDefault="007D72B3">
      <w:pPr>
        <w:pStyle w:val="Bodytext20"/>
        <w:numPr>
          <w:ilvl w:val="0"/>
          <w:numId w:val="149"/>
        </w:numPr>
        <w:shd w:val="clear" w:color="auto" w:fill="auto"/>
        <w:tabs>
          <w:tab w:val="left" w:pos="295"/>
        </w:tabs>
        <w:spacing w:before="0" w:after="180" w:line="226" w:lineRule="exact"/>
        <w:ind w:left="320" w:hanging="320"/>
      </w:pPr>
      <w:r>
        <w:rPr>
          <w:rStyle w:val="Bodytext2Italic0"/>
        </w:rPr>
        <w:t>Voluntativ:</w:t>
      </w:r>
      <w:r>
        <w:t xml:space="preserve"> Dies ist eine Wunschform der 1. Person Singular. Diese Form wir durch das Präfix </w:t>
      </w:r>
      <w:r>
        <w:rPr>
          <w:rStyle w:val="Bodytext2Italic0"/>
        </w:rPr>
        <w:t>lu-</w:t>
      </w:r>
      <w:r>
        <w:t xml:space="preserve"> gebildet (z.B. </w:t>
      </w:r>
      <w:r>
        <w:rPr>
          <w:rStyle w:val="Bodytext2Italic0"/>
        </w:rPr>
        <w:t>luprus</w:t>
      </w:r>
      <w:r>
        <w:t xml:space="preserve"> = „ich will scheiden").</w:t>
      </w:r>
    </w:p>
    <w:p w:rsidR="00BB7EDA" w:rsidRDefault="007D72B3">
      <w:pPr>
        <w:pStyle w:val="Bodytext20"/>
        <w:shd w:val="clear" w:color="auto" w:fill="auto"/>
        <w:spacing w:before="0" w:line="226" w:lineRule="exact"/>
        <w:ind w:firstLine="320"/>
      </w:pPr>
      <w:r>
        <w:t>Es gibt im Akkadischen noch weitere Verbalstämme, die jedoch selten sind. Somit ergeben sich auch für diese Sprache, wie für</w:t>
      </w:r>
      <w:r>
        <w:t xml:space="preserve"> das Sumerische, Tausende von verschiedenen möglichen Verbalformen. Sieht man von den Pronominalsuffixen einmal ab, so kommt man auf ca. 1.000 verschiedene mögliche Formen. Wenn man die Pro</w:t>
      </w:r>
      <w:r>
        <w:softHyphen/>
        <w:t>nominalsuffixformen jedoch mitzählt, so wird die genannte Zahl dur</w:t>
      </w:r>
      <w:r>
        <w:t>ch die vielen Kombinationsmöglichkeiten massiv vervielfacht.</w:t>
      </w:r>
    </w:p>
    <w:p w:rsidR="00BB7EDA" w:rsidRDefault="007D72B3">
      <w:pPr>
        <w:pStyle w:val="Heading40"/>
        <w:keepNext/>
        <w:keepLines/>
        <w:numPr>
          <w:ilvl w:val="1"/>
          <w:numId w:val="138"/>
        </w:numPr>
        <w:shd w:val="clear" w:color="auto" w:fill="auto"/>
        <w:tabs>
          <w:tab w:val="left" w:pos="390"/>
        </w:tabs>
        <w:spacing w:after="177" w:line="210" w:lineRule="exact"/>
      </w:pPr>
      <w:bookmarkStart w:id="77" w:name="bookmark76"/>
      <w:r>
        <w:t>Das Ägyptische</w:t>
      </w:r>
      <w:bookmarkEnd w:id="77"/>
    </w:p>
    <w:p w:rsidR="00BB7EDA" w:rsidRDefault="007D72B3">
      <w:pPr>
        <w:pStyle w:val="Bodytext20"/>
        <w:shd w:val="clear" w:color="auto" w:fill="auto"/>
        <w:spacing w:before="0"/>
      </w:pPr>
      <w:r>
        <w:t xml:space="preserve">Mit dem Begriff </w:t>
      </w:r>
      <w:r>
        <w:rPr>
          <w:rStyle w:val="Bodytext2Italic0"/>
        </w:rPr>
        <w:t>Ägyptisch</w:t>
      </w:r>
      <w:r>
        <w:t xml:space="preserve"> ist hier nicht der heute in Ägypten gespro</w:t>
      </w:r>
      <w:r>
        <w:softHyphen/>
        <w:t>chene arabische Dialekt gemeint, der im Zuge der islamischen Er</w:t>
      </w:r>
      <w:r>
        <w:softHyphen/>
        <w:t>oberung der dortigen Bevölkerung aufgezwungen w</w:t>
      </w:r>
      <w:r>
        <w:t>orden ist. Es geht um die schon von den Ägyptern der Frühgeschichte benutzte Sprache.</w:t>
      </w:r>
      <w:r>
        <w:rPr>
          <w:vertAlign w:val="superscript"/>
        </w:rPr>
        <w:footnoteReference w:id="301"/>
      </w:r>
      <w:r>
        <w:t xml:space="preserve"> Die ältesten schriftlichen Dokumente der alten Ägypter stammen aus der Zeit der 1. Dynastie, um ca. 2900 v. Chr. Diese Zeugnisse sind fast alle in Hieroglyphenschrift ve</w:t>
      </w:r>
      <w:r>
        <w:t>rfasst.</w:t>
      </w:r>
    </w:p>
    <w:p w:rsidR="00BB7EDA" w:rsidRDefault="007D72B3">
      <w:pPr>
        <w:pStyle w:val="Bodytext20"/>
        <w:shd w:val="clear" w:color="auto" w:fill="auto"/>
        <w:spacing w:before="0" w:after="460"/>
        <w:ind w:firstLine="320"/>
      </w:pPr>
      <w:r>
        <w:t>Die jüngste Sprachstufe des Ägyptischen ist unter der Bezeich</w:t>
      </w:r>
      <w:r>
        <w:softHyphen/>
        <w:t xml:space="preserve">nung </w:t>
      </w:r>
      <w:r>
        <w:rPr>
          <w:rStyle w:val="Bodytext2Italic0"/>
        </w:rPr>
        <w:t>Koptisch</w:t>
      </w:r>
      <w:r>
        <w:t xml:space="preserve"> bekannt. Lange glaubte man, dass das Koptische bereits vor einigen Jahrhunderten völlig ausgestorben sei. Doch 1936 entdeckte </w:t>
      </w:r>
      <w:r>
        <w:rPr>
          <w:rStyle w:val="Bodytext28ptSmallCaps"/>
        </w:rPr>
        <w:t xml:space="preserve">Vycichl, </w:t>
      </w:r>
      <w:r>
        <w:t>dass es selbst im 20. Jahrhundert imm</w:t>
      </w:r>
      <w:r>
        <w:t>er noch gewisse Dörfer in Oberägypten gab, die nach wie vor eine lebendige Tradition des Koptischen erhalten hatten!</w:t>
      </w:r>
      <w:r>
        <w:rPr>
          <w:vertAlign w:val="superscript"/>
        </w:rPr>
        <w:footnoteReference w:id="302"/>
      </w:r>
      <w:r>
        <w:t xml:space="preserve"> Somit ist die Sprachgeschichte des Ägyptischen über ca. 5.000 Jahre hinweg er</w:t>
      </w:r>
      <w:r>
        <w:softHyphen/>
        <w:t>forschbar.</w:t>
      </w:r>
    </w:p>
    <w:p w:rsidR="00BB7EDA" w:rsidRDefault="007D72B3">
      <w:pPr>
        <w:pStyle w:val="Heading50"/>
        <w:keepNext/>
        <w:keepLines/>
        <w:numPr>
          <w:ilvl w:val="2"/>
          <w:numId w:val="138"/>
        </w:numPr>
        <w:shd w:val="clear" w:color="auto" w:fill="auto"/>
        <w:tabs>
          <w:tab w:val="left" w:pos="490"/>
        </w:tabs>
        <w:spacing w:after="183" w:line="180" w:lineRule="exact"/>
      </w:pPr>
      <w:bookmarkStart w:id="78" w:name="bookmark77"/>
      <w:r>
        <w:t>Perioden der Sprachgeschichte</w:t>
      </w:r>
      <w:bookmarkEnd w:id="78"/>
    </w:p>
    <w:p w:rsidR="00BB7EDA" w:rsidRDefault="007D72B3">
      <w:pPr>
        <w:pStyle w:val="Bodytext20"/>
        <w:shd w:val="clear" w:color="auto" w:fill="auto"/>
        <w:spacing w:before="0" w:after="160"/>
      </w:pPr>
      <w:r>
        <w:t>Das Ägyptische kann</w:t>
      </w:r>
      <w:r>
        <w:t xml:space="preserve"> in folgende Haupt-Perioden eingeteilt wer</w:t>
      </w:r>
      <w:r>
        <w:softHyphen/>
        <w:t>den:</w:t>
      </w:r>
      <w:r>
        <w:rPr>
          <w:vertAlign w:val="superscript"/>
        </w:rPr>
        <w:footnoteReference w:id="303"/>
      </w:r>
    </w:p>
    <w:p w:rsidR="00BB7EDA" w:rsidRDefault="007D72B3">
      <w:pPr>
        <w:pStyle w:val="Bodytext20"/>
        <w:numPr>
          <w:ilvl w:val="0"/>
          <w:numId w:val="150"/>
        </w:numPr>
        <w:shd w:val="clear" w:color="auto" w:fill="auto"/>
        <w:tabs>
          <w:tab w:val="left" w:pos="329"/>
        </w:tabs>
        <w:spacing w:before="0" w:after="79" w:line="180" w:lineRule="exact"/>
      </w:pPr>
      <w:r>
        <w:rPr>
          <w:rStyle w:val="Bodytext2Italic0"/>
        </w:rPr>
        <w:t>Frühägyptisch:</w:t>
      </w:r>
      <w:r>
        <w:t xml:space="preserve"> 1.-2. Dynastie, ca. 2900 - ca. 2620 v. Chr.</w:t>
      </w:r>
      <w:r>
        <w:rPr>
          <w:vertAlign w:val="superscript"/>
        </w:rPr>
        <w:footnoteReference w:id="304"/>
      </w:r>
    </w:p>
    <w:p w:rsidR="00BB7EDA" w:rsidRDefault="007D72B3">
      <w:pPr>
        <w:pStyle w:val="Bodytext20"/>
        <w:numPr>
          <w:ilvl w:val="0"/>
          <w:numId w:val="150"/>
        </w:numPr>
        <w:shd w:val="clear" w:color="auto" w:fill="auto"/>
        <w:tabs>
          <w:tab w:val="left" w:pos="329"/>
        </w:tabs>
        <w:spacing w:before="0" w:line="180" w:lineRule="exact"/>
      </w:pPr>
      <w:r>
        <w:rPr>
          <w:rStyle w:val="Bodytext2Italic0"/>
        </w:rPr>
        <w:t>Altägyptisch:</w:t>
      </w:r>
      <w:r>
        <w:t xml:space="preserve"> 3.-10. Dynastie, ca. 2620 - ca. 2100 v. Chr.</w:t>
      </w:r>
      <w:r>
        <w:rPr>
          <w:vertAlign w:val="superscript"/>
        </w:rPr>
        <w:footnoteReference w:id="305"/>
      </w:r>
    </w:p>
    <w:p w:rsidR="00BB7EDA" w:rsidRDefault="007D72B3">
      <w:pPr>
        <w:pStyle w:val="Bodytext20"/>
        <w:numPr>
          <w:ilvl w:val="0"/>
          <w:numId w:val="150"/>
        </w:numPr>
        <w:shd w:val="clear" w:color="auto" w:fill="auto"/>
        <w:tabs>
          <w:tab w:val="left" w:pos="348"/>
        </w:tabs>
        <w:spacing w:before="0" w:line="307" w:lineRule="exact"/>
      </w:pPr>
      <w:r>
        <w:rPr>
          <w:rStyle w:val="Bodytext2Italic0"/>
        </w:rPr>
        <w:t>Mittelägyptisch:</w:t>
      </w:r>
      <w:r>
        <w:t xml:space="preserve"> 11.-13. Dynastie, ab ca. 2100 v. Chr.</w:t>
      </w:r>
      <w:r>
        <w:rPr>
          <w:vertAlign w:val="superscript"/>
        </w:rPr>
        <w:footnoteReference w:id="306"/>
      </w:r>
    </w:p>
    <w:p w:rsidR="00BB7EDA" w:rsidRDefault="007D72B3">
      <w:pPr>
        <w:pStyle w:val="Bodytext20"/>
        <w:numPr>
          <w:ilvl w:val="0"/>
          <w:numId w:val="150"/>
        </w:numPr>
        <w:shd w:val="clear" w:color="auto" w:fill="auto"/>
        <w:tabs>
          <w:tab w:val="left" w:pos="348"/>
        </w:tabs>
        <w:spacing w:before="0" w:line="307" w:lineRule="exact"/>
      </w:pPr>
      <w:r>
        <w:rPr>
          <w:rStyle w:val="Bodytext2Italic0"/>
        </w:rPr>
        <w:t>Neuägyptisch:</w:t>
      </w:r>
      <w:r>
        <w:t xml:space="preserve"> 18.-26. Dynastie,</w:t>
      </w:r>
      <w:r>
        <w:rPr>
          <w:vertAlign w:val="superscript"/>
        </w:rPr>
        <w:footnoteReference w:id="307"/>
      </w:r>
      <w:r>
        <w:t xml:space="preserve"> 1018 - 570 v. Chr.</w:t>
      </w:r>
    </w:p>
    <w:p w:rsidR="00BB7EDA" w:rsidRDefault="007D72B3">
      <w:pPr>
        <w:pStyle w:val="Bodytext20"/>
        <w:numPr>
          <w:ilvl w:val="0"/>
          <w:numId w:val="150"/>
        </w:numPr>
        <w:shd w:val="clear" w:color="auto" w:fill="auto"/>
        <w:tabs>
          <w:tab w:val="left" w:pos="348"/>
        </w:tabs>
        <w:spacing w:before="0" w:after="402" w:line="307" w:lineRule="exact"/>
        <w:ind w:right="560"/>
        <w:jc w:val="left"/>
      </w:pPr>
      <w:r>
        <w:rPr>
          <w:rStyle w:val="Bodytext2Italic0"/>
        </w:rPr>
        <w:t>Demotisch:</w:t>
      </w:r>
      <w:r>
        <w:t xml:space="preserve"> ab der 26. Dynastie, 7 Jh. v . Chr. -1. Jh. n. Chr. </w:t>
      </w:r>
      <w:r>
        <w:rPr>
          <w:rStyle w:val="Bodytext2Italic0"/>
        </w:rPr>
        <w:t>fl Koptisch: 2. -</w:t>
      </w:r>
      <w:r>
        <w:t xml:space="preserve"> 20. Jh. n. Chr.</w:t>
      </w:r>
    </w:p>
    <w:p w:rsidR="00BB7EDA" w:rsidRDefault="007D72B3">
      <w:pPr>
        <w:pStyle w:val="Heading50"/>
        <w:keepNext/>
        <w:keepLines/>
        <w:numPr>
          <w:ilvl w:val="2"/>
          <w:numId w:val="138"/>
        </w:numPr>
        <w:shd w:val="clear" w:color="auto" w:fill="auto"/>
        <w:tabs>
          <w:tab w:val="left" w:pos="505"/>
        </w:tabs>
        <w:spacing w:after="218" w:line="180" w:lineRule="exact"/>
      </w:pPr>
      <w:bookmarkStart w:id="79" w:name="bookmark78"/>
      <w:r>
        <w:t>Zur Wiederentdeckung der Hieroglyphenschrift</w:t>
      </w:r>
      <w:bookmarkEnd w:id="79"/>
    </w:p>
    <w:p w:rsidR="00BB7EDA" w:rsidRDefault="007D72B3">
      <w:pPr>
        <w:pStyle w:val="Bodytext20"/>
        <w:shd w:val="clear" w:color="auto" w:fill="auto"/>
        <w:spacing w:before="0" w:line="226" w:lineRule="exact"/>
      </w:pPr>
      <w:r>
        <w:t>Viele Jahrhunderte hindurch war die Kenntnis der Hieroglyphen</w:t>
      </w:r>
      <w:r>
        <w:softHyphen/>
        <w:t>schrift in völlige Vergessenhei</w:t>
      </w:r>
      <w:r>
        <w:t>t geraten. Die Entzifferung dieser lange als mysteriös betrachteten Zeichen gelang erst im 19. Jahrhun</w:t>
      </w:r>
      <w:r>
        <w:softHyphen/>
        <w:t>dert. Dank der Entdeckung des Steines von Rosetta im Jahr 1799, einer in drei verschiedenen Schriften (hieroglyphisch, demotisch und griechisch) abgefass</w:t>
      </w:r>
      <w:r>
        <w:t xml:space="preserve">ten zweisprachigen Inschrift (ägyptisch, griechisch) gelang es dem jungen Franzosen J.F. </w:t>
      </w:r>
      <w:r>
        <w:rPr>
          <w:rStyle w:val="Bodytext28ptSmallCaps"/>
        </w:rPr>
        <w:t xml:space="preserve">Champollion </w:t>
      </w:r>
      <w:r>
        <w:t>um 1822, die harte Nuss zu knacken. Damit war die Grundlage zur Entstehung der modernen Ägyptologie gelegt worden.</w:t>
      </w:r>
    </w:p>
    <w:p w:rsidR="00BB7EDA" w:rsidRDefault="007D72B3">
      <w:pPr>
        <w:pStyle w:val="Bodytext20"/>
        <w:shd w:val="clear" w:color="auto" w:fill="auto"/>
        <w:spacing w:before="0" w:line="226" w:lineRule="exact"/>
        <w:ind w:firstLine="360"/>
      </w:pPr>
      <w:r>
        <w:t>Die Geschichte der Erforschung des Ägypt</w:t>
      </w:r>
      <w:r>
        <w:t>ischen zerfällt in drei Perioden:</w:t>
      </w:r>
    </w:p>
    <w:p w:rsidR="00BB7EDA" w:rsidRDefault="007D72B3">
      <w:pPr>
        <w:pStyle w:val="Bodytext20"/>
        <w:shd w:val="clear" w:color="auto" w:fill="auto"/>
        <w:spacing w:before="0" w:after="337" w:line="226" w:lineRule="exact"/>
        <w:ind w:firstLine="360"/>
      </w:pPr>
      <w:r>
        <w:t xml:space="preserve">Die durch </w:t>
      </w:r>
      <w:r>
        <w:rPr>
          <w:rStyle w:val="Bodytext28ptSmallCaps"/>
        </w:rPr>
        <w:t xml:space="preserve">Champollion </w:t>
      </w:r>
      <w:r>
        <w:t>(1790-1832) initierte Pionierphase dauer</w:t>
      </w:r>
      <w:r>
        <w:softHyphen/>
        <w:t xml:space="preserve">te bis in die Siebzigerjahre des 19. Jahrhunderts. Danach folgte die Etappe 2 mit Adolf </w:t>
      </w:r>
      <w:r>
        <w:rPr>
          <w:rStyle w:val="Bodytext28ptSmallCaps"/>
        </w:rPr>
        <w:t xml:space="preserve">Erman </w:t>
      </w:r>
      <w:r>
        <w:t xml:space="preserve">(1854-1937), Kurt </w:t>
      </w:r>
      <w:r>
        <w:rPr>
          <w:rStyle w:val="Bodytext28ptSmallCaps"/>
        </w:rPr>
        <w:t xml:space="preserve">Sethe </w:t>
      </w:r>
      <w:r>
        <w:t xml:space="preserve">(1869-1934), Georg </w:t>
      </w:r>
      <w:r>
        <w:rPr>
          <w:rStyle w:val="Bodytext28ptSmallCaps"/>
        </w:rPr>
        <w:t xml:space="preserve">Steindorf </w:t>
      </w:r>
      <w:r>
        <w:t xml:space="preserve">(1861-1951), Battiscombe </w:t>
      </w:r>
      <w:r>
        <w:rPr>
          <w:rStyle w:val="Bodytext28ptSmallCaps"/>
        </w:rPr>
        <w:t xml:space="preserve">Gunn </w:t>
      </w:r>
      <w:r>
        <w:t xml:space="preserve">(1883-1950) und Alan </w:t>
      </w:r>
      <w:r>
        <w:rPr>
          <w:rStyle w:val="Bodytext28ptSmallCaps"/>
        </w:rPr>
        <w:t xml:space="preserve">Gardiner </w:t>
      </w:r>
      <w:r>
        <w:t xml:space="preserve">(1879-1963). Diese Größen legten das systematische Grammatik-Fundament der klassisch-ägyptischen Sprache. Hans Jacob </w:t>
      </w:r>
      <w:r>
        <w:rPr>
          <w:rStyle w:val="Bodytext28ptSmallCaps"/>
        </w:rPr>
        <w:t xml:space="preserve">Polotsky </w:t>
      </w:r>
      <w:r>
        <w:t>(1905-1991) eröffnete mit seiner „Standardtheorie" seit den Vierzigerj</w:t>
      </w:r>
      <w:r>
        <w:t>ahren des 20. Jahrhunderts die dritte Periode.</w:t>
      </w:r>
    </w:p>
    <w:p w:rsidR="00BB7EDA" w:rsidRDefault="007D72B3">
      <w:pPr>
        <w:pStyle w:val="Heading50"/>
        <w:keepNext/>
        <w:keepLines/>
        <w:numPr>
          <w:ilvl w:val="2"/>
          <w:numId w:val="138"/>
        </w:numPr>
        <w:shd w:val="clear" w:color="auto" w:fill="auto"/>
        <w:tabs>
          <w:tab w:val="left" w:pos="500"/>
        </w:tabs>
        <w:spacing w:after="243" w:line="180" w:lineRule="exact"/>
      </w:pPr>
      <w:bookmarkStart w:id="80" w:name="bookmark79"/>
      <w:r>
        <w:t>Zur Einordnung des Ägyptischen</w:t>
      </w:r>
      <w:bookmarkEnd w:id="80"/>
    </w:p>
    <w:p w:rsidR="00BB7EDA" w:rsidRDefault="007D72B3">
      <w:pPr>
        <w:pStyle w:val="Bodytext20"/>
        <w:shd w:val="clear" w:color="auto" w:fill="auto"/>
        <w:spacing w:before="0"/>
      </w:pPr>
      <w:r>
        <w:t xml:space="preserve">Die Sprache der alten Ägypter stellte sich als eine </w:t>
      </w:r>
      <w:r>
        <w:rPr>
          <w:rStyle w:val="Bodytext2Italic0"/>
        </w:rPr>
        <w:t>hamito-semitische Sprache</w:t>
      </w:r>
      <w:r>
        <w:t xml:space="preserve"> heraus. Das Ägyptische nimmt dabei gewissermaßen eine Mittelstellung zwischen den semitischen (z.B. </w:t>
      </w:r>
      <w:r>
        <w:t>Akkadisch, Arabisch,</w:t>
      </w:r>
    </w:p>
    <w:p w:rsidR="00BB7EDA" w:rsidRDefault="007D72B3">
      <w:pPr>
        <w:framePr w:h="1891" w:wrap="notBeside" w:vAnchor="text" w:hAnchor="text" w:xAlign="center" w:y="1"/>
        <w:jc w:val="center"/>
        <w:rPr>
          <w:sz w:val="2"/>
          <w:szCs w:val="2"/>
        </w:rPr>
      </w:pPr>
      <w:r>
        <w:fldChar w:fldCharType="begin"/>
      </w:r>
      <w:r>
        <w:instrText xml:space="preserve"> </w:instrText>
      </w:r>
      <w:r>
        <w:instrText>INCLUDEPICTURE  "X:\\sk\\NextUpload116\\Webserver\\german\\RogerLiebi\\media\\image13.jpeg" \* MERGEFORMATINET</w:instrText>
      </w:r>
      <w:r>
        <w:instrText xml:space="preserve"> </w:instrText>
      </w:r>
      <w:r>
        <w:fldChar w:fldCharType="separate"/>
      </w:r>
      <w:r>
        <w:pict>
          <v:shape id="_x0000_i1031" type="#_x0000_t75" style="width:280.5pt;height:95.25pt">
            <v:imagedata r:id="rId104" r:href="rId105"/>
          </v:shape>
        </w:pict>
      </w:r>
      <w:r>
        <w:fldChar w:fldCharType="end"/>
      </w:r>
    </w:p>
    <w:p w:rsidR="00BB7EDA" w:rsidRDefault="007D72B3">
      <w:pPr>
        <w:pStyle w:val="Picturecaption0"/>
        <w:framePr w:h="1891" w:wrap="notBeside" w:vAnchor="text" w:hAnchor="text" w:xAlign="center" w:y="1"/>
        <w:shd w:val="clear" w:color="auto" w:fill="auto"/>
        <w:spacing w:line="150" w:lineRule="exact"/>
      </w:pPr>
      <w:r>
        <w:t xml:space="preserve">Abb. 13 Ägyptischer Text in Hieroglyphenschrift </w:t>
      </w:r>
      <w:r>
        <w:rPr>
          <w:rStyle w:val="PicturecaptionPalatinoLinotype7ptSmallCaps"/>
        </w:rPr>
        <w:t>(Schenkel, S. 298).</w:t>
      </w:r>
    </w:p>
    <w:p w:rsidR="00BB7EDA" w:rsidRDefault="00BB7EDA">
      <w:pPr>
        <w:rPr>
          <w:sz w:val="2"/>
          <w:szCs w:val="2"/>
        </w:rPr>
      </w:pPr>
    </w:p>
    <w:p w:rsidR="00BB7EDA" w:rsidRDefault="007D72B3">
      <w:pPr>
        <w:pStyle w:val="Bodytext20"/>
        <w:shd w:val="clear" w:color="auto" w:fill="auto"/>
        <w:spacing w:before="310" w:after="400"/>
      </w:pPr>
      <w:r>
        <w:t>Hebräisch) und den hamitischen Sprachen (z.B. Ber</w:t>
      </w:r>
      <w:r>
        <w:t>ber-Sprachen, Tschadisch) ein. Sprachtypologisch handelt es sich beim Ägypti</w:t>
      </w:r>
      <w:r>
        <w:softHyphen/>
        <w:t xml:space="preserve">schen um eine </w:t>
      </w:r>
      <w:r>
        <w:rPr>
          <w:rStyle w:val="Bodytext2Italic0"/>
        </w:rPr>
        <w:t>flektierende Sprache.</w:t>
      </w:r>
    </w:p>
    <w:p w:rsidR="00BB7EDA" w:rsidRDefault="007D72B3">
      <w:pPr>
        <w:pStyle w:val="Heading50"/>
        <w:keepNext/>
        <w:keepLines/>
        <w:numPr>
          <w:ilvl w:val="2"/>
          <w:numId w:val="138"/>
        </w:numPr>
        <w:shd w:val="clear" w:color="auto" w:fill="auto"/>
        <w:tabs>
          <w:tab w:val="left" w:pos="500"/>
        </w:tabs>
        <w:spacing w:after="187" w:line="180" w:lineRule="exact"/>
      </w:pPr>
      <w:bookmarkStart w:id="81" w:name="bookmark80"/>
      <w:r>
        <w:t>Zum Nominalsystem</w:t>
      </w:r>
      <w:bookmarkEnd w:id="81"/>
    </w:p>
    <w:p w:rsidR="00BB7EDA" w:rsidRDefault="007D72B3">
      <w:pPr>
        <w:pStyle w:val="Bodytext20"/>
        <w:shd w:val="clear" w:color="auto" w:fill="auto"/>
        <w:spacing w:before="0" w:line="226" w:lineRule="exact"/>
      </w:pPr>
      <w:r>
        <w:t>Im Ägyptischen gibt es zwei Geschlechter: maskulinum und femininum. Des Weiteren werden drei Numeri unterschieden: Sin</w:t>
      </w:r>
      <w:r>
        <w:softHyphen/>
        <w:t>gular,</w:t>
      </w:r>
      <w:r>
        <w:t xml:space="preserve"> Dual (für paarweise auftretende Dinge) und Plural. Ob es Kasusendungen gegeben hat, ist nicht mit letzter Sicherheit zu sagen, da sie in der hieroglyphischen Konsonantenschrift nicht do</w:t>
      </w:r>
      <w:r>
        <w:softHyphen/>
        <w:t>kumentiert sind.</w:t>
      </w:r>
    </w:p>
    <w:p w:rsidR="00BB7EDA" w:rsidRDefault="007D72B3">
      <w:pPr>
        <w:pStyle w:val="Bodytext20"/>
        <w:shd w:val="clear" w:color="auto" w:fill="auto"/>
        <w:spacing w:before="0" w:line="226" w:lineRule="exact"/>
        <w:ind w:firstLine="320"/>
      </w:pPr>
      <w:r>
        <w:t xml:space="preserve">Die folgenden vereinfachten Transkriptionen aus dem </w:t>
      </w:r>
      <w:r>
        <w:t>Ägypti</w:t>
      </w:r>
      <w:r>
        <w:softHyphen/>
        <w:t>schen wiederspiegeln lediglich die hieroglyphische Konsonanten</w:t>
      </w:r>
      <w:r>
        <w:softHyphen/>
        <w:t>schrift, die zur Aussprache notwendigen Vokale sind bewusst weg</w:t>
      </w:r>
      <w:r>
        <w:softHyphen/>
        <w:t>gelassen worden, da sie für die frühen Sprachstufen nicht erschlos</w:t>
      </w:r>
      <w:r>
        <w:softHyphen/>
        <w:t>sen sind.</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5"/>
        <w:gridCol w:w="1392"/>
      </w:tblGrid>
      <w:tr w:rsidR="00BB7EDA">
        <w:tblPrEx>
          <w:tblCellMar>
            <w:top w:w="0" w:type="dxa"/>
            <w:bottom w:w="0" w:type="dxa"/>
          </w:tblCellMar>
        </w:tblPrEx>
        <w:trPr>
          <w:trHeight w:hRule="exact" w:val="235"/>
          <w:jc w:val="center"/>
        </w:trPr>
        <w:tc>
          <w:tcPr>
            <w:tcW w:w="2347" w:type="dxa"/>
            <w:gridSpan w:val="2"/>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jc w:val="left"/>
            </w:pPr>
            <w:r>
              <w:rPr>
                <w:rStyle w:val="Bodytext2Bold0"/>
              </w:rPr>
              <w:t>Singular</w:t>
            </w:r>
          </w:p>
        </w:tc>
      </w:tr>
      <w:tr w:rsidR="00BB7EDA">
        <w:tblPrEx>
          <w:tblCellMar>
            <w:top w:w="0" w:type="dxa"/>
            <w:bottom w:w="0" w:type="dxa"/>
          </w:tblCellMar>
        </w:tblPrEx>
        <w:trPr>
          <w:trHeight w:hRule="exact" w:val="211"/>
          <w:jc w:val="center"/>
        </w:trPr>
        <w:tc>
          <w:tcPr>
            <w:tcW w:w="955" w:type="dxa"/>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jc w:val="left"/>
            </w:pPr>
            <w:r>
              <w:t>mask.</w:t>
            </w:r>
          </w:p>
        </w:tc>
        <w:tc>
          <w:tcPr>
            <w:tcW w:w="1392" w:type="dxa"/>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ind w:left="200"/>
              <w:jc w:val="left"/>
            </w:pPr>
            <w:r>
              <w:t>keine Endung</w:t>
            </w:r>
          </w:p>
        </w:tc>
      </w:tr>
      <w:tr w:rsidR="00BB7EDA">
        <w:tblPrEx>
          <w:tblCellMar>
            <w:top w:w="0" w:type="dxa"/>
            <w:bottom w:w="0" w:type="dxa"/>
          </w:tblCellMar>
        </w:tblPrEx>
        <w:trPr>
          <w:trHeight w:hRule="exact" w:val="360"/>
          <w:jc w:val="center"/>
        </w:trPr>
        <w:tc>
          <w:tcPr>
            <w:tcW w:w="955" w:type="dxa"/>
            <w:shd w:val="clear" w:color="auto" w:fill="FFFFFF"/>
          </w:tcPr>
          <w:p w:rsidR="00BB7EDA" w:rsidRDefault="007D72B3">
            <w:pPr>
              <w:pStyle w:val="Bodytext20"/>
              <w:framePr w:w="2347" w:hSpace="557" w:wrap="notBeside" w:vAnchor="text" w:hAnchor="text" w:xAlign="center" w:y="1"/>
              <w:shd w:val="clear" w:color="auto" w:fill="auto"/>
              <w:spacing w:before="0" w:line="180" w:lineRule="exact"/>
              <w:jc w:val="left"/>
            </w:pPr>
            <w:r>
              <w:t>fern.</w:t>
            </w:r>
          </w:p>
        </w:tc>
        <w:tc>
          <w:tcPr>
            <w:tcW w:w="1392" w:type="dxa"/>
            <w:shd w:val="clear" w:color="auto" w:fill="FFFFFF"/>
          </w:tcPr>
          <w:p w:rsidR="00BB7EDA" w:rsidRDefault="007D72B3">
            <w:pPr>
              <w:pStyle w:val="Bodytext20"/>
              <w:framePr w:w="2347" w:hSpace="557" w:wrap="notBeside" w:vAnchor="text" w:hAnchor="text" w:xAlign="center" w:y="1"/>
              <w:shd w:val="clear" w:color="auto" w:fill="auto"/>
              <w:spacing w:before="0" w:line="180" w:lineRule="exact"/>
              <w:ind w:left="200"/>
              <w:jc w:val="left"/>
            </w:pPr>
            <w:r>
              <w:t xml:space="preserve">Endung </w:t>
            </w:r>
            <w:r>
              <w:rPr>
                <w:rStyle w:val="Bodytext2Italic0"/>
              </w:rPr>
              <w:t>t</w:t>
            </w:r>
          </w:p>
        </w:tc>
      </w:tr>
      <w:tr w:rsidR="00BB7EDA">
        <w:tblPrEx>
          <w:tblCellMar>
            <w:top w:w="0" w:type="dxa"/>
            <w:bottom w:w="0" w:type="dxa"/>
          </w:tblCellMar>
        </w:tblPrEx>
        <w:trPr>
          <w:trHeight w:hRule="exact" w:val="326"/>
          <w:jc w:val="center"/>
        </w:trPr>
        <w:tc>
          <w:tcPr>
            <w:tcW w:w="2347" w:type="dxa"/>
            <w:gridSpan w:val="2"/>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jc w:val="left"/>
            </w:pPr>
            <w:r>
              <w:t>Dual</w:t>
            </w:r>
          </w:p>
        </w:tc>
      </w:tr>
      <w:tr w:rsidR="00BB7EDA">
        <w:tblPrEx>
          <w:tblCellMar>
            <w:top w:w="0" w:type="dxa"/>
            <w:bottom w:w="0" w:type="dxa"/>
          </w:tblCellMar>
        </w:tblPrEx>
        <w:trPr>
          <w:trHeight w:hRule="exact" w:val="250"/>
          <w:jc w:val="center"/>
        </w:trPr>
        <w:tc>
          <w:tcPr>
            <w:tcW w:w="955" w:type="dxa"/>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jc w:val="left"/>
            </w:pPr>
            <w:r>
              <w:t>mask.</w:t>
            </w:r>
          </w:p>
        </w:tc>
        <w:tc>
          <w:tcPr>
            <w:tcW w:w="1392" w:type="dxa"/>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ind w:left="200"/>
              <w:jc w:val="left"/>
            </w:pPr>
            <w:r>
              <w:t xml:space="preserve">Endung </w:t>
            </w:r>
            <w:r>
              <w:rPr>
                <w:rStyle w:val="Bodytext2Italic0"/>
              </w:rPr>
              <w:t>wj</w:t>
            </w:r>
          </w:p>
        </w:tc>
      </w:tr>
      <w:tr w:rsidR="00BB7EDA">
        <w:tblPrEx>
          <w:tblCellMar>
            <w:top w:w="0" w:type="dxa"/>
            <w:bottom w:w="0" w:type="dxa"/>
          </w:tblCellMar>
        </w:tblPrEx>
        <w:trPr>
          <w:trHeight w:hRule="exact" w:val="336"/>
          <w:jc w:val="center"/>
        </w:trPr>
        <w:tc>
          <w:tcPr>
            <w:tcW w:w="955" w:type="dxa"/>
            <w:shd w:val="clear" w:color="auto" w:fill="FFFFFF"/>
          </w:tcPr>
          <w:p w:rsidR="00BB7EDA" w:rsidRDefault="007D72B3">
            <w:pPr>
              <w:pStyle w:val="Bodytext20"/>
              <w:framePr w:w="2347" w:hSpace="557" w:wrap="notBeside" w:vAnchor="text" w:hAnchor="text" w:xAlign="center" w:y="1"/>
              <w:shd w:val="clear" w:color="auto" w:fill="auto"/>
              <w:spacing w:before="0" w:line="180" w:lineRule="exact"/>
              <w:jc w:val="left"/>
            </w:pPr>
            <w:r>
              <w:t>fern.</w:t>
            </w:r>
          </w:p>
        </w:tc>
        <w:tc>
          <w:tcPr>
            <w:tcW w:w="1392" w:type="dxa"/>
            <w:shd w:val="clear" w:color="auto" w:fill="FFFFFF"/>
          </w:tcPr>
          <w:p w:rsidR="00BB7EDA" w:rsidRDefault="007D72B3">
            <w:pPr>
              <w:pStyle w:val="Bodytext20"/>
              <w:framePr w:w="2347" w:hSpace="557" w:wrap="notBeside" w:vAnchor="text" w:hAnchor="text" w:xAlign="center" w:y="1"/>
              <w:shd w:val="clear" w:color="auto" w:fill="auto"/>
              <w:spacing w:before="0" w:line="180" w:lineRule="exact"/>
              <w:ind w:left="200"/>
              <w:jc w:val="left"/>
            </w:pPr>
            <w:r>
              <w:rPr>
                <w:rStyle w:val="Bodytext2Italic0"/>
              </w:rPr>
              <w:t>Endung tj</w:t>
            </w:r>
          </w:p>
        </w:tc>
      </w:tr>
      <w:tr w:rsidR="00BB7EDA">
        <w:tblPrEx>
          <w:tblCellMar>
            <w:top w:w="0" w:type="dxa"/>
            <w:bottom w:w="0" w:type="dxa"/>
          </w:tblCellMar>
        </w:tblPrEx>
        <w:trPr>
          <w:trHeight w:hRule="exact" w:val="322"/>
          <w:jc w:val="center"/>
        </w:trPr>
        <w:tc>
          <w:tcPr>
            <w:tcW w:w="2347" w:type="dxa"/>
            <w:gridSpan w:val="2"/>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jc w:val="left"/>
            </w:pPr>
            <w:r>
              <w:t>Plural</w:t>
            </w:r>
          </w:p>
        </w:tc>
      </w:tr>
      <w:tr w:rsidR="00BB7EDA">
        <w:tblPrEx>
          <w:tblCellMar>
            <w:top w:w="0" w:type="dxa"/>
            <w:bottom w:w="0" w:type="dxa"/>
          </w:tblCellMar>
        </w:tblPrEx>
        <w:trPr>
          <w:trHeight w:hRule="exact" w:val="250"/>
          <w:jc w:val="center"/>
        </w:trPr>
        <w:tc>
          <w:tcPr>
            <w:tcW w:w="955" w:type="dxa"/>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jc w:val="left"/>
            </w:pPr>
            <w:r>
              <w:t>mask.</w:t>
            </w:r>
          </w:p>
        </w:tc>
        <w:tc>
          <w:tcPr>
            <w:tcW w:w="1392" w:type="dxa"/>
            <w:shd w:val="clear" w:color="auto" w:fill="FFFFFF"/>
            <w:vAlign w:val="bottom"/>
          </w:tcPr>
          <w:p w:rsidR="00BB7EDA" w:rsidRDefault="007D72B3">
            <w:pPr>
              <w:pStyle w:val="Bodytext20"/>
              <w:framePr w:w="2347" w:hSpace="557" w:wrap="notBeside" w:vAnchor="text" w:hAnchor="text" w:xAlign="center" w:y="1"/>
              <w:shd w:val="clear" w:color="auto" w:fill="auto"/>
              <w:spacing w:before="0" w:line="180" w:lineRule="exact"/>
              <w:ind w:left="200"/>
              <w:jc w:val="left"/>
            </w:pPr>
            <w:r>
              <w:rPr>
                <w:rStyle w:val="Bodytext2Italic0"/>
              </w:rPr>
              <w:t>Endung iv</w:t>
            </w:r>
          </w:p>
        </w:tc>
      </w:tr>
      <w:tr w:rsidR="00BB7EDA">
        <w:tblPrEx>
          <w:tblCellMar>
            <w:top w:w="0" w:type="dxa"/>
            <w:bottom w:w="0" w:type="dxa"/>
          </w:tblCellMar>
        </w:tblPrEx>
        <w:trPr>
          <w:trHeight w:hRule="exact" w:val="240"/>
          <w:jc w:val="center"/>
        </w:trPr>
        <w:tc>
          <w:tcPr>
            <w:tcW w:w="955" w:type="dxa"/>
            <w:shd w:val="clear" w:color="auto" w:fill="FFFFFF"/>
          </w:tcPr>
          <w:p w:rsidR="00BB7EDA" w:rsidRDefault="007D72B3">
            <w:pPr>
              <w:pStyle w:val="Bodytext20"/>
              <w:framePr w:w="2347" w:hSpace="557" w:wrap="notBeside" w:vAnchor="text" w:hAnchor="text" w:xAlign="center" w:y="1"/>
              <w:shd w:val="clear" w:color="auto" w:fill="auto"/>
              <w:spacing w:before="0" w:line="180" w:lineRule="exact"/>
              <w:jc w:val="left"/>
            </w:pPr>
            <w:r>
              <w:t>fern.</w:t>
            </w:r>
          </w:p>
        </w:tc>
        <w:tc>
          <w:tcPr>
            <w:tcW w:w="1392" w:type="dxa"/>
            <w:shd w:val="clear" w:color="auto" w:fill="FFFFFF"/>
          </w:tcPr>
          <w:p w:rsidR="00BB7EDA" w:rsidRDefault="007D72B3">
            <w:pPr>
              <w:pStyle w:val="Bodytext20"/>
              <w:framePr w:w="2347" w:hSpace="557" w:wrap="notBeside" w:vAnchor="text" w:hAnchor="text" w:xAlign="center" w:y="1"/>
              <w:shd w:val="clear" w:color="auto" w:fill="auto"/>
              <w:spacing w:before="0" w:line="180" w:lineRule="exact"/>
              <w:ind w:left="200"/>
              <w:jc w:val="left"/>
            </w:pPr>
            <w:r>
              <w:rPr>
                <w:rStyle w:val="Bodytext2Italic0"/>
              </w:rPr>
              <w:t>Endung zvt</w:t>
            </w:r>
          </w:p>
        </w:tc>
      </w:tr>
    </w:tbl>
    <w:p w:rsidR="00BB7EDA" w:rsidRDefault="00BB7EDA">
      <w:pPr>
        <w:framePr w:w="2347" w:hSpace="557" w:wrap="notBeside" w:vAnchor="text" w:hAnchor="text" w:xAlign="center" w:y="1"/>
        <w:rPr>
          <w:sz w:val="2"/>
          <w:szCs w:val="2"/>
        </w:rPr>
      </w:pPr>
    </w:p>
    <w:p w:rsidR="00BB7EDA" w:rsidRDefault="00BB7EDA">
      <w:pPr>
        <w:rPr>
          <w:sz w:val="2"/>
          <w:szCs w:val="2"/>
        </w:rPr>
      </w:pPr>
    </w:p>
    <w:p w:rsidR="00BB7EDA" w:rsidRDefault="00BB7EDA">
      <w:pPr>
        <w:rPr>
          <w:sz w:val="2"/>
          <w:szCs w:val="2"/>
        </w:rPr>
        <w:sectPr w:rsidR="00BB7EDA">
          <w:pgSz w:w="7266" w:h="11422"/>
          <w:pgMar w:top="710" w:right="665" w:bottom="1116" w:left="912" w:header="0" w:footer="3" w:gutter="0"/>
          <w:cols w:space="720"/>
          <w:noEndnote/>
          <w:docGrid w:linePitch="360"/>
        </w:sectPr>
      </w:pPr>
    </w:p>
    <w:p w:rsidR="00BB7EDA" w:rsidRDefault="00BB7EDA">
      <w:pPr>
        <w:spacing w:line="123" w:lineRule="exact"/>
        <w:rPr>
          <w:sz w:val="10"/>
          <w:szCs w:val="10"/>
        </w:rPr>
      </w:pPr>
    </w:p>
    <w:p w:rsidR="00BB7EDA" w:rsidRDefault="00BB7EDA">
      <w:pPr>
        <w:rPr>
          <w:sz w:val="2"/>
          <w:szCs w:val="2"/>
        </w:rPr>
        <w:sectPr w:rsidR="00BB7EDA">
          <w:footerReference w:type="even" r:id="rId106"/>
          <w:footerReference w:type="default" r:id="rId107"/>
          <w:headerReference w:type="first" r:id="rId108"/>
          <w:footerReference w:type="first" r:id="rId109"/>
          <w:pgSz w:w="7266" w:h="11422"/>
          <w:pgMar w:top="964" w:right="0" w:bottom="1155" w:left="0" w:header="0" w:footer="3" w:gutter="0"/>
          <w:cols w:space="720"/>
          <w:noEndnote/>
          <w:titlePg/>
          <w:docGrid w:linePitch="360"/>
        </w:sectPr>
      </w:pPr>
    </w:p>
    <w:p w:rsidR="00BB7EDA" w:rsidRDefault="007D72B3">
      <w:pPr>
        <w:pStyle w:val="Bodytext20"/>
        <w:shd w:val="clear" w:color="auto" w:fill="auto"/>
        <w:spacing w:before="0" w:line="226" w:lineRule="exact"/>
      </w:pPr>
      <w:r>
        <w:t xml:space="preserve">In den vergangenen Jahrzehnten ist im Blick auf ein adäquates Verständnis des ägyptischen Verbalsystems vieles in Bewegung gekommen. Dabei erwiesen sich die Untersuchungen von H.J. </w:t>
      </w:r>
      <w:r>
        <w:rPr>
          <w:rStyle w:val="Bodytext28ptSmallCaps"/>
        </w:rPr>
        <w:t xml:space="preserve">Polotsky </w:t>
      </w:r>
      <w:r>
        <w:t>als sehr herausfordend. Wichtige Veröffentlichungen dazu erschiene</w:t>
      </w:r>
      <w:r>
        <w:t>n in den Jahren 1944, 1965 und 1976 aus seiner Feder. Sie haben unter Ägyptologen eine große Diskussion hervorgerufen. Bestimmt kann man sagen, dass die großen und wichtigen Stan</w:t>
      </w:r>
      <w:r>
        <w:softHyphen/>
        <w:t xml:space="preserve">dardgrammatiken, z.B. von </w:t>
      </w:r>
      <w:r>
        <w:rPr>
          <w:rStyle w:val="Bodytext28ptSmallCaps"/>
        </w:rPr>
        <w:t xml:space="preserve">Gardiner, Erman </w:t>
      </w:r>
      <w:r>
        <w:t xml:space="preserve">und </w:t>
      </w:r>
      <w:r>
        <w:rPr>
          <w:rStyle w:val="Bodytext28ptSmallCaps"/>
        </w:rPr>
        <w:t xml:space="preserve">Brunner </w:t>
      </w:r>
      <w:r>
        <w:t>etc., so nützlich sie b</w:t>
      </w:r>
      <w:r>
        <w:t>ezüglich sehr vieler Aspekte heute noch sind, in ihren Aussagen über die Bedeutung der Konjugationen inhaltlich z.T. veraltet und überholt sind. Die bis heute noch nicht gelösten Schwie</w:t>
      </w:r>
      <w:r>
        <w:softHyphen/>
        <w:t>rigkeiten, um die Langue des Ägyptischen in einer System-Beschrei</w:t>
      </w:r>
      <w:r>
        <w:softHyphen/>
        <w:t>bung</w:t>
      </w:r>
      <w:r>
        <w:t xml:space="preserve"> wirklich überzeugend darzustellen, zeigt in etwa, um welch eine phänomenal komplexe Sprache es sich hier handelt.</w:t>
      </w:r>
    </w:p>
    <w:p w:rsidR="00BB7EDA" w:rsidRDefault="007D72B3">
      <w:pPr>
        <w:pStyle w:val="Bodytext20"/>
        <w:shd w:val="clear" w:color="auto" w:fill="auto"/>
        <w:spacing w:before="0" w:line="226" w:lineRule="exact"/>
        <w:ind w:firstLine="320"/>
      </w:pPr>
      <w:r>
        <w:t>Das ägyptische Verbalsystem eignet sich dank seiner Komplexi</w:t>
      </w:r>
      <w:r>
        <w:softHyphen/>
        <w:t>tät vorzüglich zum Ausdruck großer Präzision und feiner Nuancie</w:t>
      </w:r>
      <w:r>
        <w:softHyphen/>
        <w:t xml:space="preserve">rungen. Dem </w:t>
      </w:r>
      <w:r>
        <w:t>ägyptischen Verb liegen Wurzeln von 2-4 Konsonan</w:t>
      </w:r>
      <w:r>
        <w:softHyphen/>
        <w:t>ten zugrunde. Morphologisch können zahlreiche verschiedene Kon</w:t>
      </w:r>
      <w:r>
        <w:softHyphen/>
        <w:t>jugationen unterschieden werden. Es gibt weit über 200 verschiede</w:t>
      </w:r>
      <w:r>
        <w:softHyphen/>
        <w:t>ne Verbformen.</w:t>
      </w:r>
    </w:p>
    <w:p w:rsidR="00BB7EDA" w:rsidRDefault="007D72B3">
      <w:pPr>
        <w:pStyle w:val="Bodytext20"/>
        <w:shd w:val="clear" w:color="auto" w:fill="auto"/>
        <w:spacing w:before="0" w:line="226" w:lineRule="exact"/>
        <w:ind w:firstLine="320"/>
      </w:pPr>
      <w:r>
        <w:t>Nebst dem morphologischen Aspekt spielt im ägyptischen das synt</w:t>
      </w:r>
      <w:r>
        <w:t xml:space="preserve">aktische Verhalten der Verbformen eine überaus große Rolle, wie der eben genannte H.J. </w:t>
      </w:r>
      <w:r>
        <w:rPr>
          <w:rStyle w:val="Bodytext28ptSmallCaps"/>
        </w:rPr>
        <w:t xml:space="preserve">Polotsky </w:t>
      </w:r>
      <w:r>
        <w:t>es eindrücklich aufgezeigt hat. Dies ist z.B. im Akkadischen viel weniger der Fall, da der Reichtum an Formen dort größer ist.</w:t>
      </w:r>
    </w:p>
    <w:p w:rsidR="00BB7EDA" w:rsidRDefault="007D72B3">
      <w:pPr>
        <w:pStyle w:val="Bodytext20"/>
        <w:shd w:val="clear" w:color="auto" w:fill="auto"/>
        <w:spacing w:before="0" w:line="226" w:lineRule="exact"/>
        <w:ind w:firstLine="320"/>
      </w:pPr>
      <w:r>
        <w:t>Durch das ägyptische Verbalsystem</w:t>
      </w:r>
      <w:r>
        <w:t xml:space="preserve"> werden, nebst vielem ande</w:t>
      </w:r>
      <w:r>
        <w:softHyphen/>
        <w:t>rem, z.B. folgende Kategorien ausgedrückt:</w:t>
      </w:r>
    </w:p>
    <w:p w:rsidR="00BB7EDA" w:rsidRDefault="007D72B3">
      <w:pPr>
        <w:pStyle w:val="Bodytext20"/>
        <w:shd w:val="clear" w:color="auto" w:fill="auto"/>
        <w:spacing w:before="0" w:line="226" w:lineRule="exact"/>
        <w:ind w:firstLine="320"/>
      </w:pPr>
      <w:r>
        <w:t>In den Konjugationen werden 8 Personen unterschieden, indem an die Wurzel Personalendungen angehängt werden. Zusätzlich zur Unterscheidung der 6 Personen, die es ja auch im Deutschen gib</w:t>
      </w:r>
      <w:r>
        <w:t>t, kann in der 2. und 3. Person Singular zwischen maskulinum und femininum differenziert werden.</w:t>
      </w:r>
    </w:p>
    <w:p w:rsidR="00BB7EDA" w:rsidRDefault="007D72B3">
      <w:pPr>
        <w:pStyle w:val="Bodytext20"/>
        <w:shd w:val="clear" w:color="auto" w:fill="auto"/>
        <w:spacing w:before="0" w:line="226" w:lineRule="exact"/>
        <w:ind w:firstLine="320"/>
      </w:pPr>
      <w:r>
        <w:t xml:space="preserve">Handlungen können </w:t>
      </w:r>
      <w:r>
        <w:rPr>
          <w:rStyle w:val="Bodytext2Italic0"/>
        </w:rPr>
        <w:t>mit</w:t>
      </w:r>
      <w:r>
        <w:t xml:space="preserve"> Zeitbezug (Vergangenheit, Gegen</w:t>
      </w:r>
      <w:r>
        <w:softHyphen/>
        <w:t xml:space="preserve">wart und Zukunft) oder auch </w:t>
      </w:r>
      <w:r>
        <w:rPr>
          <w:rStyle w:val="Bodytext2Italic0"/>
        </w:rPr>
        <w:t>ohne</w:t>
      </w:r>
      <w:r>
        <w:t xml:space="preserve"> Zeitbezug beschrieben werden (in dem Fall ist nur die Handlung als solch</w:t>
      </w:r>
      <w:r>
        <w:t>e wichtig). Es werden zudem verschiedene Diathesen (aktiv, passiv und kausativ), sowie verschiedene Aspekte (Durativ, Punktual und Resultativ) unter</w:t>
      </w:r>
      <w:r>
        <w:softHyphen/>
        <w:t xml:space="preserve">schieden. Auch </w:t>
      </w:r>
      <w:r>
        <w:rPr>
          <w:rStyle w:val="Bodytext285ptSpacing0pt"/>
        </w:rPr>
        <w:t xml:space="preserve">verschiedene </w:t>
      </w:r>
      <w:r>
        <w:t>Modi wie Indikativ, Optativ. Adhortativ, Konjunktiv, Voluntativ und Imperativ k</w:t>
      </w:r>
      <w:r>
        <w:t>önnen zum</w:t>
      </w:r>
    </w:p>
    <w:p w:rsidR="00BB7EDA" w:rsidRDefault="007D72B3">
      <w:pPr>
        <w:pStyle w:val="Bodytext20"/>
        <w:shd w:val="clear" w:color="auto" w:fill="auto"/>
        <w:spacing w:before="0"/>
      </w:pPr>
      <w:r>
        <w:t>Ausdruck gebracht werden. Vor-, Gleich- und Nachzeitigkeit kann ohne großen Aufwand verdeutlicht werden.</w:t>
      </w:r>
    </w:p>
    <w:p w:rsidR="00BB7EDA" w:rsidRDefault="007D72B3">
      <w:pPr>
        <w:pStyle w:val="Bodytext20"/>
        <w:shd w:val="clear" w:color="auto" w:fill="auto"/>
        <w:spacing w:before="0" w:after="496"/>
        <w:ind w:firstLine="320"/>
      </w:pPr>
      <w:r>
        <w:t>Wenn ich oben der Verständlichkeit halber Begriffe aus der griechisch-lateinischen Grammatik verwendet habe, so sollte sich der Leser allerdi</w:t>
      </w:r>
      <w:r>
        <w:t>ngs dessen bewusst sein, dass sich die heute in der Ägyptologie verwendete Terminologie weitgehend von der in euro</w:t>
      </w:r>
      <w:r>
        <w:softHyphen/>
        <w:t>päischen Sprachen verwendeten unterscheidet. Die Sprachstruktur und damit auch die Mittel, um die eben genannten Kategorien auszudrücken, sin</w:t>
      </w:r>
      <w:r>
        <w:t>d im Ägyptischen oftmals von solch grundsätz</w:t>
      </w:r>
      <w:r>
        <w:softHyphen/>
        <w:t>lich anderer Art als das, was man sich in indogermanischen Spra</w:t>
      </w:r>
      <w:r>
        <w:softHyphen/>
        <w:t>chen gewohnt ist.</w:t>
      </w:r>
    </w:p>
    <w:p w:rsidR="00BB7EDA" w:rsidRDefault="007D72B3">
      <w:pPr>
        <w:pStyle w:val="Heading40"/>
        <w:keepNext/>
        <w:keepLines/>
        <w:numPr>
          <w:ilvl w:val="1"/>
          <w:numId w:val="138"/>
        </w:numPr>
        <w:shd w:val="clear" w:color="auto" w:fill="auto"/>
        <w:tabs>
          <w:tab w:val="left" w:pos="399"/>
        </w:tabs>
        <w:spacing w:after="253" w:line="210" w:lineRule="exact"/>
      </w:pPr>
      <w:bookmarkStart w:id="82" w:name="bookmark81"/>
      <w:r>
        <w:t>Fazit</w:t>
      </w:r>
      <w:bookmarkEnd w:id="82"/>
    </w:p>
    <w:p w:rsidR="00BB7EDA" w:rsidRDefault="007D72B3">
      <w:pPr>
        <w:pStyle w:val="Heading50"/>
        <w:keepNext/>
        <w:keepLines/>
        <w:numPr>
          <w:ilvl w:val="2"/>
          <w:numId w:val="138"/>
        </w:numPr>
        <w:shd w:val="clear" w:color="auto" w:fill="auto"/>
        <w:tabs>
          <w:tab w:val="left" w:pos="495"/>
        </w:tabs>
        <w:spacing w:after="223" w:line="180" w:lineRule="exact"/>
      </w:pPr>
      <w:bookmarkStart w:id="83" w:name="bookmark82"/>
      <w:r>
        <w:t>Die ältesten Sprachen sind hochkomplex</w:t>
      </w:r>
      <w:bookmarkEnd w:id="83"/>
    </w:p>
    <w:p w:rsidR="00BB7EDA" w:rsidRDefault="007D72B3">
      <w:pPr>
        <w:pStyle w:val="Bodytext20"/>
        <w:shd w:val="clear" w:color="auto" w:fill="auto"/>
        <w:spacing w:before="0" w:line="226" w:lineRule="exact"/>
      </w:pPr>
      <w:r>
        <w:t>Ein kleiner Einblick in die ältesten bekannten Sprachen der Welt mag überaus verblüf</w:t>
      </w:r>
      <w:r>
        <w:t>fend wirken. Die ältesten Sprachen sind mit</w:t>
      </w:r>
      <w:r>
        <w:softHyphen/>
        <w:t xml:space="preserve">nichten primitiv. Sie sind auf </w:t>
      </w:r>
      <w:r>
        <w:rPr>
          <w:rStyle w:val="Bodytext2Italic0"/>
        </w:rPr>
        <w:t>allen</w:t>
      </w:r>
      <w:r>
        <w:t xml:space="preserve"> Ebenen der Langue von hoch</w:t>
      </w:r>
      <w:r>
        <w:softHyphen/>
        <w:t>komplexer Struktur. Unsere Bewunderung wird dadurch förmlich herausgefordert.</w:t>
      </w:r>
    </w:p>
    <w:p w:rsidR="00BB7EDA" w:rsidRDefault="007D72B3">
      <w:pPr>
        <w:pStyle w:val="Bodytext20"/>
        <w:shd w:val="clear" w:color="auto" w:fill="auto"/>
        <w:spacing w:before="0" w:line="226" w:lineRule="exact"/>
        <w:ind w:firstLine="320"/>
      </w:pPr>
      <w:r>
        <w:t xml:space="preserve">Der komplizierte und umfassende Aufbau der Formenlehre des </w:t>
      </w:r>
      <w:r>
        <w:t>Sumerischen, des Akkadischen und des Ägyptischen steht in eindrücklichem Gegensatz zu den z.T. vergleichsweise extrem sim</w:t>
      </w:r>
      <w:r>
        <w:softHyphen/>
        <w:t>plen morphologischen Strukturen in der Formenlehre der moder</w:t>
      </w:r>
      <w:r>
        <w:softHyphen/>
        <w:t>nen Sprachen, die im 21. Jahrhundert n. Chr. im Abendland gespro</w:t>
      </w:r>
      <w:r>
        <w:softHyphen/>
        <w:t>chen wer</w:t>
      </w:r>
      <w:r>
        <w:t>den.</w:t>
      </w:r>
    </w:p>
    <w:p w:rsidR="00BB7EDA" w:rsidRDefault="007D72B3">
      <w:pPr>
        <w:pStyle w:val="Bodytext20"/>
        <w:shd w:val="clear" w:color="auto" w:fill="auto"/>
        <w:spacing w:before="0" w:line="226" w:lineRule="exact"/>
        <w:ind w:firstLine="320"/>
      </w:pPr>
      <w:r>
        <w:t xml:space="preserve">Während wir z.B. im Akkadischen Tausende von </w:t>
      </w:r>
      <w:r>
        <w:rPr>
          <w:rStyle w:val="Bodytext2Italic0"/>
        </w:rPr>
        <w:t>synthetischen Verbalformen</w:t>
      </w:r>
      <w:r>
        <w:t xml:space="preserve"> gebildet werden können, findet sich z.B. im Deutschen des 21. Jahrhunderts ein im Vergleich dazu gerade armselig wirken</w:t>
      </w:r>
      <w:r>
        <w:softHyphen/>
        <w:t>des Formeninventar.</w:t>
      </w:r>
    </w:p>
    <w:p w:rsidR="00BB7EDA" w:rsidRDefault="007D72B3">
      <w:pPr>
        <w:pStyle w:val="Bodytext20"/>
        <w:shd w:val="clear" w:color="auto" w:fill="auto"/>
        <w:spacing w:before="0" w:line="226" w:lineRule="exact"/>
        <w:ind w:firstLine="320"/>
      </w:pPr>
      <w:r>
        <w:t>In diesem Zusammenhang muss kurz erklär</w:t>
      </w:r>
      <w:r>
        <w:t xml:space="preserve">t werden, was mit dem Begriff der </w:t>
      </w:r>
      <w:r>
        <w:rPr>
          <w:rStyle w:val="Bodytext2Italic0"/>
        </w:rPr>
        <w:t>synthetischen Formen</w:t>
      </w:r>
      <w:r>
        <w:t xml:space="preserve"> gemeint ist:</w:t>
      </w:r>
    </w:p>
    <w:p w:rsidR="00BB7EDA" w:rsidRDefault="007D72B3">
      <w:pPr>
        <w:pStyle w:val="Bodytext20"/>
        <w:shd w:val="clear" w:color="auto" w:fill="auto"/>
        <w:spacing w:before="0" w:line="226" w:lineRule="exact"/>
        <w:ind w:firstLine="320"/>
      </w:pPr>
      <w:r>
        <w:t xml:space="preserve">Unter diesem Ausdruck versteht man aus </w:t>
      </w:r>
      <w:r>
        <w:rPr>
          <w:rStyle w:val="Bodytext2Italic0"/>
        </w:rPr>
        <w:t>einem</w:t>
      </w:r>
      <w:r>
        <w:t xml:space="preserve"> Wort bestehen</w:t>
      </w:r>
      <w:r>
        <w:softHyphen/>
        <w:t xml:space="preserve">de Formen, die keine weitere Umschreibungen durch Hilfsverben wie z.B. </w:t>
      </w:r>
      <w:r>
        <w:rPr>
          <w:rStyle w:val="Bodytext2Italic0"/>
        </w:rPr>
        <w:t>haben, sein, wollen, dürfen</w:t>
      </w:r>
      <w:r>
        <w:t xml:space="preserve"> etc. und Partikel (z.B. Präpos</w:t>
      </w:r>
      <w:r>
        <w:t>itio</w:t>
      </w:r>
      <w:r>
        <w:softHyphen/>
        <w:t>nen) brauchen.</w:t>
      </w:r>
    </w:p>
    <w:p w:rsidR="00BB7EDA" w:rsidRDefault="007D72B3">
      <w:pPr>
        <w:pStyle w:val="Bodytext20"/>
        <w:shd w:val="clear" w:color="auto" w:fill="auto"/>
        <w:spacing w:before="0" w:line="226" w:lineRule="exact"/>
        <w:ind w:firstLine="320"/>
        <w:sectPr w:rsidR="00BB7EDA">
          <w:type w:val="continuous"/>
          <w:pgSz w:w="7266" w:h="11422"/>
          <w:pgMar w:top="964" w:right="612" w:bottom="1155" w:left="1008" w:header="0" w:footer="3" w:gutter="0"/>
          <w:cols w:space="720"/>
          <w:noEndnote/>
          <w:docGrid w:linePitch="360"/>
        </w:sectPr>
      </w:pPr>
      <w:r>
        <w:t xml:space="preserve">Verbformen, die durch Umschreibungen gebildet werden, nennt man im Gegensatz dazu </w:t>
      </w:r>
      <w:r>
        <w:rPr>
          <w:rStyle w:val="Bodytext2Italic0"/>
        </w:rPr>
        <w:t>analytische Formen.</w:t>
      </w:r>
    </w:p>
    <w:p w:rsidR="00BB7EDA" w:rsidRDefault="007D72B3">
      <w:pPr>
        <w:pStyle w:val="Bodytext100"/>
        <w:numPr>
          <w:ilvl w:val="3"/>
          <w:numId w:val="138"/>
        </w:numPr>
        <w:shd w:val="clear" w:color="auto" w:fill="auto"/>
        <w:tabs>
          <w:tab w:val="left" w:pos="649"/>
        </w:tabs>
        <w:spacing w:before="0" w:line="230" w:lineRule="exact"/>
        <w:ind w:firstLine="0"/>
      </w:pPr>
      <w:r>
        <w:t>Synthetische Formen im Deutschen</w:t>
      </w:r>
    </w:p>
    <w:p w:rsidR="00BB7EDA" w:rsidRDefault="007D72B3">
      <w:pPr>
        <w:pStyle w:val="Bodytext20"/>
        <w:shd w:val="clear" w:color="auto" w:fill="auto"/>
        <w:spacing w:before="0"/>
      </w:pPr>
      <w:r>
        <w:t xml:space="preserve">Betrachten wir als Beispiel im Deutschen das Verb </w:t>
      </w:r>
      <w:r>
        <w:rPr>
          <w:rStyle w:val="Bodytext2Italic0"/>
        </w:rPr>
        <w:t>sprechen</w:t>
      </w:r>
      <w:r>
        <w:t xml:space="preserve"> mit seinen möglichen synthetischen Ableitungen: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1286"/>
      </w:tblGrid>
      <w:tr w:rsidR="00BB7EDA">
        <w:tblPrEx>
          <w:tblCellMar>
            <w:top w:w="0" w:type="dxa"/>
            <w:bottom w:w="0" w:type="dxa"/>
          </w:tblCellMar>
        </w:tblPrEx>
        <w:trPr>
          <w:trHeight w:hRule="exact" w:val="211"/>
          <w:jc w:val="center"/>
        </w:trPr>
        <w:tc>
          <w:tcPr>
            <w:tcW w:w="2832" w:type="dxa"/>
            <w:gridSpan w:val="2"/>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rPr>
                <w:rStyle w:val="Bodytext2Italic0"/>
              </w:rPr>
              <w:t>Präsens, Indikativ</w:t>
            </w:r>
          </w:p>
        </w:tc>
      </w:tr>
      <w:tr w:rsidR="00BB7EDA">
        <w:tblPrEx>
          <w:tblCellMar>
            <w:top w:w="0" w:type="dxa"/>
            <w:bottom w:w="0" w:type="dxa"/>
          </w:tblCellMar>
        </w:tblPrEx>
        <w:trPr>
          <w:trHeight w:hRule="exact" w:val="298"/>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Singular</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Plural</w:t>
            </w:r>
          </w:p>
        </w:tc>
      </w:tr>
      <w:tr w:rsidR="00BB7EDA">
        <w:tblPrEx>
          <w:tblCellMar>
            <w:top w:w="0" w:type="dxa"/>
            <w:bottom w:w="0" w:type="dxa"/>
          </w:tblCellMar>
        </w:tblPrEx>
        <w:trPr>
          <w:trHeight w:hRule="exact" w:val="269"/>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ich spreche</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wir sprechen</w:t>
            </w:r>
          </w:p>
        </w:tc>
      </w:tr>
      <w:tr w:rsidR="00BB7EDA">
        <w:tblPrEx>
          <w:tblCellMar>
            <w:top w:w="0" w:type="dxa"/>
            <w:bottom w:w="0" w:type="dxa"/>
          </w:tblCellMar>
        </w:tblPrEx>
        <w:trPr>
          <w:trHeight w:hRule="exact" w:val="235"/>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du sprichst</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ihr sprecht</w:t>
            </w:r>
          </w:p>
        </w:tc>
      </w:tr>
      <w:tr w:rsidR="00BB7EDA">
        <w:tblPrEx>
          <w:tblCellMar>
            <w:top w:w="0" w:type="dxa"/>
            <w:bottom w:w="0" w:type="dxa"/>
          </w:tblCellMar>
        </w:tblPrEx>
        <w:trPr>
          <w:trHeight w:hRule="exact" w:val="365"/>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er spricht</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sie sprechen</w:t>
            </w:r>
          </w:p>
        </w:tc>
      </w:tr>
      <w:tr w:rsidR="00BB7EDA">
        <w:tblPrEx>
          <w:tblCellMar>
            <w:top w:w="0" w:type="dxa"/>
            <w:bottom w:w="0" w:type="dxa"/>
          </w:tblCellMar>
        </w:tblPrEx>
        <w:trPr>
          <w:trHeight w:hRule="exact" w:val="365"/>
          <w:jc w:val="center"/>
        </w:trPr>
        <w:tc>
          <w:tcPr>
            <w:tcW w:w="2832" w:type="dxa"/>
            <w:gridSpan w:val="2"/>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Imperfekt</w:t>
            </w:r>
          </w:p>
        </w:tc>
      </w:tr>
      <w:tr w:rsidR="00BB7EDA">
        <w:tblPrEx>
          <w:tblCellMar>
            <w:top w:w="0" w:type="dxa"/>
            <w:bottom w:w="0" w:type="dxa"/>
          </w:tblCellMar>
        </w:tblPrEx>
        <w:trPr>
          <w:trHeight w:hRule="exact" w:val="274"/>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Singular</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Plural</w:t>
            </w:r>
          </w:p>
        </w:tc>
      </w:tr>
      <w:tr w:rsidR="00BB7EDA">
        <w:tblPrEx>
          <w:tblCellMar>
            <w:top w:w="0" w:type="dxa"/>
            <w:bottom w:w="0" w:type="dxa"/>
          </w:tblCellMar>
        </w:tblPrEx>
        <w:trPr>
          <w:trHeight w:hRule="exact" w:val="264"/>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ich sprach</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wir sprachen</w:t>
            </w:r>
          </w:p>
        </w:tc>
      </w:tr>
      <w:tr w:rsidR="00BB7EDA">
        <w:tblPrEx>
          <w:tblCellMar>
            <w:top w:w="0" w:type="dxa"/>
            <w:bottom w:w="0" w:type="dxa"/>
          </w:tblCellMar>
        </w:tblPrEx>
        <w:trPr>
          <w:trHeight w:hRule="exact" w:val="230"/>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du sprachst</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ihr spracht</w:t>
            </w:r>
          </w:p>
        </w:tc>
      </w:tr>
      <w:tr w:rsidR="00BB7EDA">
        <w:tblPrEx>
          <w:tblCellMar>
            <w:top w:w="0" w:type="dxa"/>
            <w:bottom w:w="0" w:type="dxa"/>
          </w:tblCellMar>
        </w:tblPrEx>
        <w:trPr>
          <w:trHeight w:hRule="exact" w:val="365"/>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er sprach</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 xml:space="preserve">sie </w:t>
            </w:r>
            <w:r>
              <w:t>sprachen</w:t>
            </w:r>
          </w:p>
        </w:tc>
      </w:tr>
      <w:tr w:rsidR="00BB7EDA">
        <w:tblPrEx>
          <w:tblCellMar>
            <w:top w:w="0" w:type="dxa"/>
            <w:bottom w:w="0" w:type="dxa"/>
          </w:tblCellMar>
        </w:tblPrEx>
        <w:trPr>
          <w:trHeight w:hRule="exact" w:val="365"/>
          <w:jc w:val="center"/>
        </w:trPr>
        <w:tc>
          <w:tcPr>
            <w:tcW w:w="2832" w:type="dxa"/>
            <w:gridSpan w:val="2"/>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Präsens, Konjunktiv (I)</w:t>
            </w:r>
          </w:p>
        </w:tc>
      </w:tr>
      <w:tr w:rsidR="00BB7EDA">
        <w:tblPrEx>
          <w:tblCellMar>
            <w:top w:w="0" w:type="dxa"/>
            <w:bottom w:w="0" w:type="dxa"/>
          </w:tblCellMar>
        </w:tblPrEx>
        <w:trPr>
          <w:trHeight w:hRule="exact" w:val="269"/>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Singular</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Plural</w:t>
            </w:r>
          </w:p>
        </w:tc>
      </w:tr>
      <w:tr w:rsidR="00BB7EDA">
        <w:tblPrEx>
          <w:tblCellMar>
            <w:top w:w="0" w:type="dxa"/>
            <w:bottom w:w="0" w:type="dxa"/>
          </w:tblCellMar>
        </w:tblPrEx>
        <w:trPr>
          <w:trHeight w:hRule="exact" w:val="269"/>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ich spreche</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wir sprechen</w:t>
            </w:r>
          </w:p>
        </w:tc>
      </w:tr>
      <w:tr w:rsidR="00BB7EDA">
        <w:tblPrEx>
          <w:tblCellMar>
            <w:top w:w="0" w:type="dxa"/>
            <w:bottom w:w="0" w:type="dxa"/>
          </w:tblCellMar>
        </w:tblPrEx>
        <w:trPr>
          <w:trHeight w:hRule="exact" w:val="230"/>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du sprechest</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ihr sprecht</w:t>
            </w:r>
          </w:p>
        </w:tc>
      </w:tr>
      <w:tr w:rsidR="00BB7EDA">
        <w:tblPrEx>
          <w:tblCellMar>
            <w:top w:w="0" w:type="dxa"/>
            <w:bottom w:w="0" w:type="dxa"/>
          </w:tblCellMar>
        </w:tblPrEx>
        <w:trPr>
          <w:trHeight w:hRule="exact" w:val="360"/>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er spreche</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sie sprechen</w:t>
            </w:r>
          </w:p>
        </w:tc>
      </w:tr>
      <w:tr w:rsidR="00BB7EDA">
        <w:tblPrEx>
          <w:tblCellMar>
            <w:top w:w="0" w:type="dxa"/>
            <w:bottom w:w="0" w:type="dxa"/>
          </w:tblCellMar>
        </w:tblPrEx>
        <w:trPr>
          <w:trHeight w:hRule="exact" w:val="360"/>
          <w:jc w:val="center"/>
        </w:trPr>
        <w:tc>
          <w:tcPr>
            <w:tcW w:w="2832" w:type="dxa"/>
            <w:gridSpan w:val="2"/>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Präsens, Konjunktiv (II)</w:t>
            </w:r>
          </w:p>
        </w:tc>
      </w:tr>
      <w:tr w:rsidR="00BB7EDA">
        <w:tblPrEx>
          <w:tblCellMar>
            <w:top w:w="0" w:type="dxa"/>
            <w:bottom w:w="0" w:type="dxa"/>
          </w:tblCellMar>
        </w:tblPrEx>
        <w:trPr>
          <w:trHeight w:hRule="exact" w:val="274"/>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Singular</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Plural</w:t>
            </w:r>
          </w:p>
        </w:tc>
      </w:tr>
      <w:tr w:rsidR="00BB7EDA">
        <w:tblPrEx>
          <w:tblCellMar>
            <w:top w:w="0" w:type="dxa"/>
            <w:bottom w:w="0" w:type="dxa"/>
          </w:tblCellMar>
        </w:tblPrEx>
        <w:trPr>
          <w:trHeight w:hRule="exact" w:val="269"/>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ich spräche</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wir sprächen</w:t>
            </w:r>
          </w:p>
        </w:tc>
      </w:tr>
      <w:tr w:rsidR="00BB7EDA">
        <w:tblPrEx>
          <w:tblCellMar>
            <w:top w:w="0" w:type="dxa"/>
            <w:bottom w:w="0" w:type="dxa"/>
          </w:tblCellMar>
        </w:tblPrEx>
        <w:trPr>
          <w:trHeight w:hRule="exact" w:val="230"/>
          <w:jc w:val="center"/>
        </w:trPr>
        <w:tc>
          <w:tcPr>
            <w:tcW w:w="154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jc w:val="left"/>
            </w:pPr>
            <w:r>
              <w:t>du sprächest</w:t>
            </w:r>
          </w:p>
        </w:tc>
        <w:tc>
          <w:tcPr>
            <w:tcW w:w="1286" w:type="dxa"/>
            <w:shd w:val="clear" w:color="auto" w:fill="FFFFFF"/>
            <w:vAlign w:val="bottom"/>
          </w:tcPr>
          <w:p w:rsidR="00BB7EDA" w:rsidRDefault="007D72B3">
            <w:pPr>
              <w:pStyle w:val="Bodytext20"/>
              <w:framePr w:w="2832" w:hSpace="562" w:wrap="notBeside" w:vAnchor="text" w:hAnchor="text" w:xAlign="center" w:y="1"/>
              <w:shd w:val="clear" w:color="auto" w:fill="auto"/>
              <w:spacing w:before="0" w:line="180" w:lineRule="exact"/>
              <w:ind w:left="180"/>
              <w:jc w:val="left"/>
            </w:pPr>
            <w:r>
              <w:t>ihr sprächet</w:t>
            </w:r>
          </w:p>
        </w:tc>
      </w:tr>
      <w:tr w:rsidR="00BB7EDA">
        <w:tblPrEx>
          <w:tblCellMar>
            <w:top w:w="0" w:type="dxa"/>
            <w:bottom w:w="0" w:type="dxa"/>
          </w:tblCellMar>
        </w:tblPrEx>
        <w:trPr>
          <w:trHeight w:hRule="exact" w:val="240"/>
          <w:jc w:val="center"/>
        </w:trPr>
        <w:tc>
          <w:tcPr>
            <w:tcW w:w="154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jc w:val="left"/>
            </w:pPr>
            <w:r>
              <w:t>er spräche</w:t>
            </w:r>
          </w:p>
        </w:tc>
        <w:tc>
          <w:tcPr>
            <w:tcW w:w="1286" w:type="dxa"/>
            <w:shd w:val="clear" w:color="auto" w:fill="FFFFFF"/>
          </w:tcPr>
          <w:p w:rsidR="00BB7EDA" w:rsidRDefault="007D72B3">
            <w:pPr>
              <w:pStyle w:val="Bodytext20"/>
              <w:framePr w:w="2832" w:hSpace="562" w:wrap="notBeside" w:vAnchor="text" w:hAnchor="text" w:xAlign="center" w:y="1"/>
              <w:shd w:val="clear" w:color="auto" w:fill="auto"/>
              <w:spacing w:before="0" w:line="180" w:lineRule="exact"/>
              <w:ind w:left="180"/>
              <w:jc w:val="left"/>
            </w:pPr>
            <w:r>
              <w:t>sie sprächen</w:t>
            </w:r>
          </w:p>
        </w:tc>
      </w:tr>
    </w:tbl>
    <w:p w:rsidR="00BB7EDA" w:rsidRDefault="00BB7EDA">
      <w:pPr>
        <w:framePr w:w="2832" w:hSpace="562" w:wrap="notBeside" w:vAnchor="text" w:hAnchor="text" w:xAlign="center" w:y="1"/>
        <w:rPr>
          <w:sz w:val="2"/>
          <w:szCs w:val="2"/>
        </w:rPr>
      </w:pPr>
    </w:p>
    <w:p w:rsidR="00BB7EDA" w:rsidRDefault="00BB7EDA">
      <w:pPr>
        <w:rPr>
          <w:sz w:val="2"/>
          <w:szCs w:val="2"/>
        </w:rPr>
      </w:pPr>
    </w:p>
    <w:p w:rsidR="00BB7EDA" w:rsidRDefault="007D72B3">
      <w:pPr>
        <w:pStyle w:val="Bodytext20"/>
        <w:shd w:val="clear" w:color="auto" w:fill="auto"/>
        <w:spacing w:before="134" w:after="165" w:line="226" w:lineRule="exact"/>
        <w:ind w:firstLine="320"/>
      </w:pPr>
      <w:r>
        <w:t xml:space="preserve">Zu diesen 24 Formen kommen noch das Partizip Präsens </w:t>
      </w:r>
      <w:r>
        <w:rPr>
          <w:rStyle w:val="Bodytext2Italic0"/>
        </w:rPr>
        <w:t>spre</w:t>
      </w:r>
      <w:r>
        <w:rPr>
          <w:rStyle w:val="Bodytext2Italic0"/>
        </w:rPr>
        <w:softHyphen/>
        <w:t>chend</w:t>
      </w:r>
      <w:r>
        <w:t xml:space="preserve"> hinzu. Es unterscheidet drei Genera (mask., fern, und neutr.) und kann zusätzlich dekliniert werden. Ferner gibt es das Partizp Perfekt </w:t>
      </w:r>
      <w:r>
        <w:rPr>
          <w:rStyle w:val="Bodytext2Italic0"/>
        </w:rPr>
        <w:t>gesprochen,</w:t>
      </w:r>
      <w:r>
        <w:t xml:space="preserve"> den Infinitiv, der substantiviert sogar noch</w:t>
      </w:r>
      <w:r>
        <w:t xml:space="preserve"> die Möglichkeit hat, dekliniert zu werden. Nicht zu vergessen sind schließlich ebenso die Imperativ-Bildungen </w:t>
      </w:r>
      <w:r>
        <w:rPr>
          <w:rStyle w:val="Bodytext2Italic0"/>
        </w:rPr>
        <w:t>sprich</w:t>
      </w:r>
      <w:r>
        <w:t xml:space="preserve"> und </w:t>
      </w:r>
      <w:r>
        <w:rPr>
          <w:rStyle w:val="Bodytext2Italic0"/>
        </w:rPr>
        <w:t>sprecht.</w:t>
      </w:r>
      <w:r>
        <w:t xml:space="preserve"> Da</w:t>
      </w:r>
      <w:r>
        <w:softHyphen/>
        <w:t xml:space="preserve">mit sind wir aber bereits an einem vergleichsweise bescheidenen Ende angekommen, denn alles Weitere, wie Plusquamperfekt, </w:t>
      </w:r>
      <w:r>
        <w:t>Per</w:t>
      </w:r>
      <w:r>
        <w:softHyphen/>
        <w:t>fekt, Futur I, Futur II etc. sind nur noch syntaktische Umschreibun</w:t>
      </w:r>
      <w:r>
        <w:softHyphen/>
        <w:t xml:space="preserve">gen mit Hilfsverben </w:t>
      </w:r>
      <w:r>
        <w:rPr>
          <w:rStyle w:val="Bodytext2Italic0"/>
        </w:rPr>
        <w:t>(haben, sein</w:t>
      </w:r>
      <w:r>
        <w:t xml:space="preserve"> etc.), Partizipien und dem Infinitiv. Natürlich könnte man noch Verbalformen mit Suffixen, insbesonde</w:t>
      </w:r>
      <w:r>
        <w:softHyphen/>
        <w:t xml:space="preserve">re solche mit gebundenen Morphemen, dazurechnen, </w:t>
      </w:r>
      <w:r>
        <w:t>z.B. ver-spre- chen, be-sprechen. Auf diese Weise käme man auf eine deutlich höhere Zahl von Formen. Aber auch so bleibt deutlich, dass zwi</w:t>
      </w:r>
      <w:r>
        <w:softHyphen/>
        <w:t>schen der Komplexität der Formenlehre der ältesten Sprachen und dem modernen Deutsch Welten liegen.</w:t>
      </w:r>
    </w:p>
    <w:p w:rsidR="00BB7EDA" w:rsidRDefault="007D72B3">
      <w:pPr>
        <w:pStyle w:val="Bodytext100"/>
        <w:numPr>
          <w:ilvl w:val="3"/>
          <w:numId w:val="138"/>
        </w:numPr>
        <w:shd w:val="clear" w:color="auto" w:fill="auto"/>
        <w:tabs>
          <w:tab w:val="left" w:pos="649"/>
        </w:tabs>
        <w:spacing w:before="0" w:after="36" w:line="170" w:lineRule="exact"/>
        <w:ind w:firstLine="0"/>
      </w:pPr>
      <w:r>
        <w:t>Synthetische For</w:t>
      </w:r>
      <w:r>
        <w:t>men im Englischen</w:t>
      </w:r>
    </w:p>
    <w:p w:rsidR="00BB7EDA" w:rsidRDefault="007D72B3">
      <w:pPr>
        <w:pStyle w:val="Bodytext20"/>
        <w:shd w:val="clear" w:color="auto" w:fill="auto"/>
        <w:spacing w:before="0" w:after="120"/>
      </w:pPr>
      <w:r>
        <w:t>Im Englischen ist das Inventar an synthetischen Formen noch gerin</w:t>
      </w:r>
      <w:r>
        <w:softHyphen/>
        <w:t xml:space="preserve">ger als im Deutschen. Hinzu kommt der Umstand, dass äußerst viele Verbformen gleich klingen, also homophon sind. Von dem Verb </w:t>
      </w:r>
      <w:r>
        <w:rPr>
          <w:rStyle w:val="Bodytext2Italic0"/>
        </w:rPr>
        <w:t>to speak</w:t>
      </w:r>
      <w:r>
        <w:t>z.B. können morphologisch nur 5 versch</w:t>
      </w:r>
      <w:r>
        <w:t>iedene Formen unter</w:t>
      </w:r>
      <w:r>
        <w:softHyphen/>
        <w:t xml:space="preserve">schieden werden </w:t>
      </w:r>
      <w:r>
        <w:rPr>
          <w:rStyle w:val="Bodytext2Italic0"/>
        </w:rPr>
        <w:t>(speak, speaks, spoke, spoken, speaking)\</w:t>
      </w:r>
    </w:p>
    <w:p w:rsidR="00BB7EDA" w:rsidRDefault="007D72B3">
      <w:pPr>
        <w:pStyle w:val="Bodytext100"/>
        <w:numPr>
          <w:ilvl w:val="3"/>
          <w:numId w:val="138"/>
        </w:numPr>
        <w:shd w:val="clear" w:color="auto" w:fill="auto"/>
        <w:tabs>
          <w:tab w:val="left" w:pos="654"/>
        </w:tabs>
        <w:spacing w:before="0" w:line="230" w:lineRule="exact"/>
        <w:ind w:firstLine="0"/>
        <w:jc w:val="left"/>
      </w:pPr>
      <w:r>
        <w:t>Synthetische Formen in den alemannischen Schweizer- Dialekten</w:t>
      </w:r>
    </w:p>
    <w:p w:rsidR="00BB7EDA" w:rsidRDefault="007D72B3">
      <w:pPr>
        <w:pStyle w:val="Bodytext20"/>
        <w:shd w:val="clear" w:color="auto" w:fill="auto"/>
        <w:spacing w:before="0" w:line="226" w:lineRule="exact"/>
      </w:pPr>
      <w:r>
        <w:t xml:space="preserve">Auch in den alemannischen Schweizer-Dialekten, z.B. im Züridüütsch, ist die Situation eigentlich äußerst prekär. </w:t>
      </w:r>
      <w:r>
        <w:t>Hier gibt es z.B. nicht einmal Formen des Präteritums. Man muss sich hier mit etwas mehr als 20 synthetischen Verbalformen zufrieden geben. Auch da spielt die Homophonie eine bedeutende Rolle.</w:t>
      </w:r>
    </w:p>
    <w:p w:rsidR="00BB7EDA" w:rsidRDefault="007D72B3">
      <w:pPr>
        <w:pStyle w:val="Bodytext20"/>
        <w:shd w:val="clear" w:color="auto" w:fill="auto"/>
        <w:spacing w:before="0" w:after="120" w:line="226" w:lineRule="exact"/>
        <w:ind w:firstLine="320"/>
      </w:pPr>
      <w:r>
        <w:t xml:space="preserve">Natürlich gibt es moderne europäische Sprachen, die einen viel </w:t>
      </w:r>
      <w:r>
        <w:t>größeren morphologischen Reichtum aufweisen als Hochdeutsch, Englisch und Alemannisch (z.B. romanische und slawische Spra</w:t>
      </w:r>
      <w:r>
        <w:softHyphen/>
        <w:t>chen sowie Litauisch, Lettisch und Armenisch), doch im Vergleich zu den ältesten Sprachen ist auch ihr Formeninventar vergleichswei</w:t>
      </w:r>
      <w:r>
        <w:softHyphen/>
        <w:t>se</w:t>
      </w:r>
      <w:r>
        <w:t xml:space="preserve"> immer noch relativ bescheiden, insbesondere wenn wir ans Sume</w:t>
      </w:r>
      <w:r>
        <w:softHyphen/>
        <w:t>rische und ans Akkadische denken. Zudem muss hier noch Folgen</w:t>
      </w:r>
      <w:r>
        <w:softHyphen/>
        <w:t>des beachtet werden: Die modernen Sprachen Europas, die ein ziemlich reiches Formeninventar besitzen, haben dieses nicht durch neue</w:t>
      </w:r>
      <w:r>
        <w:t>n Aufbau bekommpn Nein, sie waren nur bedeutend konser</w:t>
      </w:r>
      <w:r>
        <w:softHyphen/>
        <w:t>vativer als die anderen Sprachen. In ihnen wurde die Formenfülle aus ältester Zeit besser bewahrt.</w:t>
      </w:r>
    </w:p>
    <w:p w:rsidR="00BB7EDA" w:rsidRDefault="007D72B3">
      <w:pPr>
        <w:pStyle w:val="Bodytext100"/>
        <w:numPr>
          <w:ilvl w:val="3"/>
          <w:numId w:val="138"/>
        </w:numPr>
        <w:shd w:val="clear" w:color="auto" w:fill="auto"/>
        <w:tabs>
          <w:tab w:val="left" w:pos="654"/>
        </w:tabs>
        <w:spacing w:before="0"/>
        <w:ind w:firstLine="0"/>
      </w:pPr>
      <w:r>
        <w:t>Die Syntax als Ausgleichsmittel für fehlende Formen</w:t>
      </w:r>
    </w:p>
    <w:p w:rsidR="00BB7EDA" w:rsidRDefault="007D72B3">
      <w:pPr>
        <w:pStyle w:val="Bodytext20"/>
        <w:shd w:val="clear" w:color="auto" w:fill="auto"/>
        <w:spacing w:before="0" w:line="226" w:lineRule="exact"/>
      </w:pPr>
      <w:r>
        <w:t>Die Armut einer Sprache im Bereich der Formenlehre</w:t>
      </w:r>
      <w:r>
        <w:t xml:space="preserve"> muss durch syntaktische Mittel, wenigstens zum Teil, ausgeglichen werden, d.h. durch Umschreibungen und/oder durch bestimmte Wortstellun</w:t>
      </w:r>
      <w:r>
        <w:softHyphen/>
        <w:t>gen im Satz. Die Syntax eignet sich gut als Ausgleichsmittel, weil mit Hilfe dieser Sprachebene grundsätzlich, u.U. al</w:t>
      </w:r>
      <w:r>
        <w:t>lerdings über Umwe</w:t>
      </w:r>
      <w:r>
        <w:softHyphen/>
        <w:t>ge, jeder beliebige Gedanke ausgedrückt werden kann. Doch die morphologisch reichen Sprachen sind vom Prinzip her bedeutend ökonomischer.</w:t>
      </w:r>
    </w:p>
    <w:p w:rsidR="00BB7EDA" w:rsidRDefault="007D72B3">
      <w:pPr>
        <w:pStyle w:val="Bodytext100"/>
        <w:numPr>
          <w:ilvl w:val="3"/>
          <w:numId w:val="138"/>
        </w:numPr>
        <w:shd w:val="clear" w:color="auto" w:fill="auto"/>
        <w:tabs>
          <w:tab w:val="left" w:pos="654"/>
        </w:tabs>
        <w:spacing w:before="0" w:line="230" w:lineRule="exact"/>
        <w:ind w:firstLine="0"/>
      </w:pPr>
      <w:r>
        <w:t>Morphologie - Ökonomie und Zwang zu Präzision</w:t>
      </w:r>
    </w:p>
    <w:p w:rsidR="00BB7EDA" w:rsidRDefault="007D72B3">
      <w:pPr>
        <w:pStyle w:val="Bodytext20"/>
        <w:shd w:val="clear" w:color="auto" w:fill="auto"/>
        <w:spacing w:before="0" w:after="124"/>
      </w:pPr>
      <w:r>
        <w:t>In morphologisch reichen Sprachen kommt man mit wenig</w:t>
      </w:r>
      <w:r>
        <w:t>er Wör</w:t>
      </w:r>
      <w:r>
        <w:softHyphen/>
        <w:t>tern aus. Zudem ist man in diesen Sprachen bei aller Sparsamkeit gezwungen, sich präzise auszudrücken. In einer deutlich analyti</w:t>
      </w:r>
      <w:r>
        <w:softHyphen/>
        <w:t>schen Sprache ist es in viel größerem Maße dem Wohlwollen des Sprechenden überlassen, ob er um der Präzision willen ausf</w:t>
      </w:r>
      <w:r>
        <w:t>ührli</w:t>
      </w:r>
      <w:r>
        <w:softHyphen/>
        <w:t>cher werden will oder nicht. Weiter muss man beachten, dass eine Sprache, je formenreicher sie ist, normalerweise umso flexiblere Möglichkeiten hat für die Wortstellung. Dadurch können wiederum Nuancierungen auf höchst ökonomische Art zum Ausdruck ge</w:t>
      </w:r>
      <w:r>
        <w:softHyphen/>
        <w:t>bracht werden.</w:t>
      </w:r>
    </w:p>
    <w:p w:rsidR="00BB7EDA" w:rsidRDefault="007D72B3">
      <w:pPr>
        <w:pStyle w:val="Bodytext100"/>
        <w:numPr>
          <w:ilvl w:val="3"/>
          <w:numId w:val="138"/>
        </w:numPr>
        <w:shd w:val="clear" w:color="auto" w:fill="auto"/>
        <w:tabs>
          <w:tab w:val="left" w:pos="654"/>
        </w:tabs>
        <w:spacing w:before="0"/>
        <w:ind w:firstLine="0"/>
        <w:jc w:val="left"/>
      </w:pPr>
      <w:r>
        <w:t>Woher kommt die Komplexität der Morphologie in den ältesten Sprachen?</w:t>
      </w:r>
    </w:p>
    <w:p w:rsidR="00BB7EDA" w:rsidRDefault="007D72B3">
      <w:pPr>
        <w:pStyle w:val="Bodytext20"/>
        <w:shd w:val="clear" w:color="auto" w:fill="auto"/>
        <w:spacing w:before="0" w:line="226" w:lineRule="exact"/>
      </w:pPr>
      <w:r>
        <w:t>Wir wollen an dieser Stelle noch einmal bedenken, dass sich die ältesten Sprachen der Welt im Vergleich zu modernen Sprachen Europas gerade in dem Bereich der Formenlehre</w:t>
      </w:r>
      <w:r>
        <w:t xml:space="preserve"> auszeichnen, d.h. also gerade in dem Bereich, der sich ja weitgehend unserer Sprach- kreativität entzieht. Schweizer, Deutsche, Engländer und Amerika</w:t>
      </w:r>
      <w:r>
        <w:softHyphen/>
        <w:t>ner etc. haben es im Atomzeitalter des 20. Jahrhunderts nicht ge</w:t>
      </w:r>
      <w:r>
        <w:softHyphen/>
        <w:t>schafft, ihre Sprache auch nur durch ein</w:t>
      </w:r>
      <w:r>
        <w:t>e einzige synthetische Verbal</w:t>
      </w:r>
      <w:r>
        <w:softHyphen/>
        <w:t xml:space="preserve">form zu erweitern. Wie sollen dann Urmenschen es fertig gebracht haben, im ausgehenden Chalkolithikum, den Sumerern, Akkadern und Ägyptern solche Sprache zu vermitteln, die von synthetischem Formenreichtum nur so strotzen? Es </w:t>
      </w:r>
      <w:r>
        <w:t>ist völlig illusorisch, an so etwas zu glauben.</w:t>
      </w:r>
    </w:p>
    <w:p w:rsidR="00BB7EDA" w:rsidRDefault="007D72B3">
      <w:pPr>
        <w:pStyle w:val="Bodytext20"/>
        <w:shd w:val="clear" w:color="auto" w:fill="auto"/>
        <w:spacing w:before="0" w:after="120" w:line="226" w:lineRule="exact"/>
        <w:ind w:firstLine="320"/>
      </w:pPr>
      <w:r>
        <w:t>Der syntaktische Reichtum, der auch die modernen Sprachen des Abendlandes auszeichnet, überrascht eigentlich niemanden, da wir Menschen auf dem Gebiet der Syntax nun einmal eindeutig kreativ veranlagt sind.</w:t>
      </w:r>
    </w:p>
    <w:p w:rsidR="00BB7EDA" w:rsidRDefault="007D72B3">
      <w:pPr>
        <w:pStyle w:val="Bodytext100"/>
        <w:numPr>
          <w:ilvl w:val="3"/>
          <w:numId w:val="138"/>
        </w:numPr>
        <w:shd w:val="clear" w:color="auto" w:fill="auto"/>
        <w:tabs>
          <w:tab w:val="left" w:pos="663"/>
        </w:tabs>
        <w:spacing w:before="0"/>
        <w:ind w:firstLine="0"/>
      </w:pPr>
      <w:r>
        <w:t>Keine primitiven Sprachen</w:t>
      </w:r>
    </w:p>
    <w:p w:rsidR="00BB7EDA" w:rsidRDefault="007D72B3">
      <w:pPr>
        <w:pStyle w:val="Bodytext20"/>
        <w:shd w:val="clear" w:color="auto" w:fill="auto"/>
        <w:spacing w:before="0" w:after="173" w:line="226" w:lineRule="exact"/>
      </w:pPr>
      <w:r>
        <w:t xml:space="preserve">Mit allem Nachdruck möchte ich an dieser Stelle betonen, dass </w:t>
      </w:r>
      <w:r>
        <w:rPr>
          <w:rStyle w:val="Bodytext2Italic0"/>
        </w:rPr>
        <w:t xml:space="preserve">jede </w:t>
      </w:r>
      <w:r>
        <w:t>Sprache ein höchst kompliziertes und bewundernswertes Code- System ist, das sich als voll funktionstüchtiges Kommunikations</w:t>
      </w:r>
      <w:r>
        <w:softHyphen/>
        <w:t xml:space="preserve">mittel erweist. Das gilt auch für alle </w:t>
      </w:r>
      <w:r>
        <w:t>modernen europäischen Spra</w:t>
      </w:r>
      <w:r>
        <w:softHyphen/>
        <w:t>chen. Es gibt keine primitiven Sprachen. Der Autor dieser Zeilen, weiß seinen muttersprachlichen Schweizer-Dialekt - es handelt sich um Züritiiütsch - durchaus zu schätzen und zu lieben. Niemand sollte auf die Idee kommen, irgend</w:t>
      </w:r>
      <w:r>
        <w:t>eine moderne Sprache als primi</w:t>
      </w:r>
      <w:r>
        <w:softHyphen/>
        <w:t xml:space="preserve">tiv zu bezeichnen. Dies wäre absurd. Doch es ging in diesem Kapitel um einen </w:t>
      </w:r>
      <w:r>
        <w:rPr>
          <w:rStyle w:val="Bodytext2Italic0"/>
        </w:rPr>
        <w:t>Vergleich</w:t>
      </w:r>
      <w:r>
        <w:t xml:space="preserve"> zwischen der Formenlehre der ältesten Sprachen der Welt und den modernen Sprachen der abendländischen Hoch</w:t>
      </w:r>
      <w:r>
        <w:softHyphen/>
        <w:t>zivilisation im beginnenden dri</w:t>
      </w:r>
      <w:r>
        <w:t>tten nachchristlichen Jahrtausend, und da muss man im Zusammenhang mit der Formenlehre einfach eine gewaltige Diskrepanz feststellen. Es sollte an dieser Stelle gut bedacht werden, dass es sich bei der in den ältesten Sprachen so auffällig komplexen Formen</w:t>
      </w:r>
      <w:r>
        <w:t>lehre ausgerechnet um den ins Auge springenden Bereich handelt, der sich allgemein der menschlichen Kreativität weitgehend entzieht.</w:t>
      </w:r>
    </w:p>
    <w:p w:rsidR="00BB7EDA" w:rsidRDefault="007D72B3">
      <w:pPr>
        <w:pStyle w:val="Bodytext100"/>
        <w:numPr>
          <w:ilvl w:val="3"/>
          <w:numId w:val="138"/>
        </w:numPr>
        <w:shd w:val="clear" w:color="auto" w:fill="auto"/>
        <w:tabs>
          <w:tab w:val="left" w:pos="663"/>
        </w:tabs>
        <w:spacing w:before="0" w:line="235" w:lineRule="exact"/>
        <w:ind w:firstLine="0"/>
        <w:jc w:val="left"/>
      </w:pPr>
      <w:r>
        <w:t>Sumeriologie, Akkadistik und Ägyptologie contra Evolution</w:t>
      </w:r>
    </w:p>
    <w:p w:rsidR="00BB7EDA" w:rsidRDefault="007D72B3">
      <w:pPr>
        <w:pStyle w:val="Bodytext20"/>
        <w:shd w:val="clear" w:color="auto" w:fill="auto"/>
        <w:spacing w:before="0" w:after="184"/>
      </w:pPr>
      <w:r>
        <w:t>Im Rahmen der ersten Untersuchung kommen wir nun zu folgen</w:t>
      </w:r>
      <w:r>
        <w:softHyphen/>
        <w:t>dem Sc</w:t>
      </w:r>
      <w:r>
        <w:t>hluss:</w:t>
      </w:r>
    </w:p>
    <w:p w:rsidR="00BB7EDA" w:rsidRDefault="007D72B3">
      <w:pPr>
        <w:pStyle w:val="Bodytext20"/>
        <w:shd w:val="clear" w:color="auto" w:fill="auto"/>
        <w:spacing w:before="0" w:line="226" w:lineRule="exact"/>
        <w:ind w:left="320" w:right="320"/>
        <w:sectPr w:rsidR="00BB7EDA">
          <w:pgSz w:w="7266" w:h="11422"/>
          <w:pgMar w:top="774" w:right="618" w:bottom="1085" w:left="1007" w:header="0" w:footer="3" w:gutter="0"/>
          <w:cols w:space="720"/>
          <w:noEndnote/>
          <w:docGrid w:linePitch="360"/>
        </w:sectPr>
      </w:pPr>
      <w:r>
        <w:t>Die linguistischen Tatsachen stehen den Erwartungen aus dem Evolutionsmodell völlig entgegen. Die ältesten Sprachen haben nicht den geringsten Anstrich von Primitivität. Wäre z.B. Züritüütsch die älteste bekannte Sprache der Wel</w:t>
      </w:r>
      <w:r>
        <w:t>t und Sumerisch, Akkadisch oder Ägyptisch eine Sprache des 21. Jahrhunderts n. Chr., so könnte man die Voraussage vom evolutionistischen Standpunkt im Bereich der Formenlehre wenigstens tendenziell als erfüllt betrachten. Da aber die Situation nun einmal g</w:t>
      </w:r>
      <w:r>
        <w:t>erade umgekehrt ist, so ist man zur Feststellung gezwungen, dass die Deduktion aus dem Evolutionsmodell bezüglich der ältesten Sprachen völlig fehl</w:t>
      </w:r>
      <w:r>
        <w:softHyphen/>
        <w:t>gegangen ist. Im Gegensatz dazu treffen die logischen Ablei</w:t>
      </w:r>
      <w:r>
        <w:softHyphen/>
        <w:t>tungen aus den biblischen Mitteilungen bezüglich</w:t>
      </w:r>
      <w:r>
        <w:t xml:space="preserve"> der älte</w:t>
      </w:r>
      <w:r>
        <w:softHyphen/>
        <w:t>sten Sprachen den Nagel auf den Kopf.</w:t>
      </w:r>
    </w:p>
    <w:p w:rsidR="00BB7EDA" w:rsidRDefault="007D72B3">
      <w:pPr>
        <w:pStyle w:val="Heading30"/>
        <w:keepNext/>
        <w:keepLines/>
        <w:numPr>
          <w:ilvl w:val="0"/>
          <w:numId w:val="135"/>
        </w:numPr>
        <w:shd w:val="clear" w:color="auto" w:fill="auto"/>
        <w:tabs>
          <w:tab w:val="left" w:pos="324"/>
        </w:tabs>
        <w:spacing w:after="385" w:line="336" w:lineRule="exact"/>
      </w:pPr>
      <w:bookmarkStart w:id="84" w:name="bookmark83"/>
      <w:r>
        <w:t>Zweite Untersuchung: Sind die Sprachen der Eingeborenen primitiv?</w:t>
      </w:r>
      <w:bookmarkEnd w:id="84"/>
    </w:p>
    <w:p w:rsidR="00BB7EDA" w:rsidRDefault="007D72B3">
      <w:pPr>
        <w:pStyle w:val="Bodytext20"/>
        <w:shd w:val="clear" w:color="auto" w:fill="auto"/>
        <w:spacing w:before="0" w:after="436"/>
      </w:pPr>
      <w:r>
        <w:t>Im 19. Jahrhundert hegten viele von der Evolutionslehre geprägte Wissenschaftler Hoffnungen, noch existierende Zwischenstufen zwischen den pos</w:t>
      </w:r>
      <w:r>
        <w:t>tulierten affenähnlichen Vorfahren und den heuti</w:t>
      </w:r>
      <w:r>
        <w:softHyphen/>
        <w:t>gen modernen Menschen zu finden. Diese Erwartungen waren in der Vergangenheit umso größer, je weniger Kulturen von Eingeboren</w:t>
      </w:r>
      <w:r>
        <w:softHyphen/>
        <w:t>völkern bekannt waren.</w:t>
      </w:r>
    </w:p>
    <w:p w:rsidR="00BB7EDA" w:rsidRDefault="007D72B3">
      <w:pPr>
        <w:pStyle w:val="Heading40"/>
        <w:keepNext/>
        <w:keepLines/>
        <w:numPr>
          <w:ilvl w:val="1"/>
          <w:numId w:val="135"/>
        </w:numPr>
        <w:shd w:val="clear" w:color="auto" w:fill="auto"/>
        <w:tabs>
          <w:tab w:val="left" w:pos="394"/>
        </w:tabs>
        <w:spacing w:after="253" w:line="210" w:lineRule="exact"/>
      </w:pPr>
      <w:bookmarkStart w:id="85" w:name="bookmark84"/>
      <w:r>
        <w:t>Die Sprache der Feuerländer</w:t>
      </w:r>
      <w:bookmarkEnd w:id="85"/>
    </w:p>
    <w:p w:rsidR="00BB7EDA" w:rsidRDefault="007D72B3">
      <w:pPr>
        <w:pStyle w:val="Heading50"/>
        <w:keepNext/>
        <w:keepLines/>
        <w:numPr>
          <w:ilvl w:val="2"/>
          <w:numId w:val="135"/>
        </w:numPr>
        <w:shd w:val="clear" w:color="auto" w:fill="auto"/>
        <w:tabs>
          <w:tab w:val="left" w:pos="500"/>
        </w:tabs>
        <w:spacing w:after="223" w:line="180" w:lineRule="exact"/>
      </w:pPr>
      <w:bookmarkStart w:id="86" w:name="bookmark85"/>
      <w:r>
        <w:t>Feuerländer auf der „Beagle"</w:t>
      </w:r>
      <w:bookmarkEnd w:id="86"/>
    </w:p>
    <w:p w:rsidR="00BB7EDA" w:rsidRDefault="007D72B3">
      <w:pPr>
        <w:pStyle w:val="Bodytext20"/>
        <w:shd w:val="clear" w:color="auto" w:fill="auto"/>
        <w:spacing w:before="0" w:line="226" w:lineRule="exact"/>
      </w:pPr>
      <w:r>
        <w:t xml:space="preserve">Als </w:t>
      </w:r>
      <w:r>
        <w:rPr>
          <w:rStyle w:val="Bodytext28ptSmallCaps"/>
        </w:rPr>
        <w:t xml:space="preserve">Darwin </w:t>
      </w:r>
      <w:r>
        <w:t>seine Weltreise mit der „Beagle" machte, waren auch zwei Feuerländer mit auf dem Schiff.</w:t>
      </w:r>
      <w:r>
        <w:rPr>
          <w:vertAlign w:val="superscript"/>
        </w:rPr>
        <w:t>380</w:t>
      </w:r>
      <w:r>
        <w:t xml:space="preserve"> Diese beiden „Lebewesen" waren zu einem früheren Zeitpunkt nach Europa verschleppt wor</w:t>
      </w:r>
      <w:r>
        <w:softHyphen/>
        <w:t>den. So wurden sie mit der englischen Hochkultur konfrontiert. Ein</w:t>
      </w:r>
      <w:r>
        <w:t>e Zeitlang durften sie sogar etwas abendländischen Schulunterricht genießen.</w:t>
      </w:r>
    </w:p>
    <w:p w:rsidR="00BB7EDA" w:rsidRDefault="007D72B3">
      <w:pPr>
        <w:pStyle w:val="Bodytext20"/>
        <w:shd w:val="clear" w:color="auto" w:fill="auto"/>
        <w:spacing w:before="0" w:line="226" w:lineRule="exact"/>
        <w:ind w:firstLine="320"/>
      </w:pPr>
      <w:r>
        <w:t>Ihre Rückreise nach Feuerland sollte u.a. bezwecken, dass sie ihren „primitiven" Stammesgenossen etwas von der hochentwickel</w:t>
      </w:r>
      <w:r>
        <w:softHyphen/>
        <w:t>ten Kultur und Bildung Englands vermitteln würden.</w:t>
      </w:r>
    </w:p>
    <w:p w:rsidR="00BB7EDA" w:rsidRDefault="007D72B3">
      <w:pPr>
        <w:pStyle w:val="Bodytext20"/>
        <w:shd w:val="clear" w:color="auto" w:fill="auto"/>
        <w:spacing w:before="0" w:after="217" w:line="226" w:lineRule="exact"/>
        <w:ind w:firstLine="320"/>
      </w:pPr>
      <w:r>
        <w:t>Doch wie groß war die Enttäuschung! Nach kurzer Zeit fielen diese beiden Feuerländer wieder zurück in ihre alte „primitive" Lebensweise! Für viele in England war das ein Beweis, dass es sich bei den Feuerländern um einen Überrest einer niedrigen Evolutions</w:t>
      </w:r>
      <w:r>
        <w:softHyphen/>
        <w:t>stufe oder zumindest um einen ganz unterentwickelten Menschen</w:t>
      </w:r>
      <w:r>
        <w:softHyphen/>
        <w:t xml:space="preserve">typ handeln musste. </w:t>
      </w:r>
      <w:r>
        <w:rPr>
          <w:rStyle w:val="Bodytext28ptSmallCaps"/>
        </w:rPr>
        <w:t xml:space="preserve">Darwin </w:t>
      </w:r>
      <w:r>
        <w:t>selbst äußerte sich einmal folgender</w:t>
      </w:r>
      <w:r>
        <w:softHyphen/>
        <w:t>maßen über diese Inselbewohner:</w:t>
      </w:r>
    </w:p>
    <w:p w:rsidR="00BB7EDA" w:rsidRDefault="007D72B3">
      <w:pPr>
        <w:pStyle w:val="Bodytext20"/>
        <w:shd w:val="clear" w:color="auto" w:fill="auto"/>
        <w:spacing w:before="0" w:after="19" w:line="180" w:lineRule="exact"/>
        <w:ind w:firstLine="320"/>
      </w:pPr>
      <w:r>
        <w:t>„Wenn sie nicht das fehlende Zwischenglied sind, sind sie auf</w:t>
      </w:r>
    </w:p>
    <w:p w:rsidR="00BB7EDA" w:rsidRDefault="007D72B3">
      <w:pPr>
        <w:pStyle w:val="Bodytext20"/>
        <w:shd w:val="clear" w:color="auto" w:fill="auto"/>
        <w:spacing w:before="0" w:after="254" w:line="180" w:lineRule="exact"/>
        <w:ind w:firstLine="320"/>
      </w:pPr>
      <w:r>
        <w:t>jeden Fall nicht weit davon weg, es</w:t>
      </w:r>
      <w:r>
        <w:t xml:space="preserve"> zu sein."</w:t>
      </w:r>
      <w:r>
        <w:rPr>
          <w:vertAlign w:val="superscript"/>
        </w:rPr>
        <w:t>381</w:t>
      </w:r>
    </w:p>
    <w:p w:rsidR="00BB7EDA" w:rsidRDefault="007D72B3">
      <w:pPr>
        <w:pStyle w:val="Bodytext20"/>
        <w:shd w:val="clear" w:color="auto" w:fill="auto"/>
        <w:spacing w:before="0" w:after="270" w:line="180" w:lineRule="exact"/>
        <w:ind w:firstLine="320"/>
      </w:pPr>
      <w:r>
        <w:t xml:space="preserve">An Professor </w:t>
      </w:r>
      <w:r>
        <w:rPr>
          <w:rStyle w:val="Bodytext28ptSmallCaps"/>
        </w:rPr>
        <w:t xml:space="preserve">Henslow </w:t>
      </w:r>
      <w:r>
        <w:t xml:space="preserve">schrieb </w:t>
      </w:r>
      <w:r>
        <w:rPr>
          <w:rStyle w:val="Bodytext28ptSmallCaps"/>
        </w:rPr>
        <w:t xml:space="preserve">Darwin </w:t>
      </w:r>
      <w:r>
        <w:t>am 11. April 1833:</w:t>
      </w:r>
    </w:p>
    <w:p w:rsidR="00BB7EDA" w:rsidRDefault="007D72B3">
      <w:pPr>
        <w:pStyle w:val="Bodytext240"/>
        <w:numPr>
          <w:ilvl w:val="0"/>
          <w:numId w:val="151"/>
        </w:numPr>
        <w:shd w:val="clear" w:color="auto" w:fill="auto"/>
        <w:tabs>
          <w:tab w:val="left" w:pos="324"/>
        </w:tabs>
        <w:spacing w:before="0" w:after="39" w:line="160" w:lineRule="exact"/>
      </w:pPr>
      <w:r>
        <w:t xml:space="preserve">ygj </w:t>
      </w:r>
      <w:r>
        <w:rPr>
          <w:rStyle w:val="Bodytext247ptSmallCaps"/>
        </w:rPr>
        <w:t xml:space="preserve">. Glashouwer/Ouweneel: </w:t>
      </w:r>
      <w:r>
        <w:rPr>
          <w:rStyle w:val="Bodytext24SmallCaps"/>
        </w:rPr>
        <w:t>So</w:t>
      </w:r>
      <w:r>
        <w:t xml:space="preserve"> entstand die Welt, S. 112.</w:t>
      </w:r>
    </w:p>
    <w:p w:rsidR="00BB7EDA" w:rsidRDefault="007D72B3">
      <w:pPr>
        <w:pStyle w:val="Bodytext240"/>
        <w:numPr>
          <w:ilvl w:val="0"/>
          <w:numId w:val="151"/>
        </w:numPr>
        <w:shd w:val="clear" w:color="auto" w:fill="auto"/>
        <w:tabs>
          <w:tab w:val="left" w:pos="324"/>
        </w:tabs>
        <w:spacing w:before="0" w:after="0" w:line="160" w:lineRule="exact"/>
      </w:pPr>
      <w:r>
        <w:t xml:space="preserve">Zitiert nach: </w:t>
      </w:r>
      <w:r>
        <w:rPr>
          <w:rStyle w:val="Bodytext247ptSmallCaps"/>
        </w:rPr>
        <w:t xml:space="preserve">Glashouwer/Ouweneel: </w:t>
      </w:r>
      <w:r>
        <w:rPr>
          <w:rStyle w:val="Bodytext24SmallCaps"/>
        </w:rPr>
        <w:t>So</w:t>
      </w:r>
      <w:r>
        <w:t xml:space="preserve"> entstand die Welt, S. 112.</w:t>
      </w:r>
    </w:p>
    <w:p w:rsidR="00BB7EDA" w:rsidRDefault="007D72B3">
      <w:pPr>
        <w:pStyle w:val="Bodytext20"/>
        <w:shd w:val="clear" w:color="auto" w:fill="auto"/>
        <w:spacing w:before="0" w:after="160"/>
        <w:ind w:left="340" w:right="320"/>
      </w:pPr>
      <w:r>
        <w:t xml:space="preserve">„Ich glaube nicht, dass irgend ein Schauspiel interessanter sein </w:t>
      </w:r>
      <w:r>
        <w:t>kann als der erste Anblick von Menschen in ihrer ur</w:t>
      </w:r>
      <w:r>
        <w:softHyphen/>
        <w:t>sprünglichen Wildheit. Es ist ein Interesse, welches man sich nicht gut vorstellen kann, bis man es selbst erfahren hat. Ich werde das nie vergessen, als wir in die Good Success Bay einfuhren, der Schrei,</w:t>
      </w:r>
      <w:r>
        <w:t xml:space="preserve"> mit welchem uns eine Partie Feuer</w:t>
      </w:r>
      <w:r>
        <w:softHyphen/>
        <w:t>länder empfing. Sie saßen auf einer Felsspitze, von dem dunklen Buchenwalde umgeben; wie sie ihre Arme wild um ihre Köpfe herumwarfen und ihr langes Haar flatterte, schie</w:t>
      </w:r>
      <w:r>
        <w:softHyphen/>
        <w:t xml:space="preserve">nen sie unruhevolle Geister aus einer andern Welt </w:t>
      </w:r>
      <w:r>
        <w:t>zu sein."</w:t>
      </w:r>
      <w:r>
        <w:rPr>
          <w:vertAlign w:val="superscript"/>
        </w:rPr>
        <w:footnoteReference w:id="308"/>
      </w:r>
    </w:p>
    <w:p w:rsidR="00BB7EDA" w:rsidRDefault="007D72B3">
      <w:pPr>
        <w:pStyle w:val="Bodytext20"/>
        <w:shd w:val="clear" w:color="auto" w:fill="auto"/>
        <w:spacing w:before="0" w:after="158" w:line="180" w:lineRule="exact"/>
        <w:jc w:val="right"/>
      </w:pPr>
      <w:r>
        <w:t xml:space="preserve">In einem Brief an Ch. </w:t>
      </w:r>
      <w:r>
        <w:rPr>
          <w:rStyle w:val="Bodytext28ptSmallCaps"/>
        </w:rPr>
        <w:t xml:space="preserve">Whitley </w:t>
      </w:r>
      <w:r>
        <w:t xml:space="preserve">schrieb </w:t>
      </w:r>
      <w:r>
        <w:rPr>
          <w:rStyle w:val="Bodytext28ptSmallCaps"/>
        </w:rPr>
        <w:t xml:space="preserve">Darwin </w:t>
      </w:r>
      <w:r>
        <w:t>am 23. Juli 1834:</w:t>
      </w:r>
    </w:p>
    <w:p w:rsidR="00BB7EDA" w:rsidRDefault="007D72B3">
      <w:pPr>
        <w:pStyle w:val="Bodytext20"/>
        <w:shd w:val="clear" w:color="auto" w:fill="auto"/>
        <w:spacing w:before="0" w:after="277" w:line="226" w:lineRule="exact"/>
        <w:ind w:left="340" w:right="320"/>
      </w:pPr>
      <w:r>
        <w:t>„Ich habe aber nichts gesehen, was mich vollständiger in Erstaunen gesetzt hätte, als der erste Anblick eines Wilden. Es war ein nackter Feuerländer, sein langes Haar wehte umher, se</w:t>
      </w:r>
      <w:r>
        <w:t>in Gesicht war mit Farbe beschmiert. In ihren Gesichtern liegt ein Ausdruck, welcher, glaube ich, allen denen, die ihn nicht gesehen haben, ganz unbegreiflich wild Vorkommen muss. Auf einem Felsen stehend stieß er Töne aus und machte Gesticulationen, gegen</w:t>
      </w:r>
      <w:r>
        <w:t xml:space="preserve"> welche die Laute der domesticierten Thiere weit verständlicher sind."</w:t>
      </w:r>
      <w:r>
        <w:rPr>
          <w:vertAlign w:val="superscript"/>
        </w:rPr>
        <w:footnoteReference w:id="309"/>
      </w:r>
    </w:p>
    <w:p w:rsidR="00BB7EDA" w:rsidRDefault="007D72B3">
      <w:pPr>
        <w:pStyle w:val="Bodytext90"/>
        <w:shd w:val="clear" w:color="auto" w:fill="auto"/>
        <w:spacing w:after="163" w:line="180" w:lineRule="exact"/>
      </w:pPr>
      <w:r>
        <w:rPr>
          <w:rStyle w:val="Bodytext98pt"/>
          <w:b/>
          <w:bCs/>
        </w:rPr>
        <w:t xml:space="preserve">7.1.2 </w:t>
      </w:r>
      <w:r>
        <w:t xml:space="preserve">Thomas </w:t>
      </w:r>
      <w:r>
        <w:rPr>
          <w:rStyle w:val="Bodytext98ptSmallCaps"/>
          <w:b/>
          <w:bCs/>
        </w:rPr>
        <w:t xml:space="preserve">Bridges </w:t>
      </w:r>
      <w:r>
        <w:t>auf Feuerland</w:t>
      </w:r>
    </w:p>
    <w:p w:rsidR="00BB7EDA" w:rsidRDefault="007D72B3">
      <w:pPr>
        <w:pStyle w:val="Bodytext20"/>
        <w:shd w:val="clear" w:color="auto" w:fill="auto"/>
        <w:spacing w:before="0" w:line="226" w:lineRule="exact"/>
      </w:pPr>
      <w:r>
        <w:t xml:space="preserve">Der Engländer Thomas </w:t>
      </w:r>
      <w:r>
        <w:rPr>
          <w:rStyle w:val="Bodytext28ptSmallCaps"/>
        </w:rPr>
        <w:t xml:space="preserve">Bridges </w:t>
      </w:r>
      <w:r>
        <w:t>gab sich allerdings mit solchen Erklärungen und Urteilen nicht zufrieden. Er sah in den Feuer</w:t>
      </w:r>
      <w:r>
        <w:softHyphen/>
        <w:t>ländern wertvolle Menschen</w:t>
      </w:r>
      <w:r>
        <w:t xml:space="preserve">, denen er die Frohe Botschaft von der Erlösung durch Jesus Christus bringen wollte. Dabei sah er sich zunächst mit der Schwierigkeit konfrontiert, die Sprachbariieie der Feuerländer zu überwinden. Wie sich herausstellte, bedeutete dies nicht, einfach ein </w:t>
      </w:r>
      <w:r>
        <w:t xml:space="preserve">paar primitive Schreie und Grunzlaute zu lernen. Nein, Thomas </w:t>
      </w:r>
      <w:r>
        <w:rPr>
          <w:rStyle w:val="Bodytext28ptSmallCaps"/>
        </w:rPr>
        <w:t xml:space="preserve">Bridges </w:t>
      </w:r>
      <w:r>
        <w:t>musste die Sprache der Feuerländer während 40 (!) Jahren intensiv studieren. Er erstellte ein Wörterbuch mit</w:t>
      </w:r>
    </w:p>
    <w:p w:rsidR="00BB7EDA" w:rsidRDefault="007D72B3">
      <w:pPr>
        <w:pStyle w:val="Bodytext20"/>
        <w:numPr>
          <w:ilvl w:val="0"/>
          <w:numId w:val="152"/>
        </w:numPr>
        <w:shd w:val="clear" w:color="auto" w:fill="auto"/>
        <w:tabs>
          <w:tab w:val="left" w:pos="654"/>
        </w:tabs>
        <w:spacing w:before="0" w:line="226" w:lineRule="exact"/>
        <w:sectPr w:rsidR="00BB7EDA">
          <w:pgSz w:w="7266" w:h="11422"/>
          <w:pgMar w:top="816" w:right="595" w:bottom="1140" w:left="1022" w:header="0" w:footer="3" w:gutter="0"/>
          <w:cols w:space="720"/>
          <w:noEndnote/>
          <w:docGrid w:linePitch="360"/>
        </w:sectPr>
      </w:pPr>
      <w:r>
        <w:t>Vokabeln. Die Sprache der Feuerländer entpuppte sich als</w:t>
      </w:r>
      <w:r>
        <w:t xml:space="preserve"> eine Sprache mit umwerfend vielfältigen Ausdrucksmöglichkeiten. Die Feuerländer waren in der Lage, feinste sprachliche Nuancierun</w:t>
      </w:r>
      <w:r>
        <w:softHyphen/>
        <w:t>gen zum Ausdruck zu bringen.</w:t>
      </w:r>
      <w:r>
        <w:rPr>
          <w:vertAlign w:val="superscript"/>
        </w:rPr>
        <w:footnoteReference w:id="310"/>
      </w:r>
    </w:p>
    <w:p w:rsidR="00BB7EDA" w:rsidRDefault="00BB7EDA">
      <w:pPr>
        <w:spacing w:line="191" w:lineRule="exact"/>
        <w:rPr>
          <w:sz w:val="15"/>
          <w:szCs w:val="15"/>
        </w:rPr>
      </w:pPr>
    </w:p>
    <w:p w:rsidR="00BB7EDA" w:rsidRDefault="00BB7EDA">
      <w:pPr>
        <w:rPr>
          <w:sz w:val="2"/>
          <w:szCs w:val="2"/>
        </w:rPr>
        <w:sectPr w:rsidR="00BB7EDA">
          <w:footerReference w:type="even" r:id="rId110"/>
          <w:footerReference w:type="default" r:id="rId111"/>
          <w:headerReference w:type="first" r:id="rId112"/>
          <w:footerReference w:type="first" r:id="rId113"/>
          <w:pgSz w:w="7266" w:h="11422"/>
          <w:pgMar w:top="919" w:right="0" w:bottom="1032" w:left="0" w:header="0" w:footer="3" w:gutter="0"/>
          <w:cols w:space="720"/>
          <w:noEndnote/>
          <w:titlePg/>
          <w:docGrid w:linePitch="360"/>
        </w:sectPr>
      </w:pPr>
    </w:p>
    <w:p w:rsidR="00BB7EDA" w:rsidRDefault="007D72B3">
      <w:pPr>
        <w:pStyle w:val="Bodytext20"/>
        <w:shd w:val="clear" w:color="auto" w:fill="auto"/>
        <w:spacing w:before="0"/>
      </w:pPr>
      <w:r>
        <w:t>Die Zahl von 32.000 katalogisierten Vokabeln in der Sprache der Feuerländer ist erstaunlich, zumal es sich um eine Sprache ohne Schrift handelte. Durch die Schrift können nämlich unzählige Wör</w:t>
      </w:r>
      <w:r>
        <w:softHyphen/>
        <w:t xml:space="preserve">ter, die außer </w:t>
      </w:r>
      <w:r>
        <w:t>Gebrauch kommen, konserviert werden, sodass später immer wieder neu darauf zugegriffen werden kann. Sprachgruppen, die über eine Schrift verfügen, haben die Möglichkeit, ihr Vokabular auf einer sehr hohen Zahl zu halten. Die Feuerländer hatten aber keine S</w:t>
      </w:r>
      <w:r>
        <w:t>chrift und lebten auf einer Kulturstufe, die man mit den steinzeitlichen Zivilisationen der Frühgeschichte vergleichen kann. Wenn man dies bedenkt, so ist die Größe ihres aktiven Vokabulars beeindruckend.</w:t>
      </w:r>
    </w:p>
    <w:p w:rsidR="00BB7EDA" w:rsidRDefault="007D72B3">
      <w:pPr>
        <w:pStyle w:val="Bodytext20"/>
        <w:shd w:val="clear" w:color="auto" w:fill="auto"/>
        <w:spacing w:before="0" w:after="184"/>
        <w:ind w:firstLine="320"/>
      </w:pPr>
      <w:r>
        <w:t>An dieser Stelle möchte ich auf einige wichtige Zah</w:t>
      </w:r>
      <w:r>
        <w:t>len in Verbin</w:t>
      </w:r>
      <w:r>
        <w:softHyphen/>
        <w:t>dung mit diesem Thema hinweisen:</w:t>
      </w:r>
      <w:r>
        <w:rPr>
          <w:vertAlign w:val="superscript"/>
        </w:rPr>
        <w:footnoteReference w:id="311"/>
      </w:r>
    </w:p>
    <w:p w:rsidR="00BB7EDA" w:rsidRDefault="007D72B3">
      <w:pPr>
        <w:pStyle w:val="Bodytext100"/>
        <w:numPr>
          <w:ilvl w:val="0"/>
          <w:numId w:val="153"/>
        </w:numPr>
        <w:shd w:val="clear" w:color="auto" w:fill="auto"/>
        <w:tabs>
          <w:tab w:val="left" w:pos="639"/>
        </w:tabs>
        <w:spacing w:before="0"/>
        <w:ind w:firstLine="0"/>
      </w:pPr>
      <w:r>
        <w:t>Statistik und Mindestwortschatz</w:t>
      </w:r>
    </w:p>
    <w:p w:rsidR="00BB7EDA" w:rsidRDefault="007D72B3">
      <w:pPr>
        <w:pStyle w:val="Bodytext20"/>
        <w:shd w:val="clear" w:color="auto" w:fill="auto"/>
        <w:spacing w:before="0" w:line="226" w:lineRule="exact"/>
      </w:pPr>
      <w:r>
        <w:t>Das als internationale Hilfssprache verwendete Basic English mit seiner vereinfachten Grammatik umfasst etwa 850 Wörter, und damit lässt sich bereits notdürftig kommunizieren.</w:t>
      </w:r>
    </w:p>
    <w:p w:rsidR="00BB7EDA" w:rsidRDefault="007D72B3">
      <w:pPr>
        <w:pStyle w:val="Bodytext20"/>
        <w:shd w:val="clear" w:color="auto" w:fill="auto"/>
        <w:spacing w:before="0" w:after="180" w:line="226" w:lineRule="exact"/>
        <w:ind w:firstLine="320"/>
      </w:pPr>
      <w:r>
        <w:t>Wer in irgendeiner Sprache die 2.000 statistisch am häufigsten verwendeten Wörter kennt, versteht bereits ca. 88% der täglichen Umgangssprache. Mit weiteren 2.000 Wörtern kann dieser Prozent</w:t>
      </w:r>
      <w:r>
        <w:softHyphen/>
        <w:t>satz auf etwa 95% erhöht werden.</w:t>
      </w:r>
    </w:p>
    <w:p w:rsidR="00BB7EDA" w:rsidRDefault="007D72B3">
      <w:pPr>
        <w:pStyle w:val="Bodytext100"/>
        <w:numPr>
          <w:ilvl w:val="0"/>
          <w:numId w:val="154"/>
        </w:numPr>
        <w:shd w:val="clear" w:color="auto" w:fill="auto"/>
        <w:tabs>
          <w:tab w:val="left" w:pos="649"/>
        </w:tabs>
        <w:spacing w:before="0"/>
        <w:ind w:firstLine="0"/>
      </w:pPr>
      <w:r>
        <w:t>Vokabular und individuelle Sprac</w:t>
      </w:r>
      <w:r>
        <w:t>hentwicklung</w:t>
      </w:r>
    </w:p>
    <w:p w:rsidR="00BB7EDA" w:rsidRDefault="007D72B3">
      <w:pPr>
        <w:pStyle w:val="Bodytext20"/>
        <w:shd w:val="clear" w:color="auto" w:fill="auto"/>
        <w:spacing w:before="0" w:line="226" w:lineRule="exact"/>
      </w:pPr>
      <w:r>
        <w:t>Kinder verfügen mit etwa l’/</w:t>
      </w:r>
      <w:r>
        <w:rPr>
          <w:vertAlign w:val="subscript"/>
        </w:rPr>
        <w:t>2</w:t>
      </w:r>
      <w:r>
        <w:t xml:space="preserve"> Jahren über ca. 50 Wörter bzw. wortähnliche Gebilde.</w:t>
      </w:r>
      <w:r>
        <w:rPr>
          <w:vertAlign w:val="superscript"/>
        </w:rPr>
        <w:footnoteReference w:id="312"/>
      </w:r>
      <w:r>
        <w:t xml:space="preserve"> Von da an steigt ihr Wortschatz kontinuier</w:t>
      </w:r>
      <w:r>
        <w:softHyphen/>
        <w:t xml:space="preserve">lich an. Sechsjährige verwenden etwa 5.000 Vokabeln aktiv. Sie verstehen jedoch über 23.700 Wörter. Dies stellt ihr </w:t>
      </w:r>
      <w:r>
        <w:t>passiver Wort</w:t>
      </w:r>
      <w:r>
        <w:softHyphen/>
        <w:t>schatz dar. Innerhalb von 4</w:t>
      </w:r>
      <w:r>
        <w:rPr>
          <w:vertAlign w:val="superscript"/>
        </w:rPr>
        <w:t>1</w:t>
      </w:r>
      <w:r>
        <w:t xml:space="preserve"> /</w:t>
      </w:r>
      <w:r>
        <w:rPr>
          <w:vertAlign w:val="subscript"/>
        </w:rPr>
        <w:t>2</w:t>
      </w:r>
      <w:r>
        <w:t xml:space="preserve"> Jahren nehmen Kinder somit im Durchschnitt täglich 3,5 Wörter in ihren aktiven und 14 in ihren passiven Wortschatz auf. Diese steile Entwicklung geht jedoch nicht linear weiter, denn sonst würde unser aktiver Wortschatz mit 80 Jahren aus ungefähr 100.000 </w:t>
      </w:r>
      <w:r>
        <w:t>Wörtern bestehen, während unser pas</w:t>
      </w:r>
      <w:r>
        <w:softHyphen/>
        <w:t>sives Vokabular sage und schreibe mehr als 400.000 Wörter umfas</w:t>
      </w:r>
      <w:r>
        <w:softHyphen/>
        <w:t>sen würde.</w:t>
      </w:r>
    </w:p>
    <w:p w:rsidR="00BB7EDA" w:rsidRDefault="007D72B3">
      <w:pPr>
        <w:pStyle w:val="Bodytext20"/>
        <w:shd w:val="clear" w:color="auto" w:fill="auto"/>
        <w:spacing w:before="0" w:line="226" w:lineRule="exact"/>
        <w:ind w:firstLine="340"/>
      </w:pPr>
      <w:r>
        <w:t xml:space="preserve">In jungen Jahren waren wir wahrhaftig alle Wunderkinder. Doch mit zunehmender Reife hat diese Erfolgszeit ein Ende gefunden. Erwachsene verfügen </w:t>
      </w:r>
      <w:r>
        <w:t>nämlich im Normalfall aktiv über etwa 8.000 bis 16.000 Vokabeln. Gebildete Erwachsene sind in der Lage ihren passiven Wortschatz auf die stattliche Zahl von vielleicht etwa</w:t>
      </w:r>
    </w:p>
    <w:p w:rsidR="00BB7EDA" w:rsidRDefault="007D72B3">
      <w:pPr>
        <w:pStyle w:val="Bodytext20"/>
        <w:numPr>
          <w:ilvl w:val="0"/>
          <w:numId w:val="155"/>
        </w:numPr>
        <w:shd w:val="clear" w:color="auto" w:fill="auto"/>
        <w:tabs>
          <w:tab w:val="left" w:pos="644"/>
        </w:tabs>
        <w:spacing w:before="0" w:after="176" w:line="226" w:lineRule="exact"/>
      </w:pPr>
      <w:r>
        <w:t>Wörter zu expandieren.</w:t>
      </w:r>
    </w:p>
    <w:p w:rsidR="00BB7EDA" w:rsidRDefault="007D72B3">
      <w:pPr>
        <w:pStyle w:val="Bodytext100"/>
        <w:numPr>
          <w:ilvl w:val="0"/>
          <w:numId w:val="156"/>
        </w:numPr>
        <w:shd w:val="clear" w:color="auto" w:fill="auto"/>
        <w:tabs>
          <w:tab w:val="left" w:pos="634"/>
        </w:tabs>
        <w:spacing w:before="0" w:line="230" w:lineRule="exact"/>
        <w:ind w:firstLine="0"/>
      </w:pPr>
      <w:r>
        <w:t>Wortschatz in der Literatur</w:t>
      </w:r>
    </w:p>
    <w:p w:rsidR="00BB7EDA" w:rsidRDefault="007D72B3">
      <w:pPr>
        <w:pStyle w:val="Bodytext20"/>
        <w:shd w:val="clear" w:color="auto" w:fill="auto"/>
        <w:spacing w:before="0" w:after="436"/>
      </w:pPr>
      <w:r>
        <w:t>Ein paar statistische Zahlen übe</w:t>
      </w:r>
      <w:r>
        <w:t>r die Größe des Wortschatzes in der Literatur mögen das eben Ausgeführte noch etwas abrunden: Höl</w:t>
      </w:r>
      <w:r>
        <w:softHyphen/>
        <w:t xml:space="preserve">derlins Wortschatz umfasst in seinen Werken etwa 7.500 Vokabeln. Bei Homer kommt man auf ungefähr 9.000, während man bei Luther ca. 12.000 und bei Storm etwa </w:t>
      </w:r>
      <w:r>
        <w:t>22.500 findet. Shakespeare überbietet diese Zahlen massiv. Sein literarischer Wortschatz umfasst etwa 30.900 Vokabeln.</w:t>
      </w:r>
    </w:p>
    <w:p w:rsidR="00BB7EDA" w:rsidRDefault="007D72B3">
      <w:pPr>
        <w:pStyle w:val="Heading40"/>
        <w:keepNext/>
        <w:keepLines/>
        <w:numPr>
          <w:ilvl w:val="1"/>
          <w:numId w:val="135"/>
        </w:numPr>
        <w:shd w:val="clear" w:color="auto" w:fill="auto"/>
        <w:tabs>
          <w:tab w:val="left" w:pos="394"/>
        </w:tabs>
        <w:spacing w:after="188" w:line="210" w:lineRule="exact"/>
      </w:pPr>
      <w:bookmarkStart w:id="87" w:name="bookmark86"/>
      <w:r>
        <w:t>Durch die Bibel motivierte Linguistik</w:t>
      </w:r>
      <w:bookmarkEnd w:id="87"/>
    </w:p>
    <w:p w:rsidR="00BB7EDA" w:rsidRDefault="007D72B3">
      <w:pPr>
        <w:pStyle w:val="Heading50"/>
        <w:keepNext/>
        <w:keepLines/>
        <w:numPr>
          <w:ilvl w:val="2"/>
          <w:numId w:val="135"/>
        </w:numPr>
        <w:shd w:val="clear" w:color="auto" w:fill="auto"/>
        <w:tabs>
          <w:tab w:val="left" w:pos="495"/>
        </w:tabs>
        <w:spacing w:after="163" w:line="180" w:lineRule="exact"/>
      </w:pPr>
      <w:bookmarkStart w:id="88" w:name="bookmark87"/>
      <w:r>
        <w:t>Geistliche Erweckung und Sprachinteresse</w:t>
      </w:r>
      <w:bookmarkEnd w:id="88"/>
    </w:p>
    <w:p w:rsidR="00BB7EDA" w:rsidRDefault="007D72B3">
      <w:pPr>
        <w:pStyle w:val="Bodytext20"/>
        <w:shd w:val="clear" w:color="auto" w:fill="auto"/>
        <w:spacing w:before="0" w:line="226" w:lineRule="exact"/>
        <w:sectPr w:rsidR="00BB7EDA">
          <w:type w:val="continuous"/>
          <w:pgSz w:w="7266" w:h="11422"/>
          <w:pgMar w:top="919" w:right="594" w:bottom="1032" w:left="1002" w:header="0" w:footer="3" w:gutter="0"/>
          <w:cols w:space="720"/>
          <w:noEndnote/>
          <w:docGrid w:linePitch="360"/>
        </w:sectPr>
      </w:pPr>
      <w:r>
        <w:t>Unter den Christen, welche die Bibel</w:t>
      </w:r>
      <w:r>
        <w:t xml:space="preserve"> vollumfänglich als Gottes Wort betrachten, gab es ab dem 19. Jahrhundert ein großes Erwachen im Blick auf die weltweite Verbreitung der Frohen Botschaft. Immer mehr überzeugte Jünger von Jesus Christus, begannen aufgrund des biblischen Missionsauftrages</w:t>
      </w:r>
      <w:r>
        <w:rPr>
          <w:vertAlign w:val="superscript"/>
        </w:rPr>
        <w:footnoteReference w:id="313"/>
      </w:r>
      <w:r>
        <w:t xml:space="preserve"> </w:t>
      </w:r>
      <w:r>
        <w:t xml:space="preserve">die Notwendigkeit einzusehen, dass alle Volksgruppen der Welt Gottes Wort </w:t>
      </w:r>
      <w:r>
        <w:rPr>
          <w:rStyle w:val="Bodytext2Italic0"/>
        </w:rPr>
        <w:t xml:space="preserve">in ihrer eigenen Sprache </w:t>
      </w:r>
      <w:r>
        <w:t xml:space="preserve">hören sollten. Man erkannte mehr und mehr, dass es nicht gut ist, die Eingeborenen dahin zu bringen, zuerst eine europäische Sprache zu lernen, um dann ersr </w:t>
      </w:r>
      <w:r>
        <w:t>die Bibel lesen oder hören zu können. Nein, man erkannte vielmehr, dass allen Menschen die Möglichkeit ge</w:t>
      </w:r>
      <w:r>
        <w:softHyphen/>
        <w:t xml:space="preserve">schaffen werden sollte, Gottes Reden durch die Bibel in der </w:t>
      </w:r>
      <w:r>
        <w:rPr>
          <w:rStyle w:val="Bodytext2Italic0"/>
        </w:rPr>
        <w:t>„Sprache ihres Herzens"</w:t>
      </w:r>
      <w:r>
        <w:t xml:space="preserve"> aufnehmen zu können. Dies führte zu einem wahren Boom in der Sprac</w:t>
      </w:r>
      <w:r>
        <w:t xml:space="preserve">hwissenschaft. Immer mehr bibeltreue Christen begannen, Sprachen von Eingeborenenvölkern zu studieren und anschließend zu alphabetisieren. Diese sprachwissenschaftlichen Forschungen trugen in gewaltigem Maße dazu bei, dass zahlreiche Eingeborenen-Sprachen </w:t>
      </w:r>
      <w:r>
        <w:t>in ihrer Bedeutung gestärkt wurden und so weniger durch europäische Sprachen verdrängt werden konnten.</w:t>
      </w:r>
    </w:p>
    <w:p w:rsidR="00BB7EDA" w:rsidRDefault="007D72B3">
      <w:pPr>
        <w:pStyle w:val="Bodytext20"/>
        <w:shd w:val="clear" w:color="auto" w:fill="auto"/>
        <w:spacing w:before="0" w:after="397" w:line="226" w:lineRule="exact"/>
      </w:pPr>
      <w:r>
        <w:t xml:space="preserve">Der Grundsatz, dass jede Sprache als Muttersprache gleich wertvoll und erhaltenswert sei, erwies sich dabei als sehr bedeutungsvoll. Manche Kulturen von </w:t>
      </w:r>
      <w:r>
        <w:t>Minderheiten konnten so vor ihrem Unter</w:t>
      </w:r>
      <w:r>
        <w:softHyphen/>
        <w:t>gang bewahrt werden.</w:t>
      </w:r>
    </w:p>
    <w:p w:rsidR="00BB7EDA" w:rsidRDefault="007D72B3">
      <w:pPr>
        <w:pStyle w:val="Bodytext90"/>
        <w:numPr>
          <w:ilvl w:val="2"/>
          <w:numId w:val="135"/>
        </w:numPr>
        <w:shd w:val="clear" w:color="auto" w:fill="auto"/>
        <w:tabs>
          <w:tab w:val="left" w:pos="505"/>
        </w:tabs>
        <w:spacing w:after="159" w:line="180" w:lineRule="exact"/>
      </w:pPr>
      <w:r>
        <w:t>Bibelübersetzungen von 1800 bis heute</w:t>
      </w:r>
    </w:p>
    <w:p w:rsidR="00BB7EDA" w:rsidRDefault="007D72B3">
      <w:pPr>
        <w:pStyle w:val="Bodytext20"/>
        <w:shd w:val="clear" w:color="auto" w:fill="auto"/>
        <w:spacing w:before="0" w:after="240"/>
      </w:pPr>
      <w:r>
        <w:t>Anfang des vorletzten Jahrhunderts, also um 1800, lag die Bibel in etwa 70 Sprachen übersetzt vor. Von 1800 bis 1830 erschienen Über</w:t>
      </w:r>
      <w:r>
        <w:softHyphen/>
        <w:t>setzungen in weiteren 86</w:t>
      </w:r>
      <w:r>
        <w:t xml:space="preserve"> Sprachen. In den Jahren von 1831 bis 1937 entstanden Bibelübersetzungen in 851 Sprachen. Das ergibt einen Durchschnitt von 8 Übersetzungen pro Jahr. In der Zeit von 1937 bis 1955 sank der Jahresdurchschnitt, wohl als Folge des Zweiten Welt</w:t>
      </w:r>
      <w:r>
        <w:softHyphen/>
        <w:t>krieges, auf 4,</w:t>
      </w:r>
      <w:r>
        <w:t>6 Übersetzungen. Doch in den Jahren 1956 und 1957 wurden in 35 Sprachen Bibelteile erstmals übersetzt.</w:t>
      </w:r>
      <w:r>
        <w:rPr>
          <w:vertAlign w:val="superscript"/>
        </w:rPr>
        <w:footnoteReference w:id="314"/>
      </w:r>
      <w:r>
        <w:t xml:space="preserve"> 2002 gab es Bibeln bzw. Bibelteile in ca. 2.300 Sprachen! Jedes Jahr kommen zwischen 10 und 20 neue Sprachen dazu.</w:t>
      </w:r>
      <w:r>
        <w:rPr>
          <w:vertAlign w:val="superscript"/>
        </w:rPr>
        <w:footnoteReference w:id="315"/>
      </w:r>
    </w:p>
    <w:p w:rsidR="00BB7EDA" w:rsidRDefault="007D72B3">
      <w:pPr>
        <w:pStyle w:val="Bodytext100"/>
        <w:numPr>
          <w:ilvl w:val="3"/>
          <w:numId w:val="135"/>
        </w:numPr>
        <w:shd w:val="clear" w:color="auto" w:fill="auto"/>
        <w:tabs>
          <w:tab w:val="left" w:pos="654"/>
        </w:tabs>
        <w:spacing w:before="0" w:line="230" w:lineRule="exact"/>
        <w:ind w:firstLine="0"/>
        <w:jc w:val="left"/>
      </w:pPr>
      <w:r>
        <w:t>Linguistisch und ethnologisch hochst</w:t>
      </w:r>
      <w:r>
        <w:t>ehende Missions</w:t>
      </w:r>
      <w:r>
        <w:softHyphen/>
        <w:t>arbeit</w:t>
      </w:r>
    </w:p>
    <w:p w:rsidR="00BB7EDA" w:rsidRDefault="007D72B3">
      <w:pPr>
        <w:pStyle w:val="Bodytext20"/>
        <w:shd w:val="clear" w:color="auto" w:fill="auto"/>
        <w:spacing w:before="0" w:line="226" w:lineRule="exact"/>
      </w:pPr>
      <w:r>
        <w:t>In den vergangenen Jahrzehnten wurde die Arbeit an der Erfor</w:t>
      </w:r>
      <w:r>
        <w:softHyphen/>
        <w:t xml:space="preserve">schung von Eingeborenensprachen u.a. durch die Organisation der </w:t>
      </w:r>
      <w:r>
        <w:rPr>
          <w:rStyle w:val="Bodytext2Italic0"/>
        </w:rPr>
        <w:t>VJijcliff Bibelübersetzer</w:t>
      </w:r>
      <w:r>
        <w:rPr>
          <w:rStyle w:val="Bodytext2Italic0"/>
          <w:vertAlign w:val="superscript"/>
        </w:rPr>
        <w:footnoteReference w:id="316"/>
      </w:r>
      <w:r>
        <w:t xml:space="preserve"> entscheidend vorangetrieben und geför</w:t>
      </w:r>
      <w:r>
        <w:softHyphen/>
        <w:t>dert, und zwar durch linguistische Seminare</w:t>
      </w:r>
      <w:r>
        <w:t>, Übersetzungsberatung von Spezialisten, Ausbildung in Ethnologie etc.</w:t>
      </w:r>
    </w:p>
    <w:p w:rsidR="00BB7EDA" w:rsidRDefault="007D72B3">
      <w:pPr>
        <w:pStyle w:val="Bodytext20"/>
        <w:shd w:val="clear" w:color="auto" w:fill="auto"/>
        <w:spacing w:before="0" w:line="226" w:lineRule="exact"/>
        <w:ind w:firstLine="320"/>
      </w:pPr>
      <w:r>
        <w:t>Die gewaltigen Fortschritte auf diesem Gebiet sind höchst er</w:t>
      </w:r>
      <w:r>
        <w:softHyphen/>
        <w:t xml:space="preserve">staunlich. Bei diesen Bemühungen handelt es sich auch heute noch um eine wahre Pionierarbeit. Der Bibelübersetzer muss sich </w:t>
      </w:r>
      <w:r>
        <w:t>unter gewaltigem Verzicht auf viele kulturelle Annehmlichkeiten und Sicherheiten des Westens bei einem Eingeborenen-Stamm nieder</w:t>
      </w:r>
      <w:r>
        <w:softHyphen/>
        <w:t>lassen und die Freundschaft mit diesen fremden Menschen anstre</w:t>
      </w:r>
      <w:r>
        <w:softHyphen/>
        <w:t>ben. Unter großen gesundheitlichen Risiken geht es zunächst dar</w:t>
      </w:r>
      <w:r>
        <w:softHyphen/>
      </w:r>
      <w:r>
        <w:t>um, die fremde Sprache, in der es noch gar keine schriftlichen</w:t>
      </w:r>
    </w:p>
    <w:p w:rsidR="00BB7EDA" w:rsidRDefault="007D72B3">
      <w:pPr>
        <w:pStyle w:val="Bodytext20"/>
        <w:shd w:val="clear" w:color="auto" w:fill="auto"/>
        <w:spacing w:before="0" w:after="176" w:line="226" w:lineRule="exact"/>
      </w:pPr>
      <w:r>
        <w:t>Vorlagen gibt, zu lernen. Ein für die jeweilige Sprache angemessenes Alphabet muss erst noch geschaffen werden. In einem nächsten Schritt steht die wissenschaftliche Beschreibung der Sprache in</w:t>
      </w:r>
      <w:r>
        <w:t xml:space="preserve"> Form einer Grammatik auf dem Programm. Danach erst kann man an die eigentliche Bibelübersetzungsarbeit herangehen. Doch die Überset</w:t>
      </w:r>
      <w:r>
        <w:softHyphen/>
        <w:t xml:space="preserve">zung nützt keinem Eingeborenen etwas, wenn er nicht lesen kann. So ist es nötig, möglichst viele Stammesmitglieder, Kinder </w:t>
      </w:r>
      <w:r>
        <w:t>und Erwachsene, in Leseklassen zu alphabetisieren.</w:t>
      </w:r>
    </w:p>
    <w:p w:rsidR="00BB7EDA" w:rsidRDefault="007D72B3">
      <w:pPr>
        <w:pStyle w:val="Bodytext20"/>
        <w:numPr>
          <w:ilvl w:val="3"/>
          <w:numId w:val="135"/>
        </w:numPr>
        <w:shd w:val="clear" w:color="auto" w:fill="auto"/>
        <w:tabs>
          <w:tab w:val="left" w:pos="649"/>
        </w:tabs>
        <w:spacing w:before="0"/>
        <w:jc w:val="left"/>
      </w:pPr>
      <w:r>
        <w:rPr>
          <w:rStyle w:val="Bodytext2Italic0"/>
        </w:rPr>
        <w:t xml:space="preserve">Biblische Grundlagen der Bibelübersetzungs-Arbeit </w:t>
      </w:r>
      <w:r>
        <w:t xml:space="preserve">Diese Arbeit wurde in der Vergangenheit wesentlich motiviert durch die Aussage der Heiligen Schrift, dass Gott </w:t>
      </w:r>
      <w:r>
        <w:rPr>
          <w:rStyle w:val="Bodytext2Italic0"/>
        </w:rPr>
        <w:t>jeden</w:t>
      </w:r>
      <w:r>
        <w:t xml:space="preserve"> Menschen liebt, und dass </w:t>
      </w:r>
      <w:r>
        <w:rPr>
          <w:rStyle w:val="Bodytext2Italic0"/>
        </w:rPr>
        <w:t>jeder</w:t>
      </w:r>
      <w:r>
        <w:t xml:space="preserve"> Mensch einmalig und wertvoll ist (vgl. Joh 3,16).</w:t>
      </w:r>
    </w:p>
    <w:p w:rsidR="00BB7EDA" w:rsidRDefault="007D72B3">
      <w:pPr>
        <w:pStyle w:val="Bodytext20"/>
        <w:shd w:val="clear" w:color="auto" w:fill="auto"/>
        <w:spacing w:before="0" w:line="226" w:lineRule="exact"/>
        <w:ind w:firstLine="320"/>
      </w:pPr>
      <w:r>
        <w:t>Auch die Motivation zur Achtung und Wertschätzung jeder exi</w:t>
      </w:r>
      <w:r>
        <w:softHyphen/>
        <w:t>stierenden Sprache lässt sich aus der Bibel entnehmen. Finden doch die verschiedenen Sprachen gemäß der Heiligen Schrift ihren Ur</w:t>
      </w:r>
      <w:r>
        <w:softHyphen/>
        <w:t>sprung in Gott,</w:t>
      </w:r>
      <w:r>
        <w:t xml:space="preserve"> dem Schöpfer aller Dinge (Gen 2 und 11). Zudem geht z.B. aus Off 5,10 und 7,9 hervor, dass Jesus Christus aus </w:t>
      </w:r>
      <w:r>
        <w:rPr>
          <w:rStyle w:val="Bodytext2Italic0"/>
        </w:rPr>
        <w:t>allen Stämmen, Sprachen, Völkern und Nationen</w:t>
      </w:r>
      <w:r>
        <w:t xml:space="preserve"> Menschen rettet.</w:t>
      </w:r>
    </w:p>
    <w:p w:rsidR="00BB7EDA" w:rsidRDefault="007D72B3">
      <w:pPr>
        <w:pStyle w:val="Bodytext20"/>
        <w:shd w:val="clear" w:color="auto" w:fill="auto"/>
        <w:spacing w:before="0" w:after="184"/>
        <w:ind w:firstLine="320"/>
      </w:pPr>
      <w:r>
        <w:t>In der himmlischen Tempelszene in Off 5 beten die Häupter der 24 Priesterklassen J</w:t>
      </w:r>
      <w:r>
        <w:t>esus Christus, das Lamm Gottes, an:</w:t>
      </w:r>
    </w:p>
    <w:p w:rsidR="00BB7EDA" w:rsidRDefault="007D72B3">
      <w:pPr>
        <w:pStyle w:val="Bodytext20"/>
        <w:shd w:val="clear" w:color="auto" w:fill="auto"/>
        <w:spacing w:before="0" w:after="180" w:line="226" w:lineRule="exact"/>
        <w:ind w:left="320" w:right="340"/>
      </w:pPr>
      <w:r>
        <w:t>„[8] Und als es [das Lamm Gottes] das Buch nahm, fielen die vier lebendigen Wesen und die vierundzwanzig Ältesten nieder vor dem Lamm, und sie hatten ein jeder eine Harfe und goldene Schalen voll Räucherwerk, welches die</w:t>
      </w:r>
      <w:r>
        <w:t xml:space="preserve"> Gebete der Heiligen sind. [9] Und sie singen ein neues Lied: Du bist würdig, das Buch zu nehmen und seine Siegel zu öffnen; denn du bist geschlachtet worden und hast für unseren Gott er</w:t>
      </w:r>
      <w:r>
        <w:softHyphen/>
        <w:t xml:space="preserve">kauft, durch dein Blut, </w:t>
      </w:r>
      <w:r>
        <w:rPr>
          <w:rStyle w:val="Bodytext2Italic0"/>
        </w:rPr>
        <w:t>aus allen Stämmen und Sprachen und Völkern un</w:t>
      </w:r>
      <w:r>
        <w:rPr>
          <w:rStyle w:val="Bodytext2Italic0"/>
        </w:rPr>
        <w:t>d Nationen,</w:t>
      </w:r>
      <w:r>
        <w:t xml:space="preserve"> [10] und hast sie unserem Gott zu Königen und Priestern gemacht, und sie werden über die Erde herrschen!"</w:t>
      </w:r>
    </w:p>
    <w:p w:rsidR="00BB7EDA" w:rsidRDefault="007D72B3">
      <w:pPr>
        <w:pStyle w:val="Bodytext20"/>
        <w:shd w:val="clear" w:color="auto" w:fill="auto"/>
        <w:spacing w:before="0" w:after="180" w:line="226" w:lineRule="exact"/>
        <w:ind w:firstLine="320"/>
      </w:pPr>
      <w:r>
        <w:t>In Off 7,9ff. findet sich die bewegende Beschreibung einer un</w:t>
      </w:r>
      <w:r>
        <w:softHyphen/>
        <w:t>zählbaren Völkerschar, die aus der „großen Drangsal" (Off 7,14) kommt:</w:t>
      </w:r>
    </w:p>
    <w:p w:rsidR="00BB7EDA" w:rsidRDefault="007D72B3">
      <w:pPr>
        <w:pStyle w:val="Bodytext20"/>
        <w:shd w:val="clear" w:color="auto" w:fill="auto"/>
        <w:spacing w:before="0" w:line="226" w:lineRule="exact"/>
        <w:ind w:left="320" w:right="340"/>
      </w:pPr>
      <w:r>
        <w:t xml:space="preserve">„[9] </w:t>
      </w:r>
      <w:r>
        <w:t xml:space="preserve">Nach diesem sah ich: und siehe, eine große Volksmenge, welche niemand zählen konnte, aus </w:t>
      </w:r>
      <w:r>
        <w:rPr>
          <w:rStyle w:val="Bodytext2Italic0"/>
        </w:rPr>
        <w:t>allen Nationen und Stäm</w:t>
      </w:r>
      <w:r>
        <w:rPr>
          <w:rStyle w:val="Bodytext2Italic0"/>
        </w:rPr>
        <w:softHyphen/>
        <w:t>men und Völkern und Sprachen,</w:t>
      </w:r>
      <w:r>
        <w:t xml:space="preserve"> und sie standen vor dem Thron</w:t>
      </w:r>
    </w:p>
    <w:p w:rsidR="00BB7EDA" w:rsidRDefault="007D72B3">
      <w:pPr>
        <w:pStyle w:val="Bodytext20"/>
        <w:shd w:val="clear" w:color="auto" w:fill="auto"/>
        <w:spacing w:before="0" w:after="176" w:line="226" w:lineRule="exact"/>
        <w:ind w:left="320" w:right="320"/>
      </w:pPr>
      <w:r>
        <w:t>und vor dem Lamm, bekleidet mit weißen Gewändern, und Palmen waren in ihren Händen.</w:t>
      </w:r>
      <w:r>
        <w:t xml:space="preserve"> [10] Und sie rufen mit lauter Stimme und sagen: Das Heil unserem Gott, der auf dem Thron sitzt, und dem Lamm!"</w:t>
      </w:r>
    </w:p>
    <w:p w:rsidR="00BB7EDA" w:rsidRDefault="007D72B3">
      <w:pPr>
        <w:pStyle w:val="Bodytext80"/>
        <w:numPr>
          <w:ilvl w:val="0"/>
          <w:numId w:val="157"/>
        </w:numPr>
        <w:shd w:val="clear" w:color="auto" w:fill="auto"/>
        <w:tabs>
          <w:tab w:val="left" w:pos="644"/>
        </w:tabs>
        <w:spacing w:line="230" w:lineRule="exact"/>
      </w:pPr>
      <w:r>
        <w:t>Global Recordings Network</w:t>
      </w:r>
    </w:p>
    <w:p w:rsidR="00BB7EDA" w:rsidRDefault="007D72B3">
      <w:pPr>
        <w:pStyle w:val="Bodytext20"/>
        <w:shd w:val="clear" w:color="auto" w:fill="auto"/>
        <w:spacing w:before="0"/>
      </w:pPr>
      <w:r>
        <w:t xml:space="preserve">In diesem Zusammenhang mag es auch noch von Interesse sein, nebst all den vielen anderen Projekten, Werken und </w:t>
      </w:r>
      <w:r>
        <w:t>Missionen, die sich um die Eingeborenen-Sprachen bemühen, ganz speziell auf die Arbeit von „Global Recordings Network"</w:t>
      </w:r>
      <w:r>
        <w:rPr>
          <w:vertAlign w:val="superscript"/>
        </w:rPr>
        <w:footnoteReference w:id="317"/>
      </w:r>
      <w:r>
        <w:t xml:space="preserve"> hinzuweisen. Diese Organisation hat sich zum Ziel gesetzt, biblische Botschaften auf Kassetten und Schallplatten in möglichst vielen Spr</w:t>
      </w:r>
      <w:r>
        <w:t>achen zu ver</w:t>
      </w:r>
      <w:r>
        <w:softHyphen/>
        <w:t xml:space="preserve">breiten. Diese Arbeit wurde 1939 von Joy </w:t>
      </w:r>
      <w:r>
        <w:rPr>
          <w:rStyle w:val="Bodytext28ptSmallCaps"/>
        </w:rPr>
        <w:t xml:space="preserve">Ridderhof </w:t>
      </w:r>
      <w:r>
        <w:t>ins Leben gerufen. Heute existieren Botschaften des Evangeliums in über 5.000 Sprachen und Dialekten!</w:t>
      </w:r>
      <w:r>
        <w:rPr>
          <w:vertAlign w:val="superscript"/>
        </w:rPr>
        <w:footnoteReference w:id="318"/>
      </w:r>
      <w:r>
        <w:t xml:space="preserve"> Ausgerechnet zum 60. Jubiläum dieser Arbeit hat man es geschafft, die 5.000er-Marke zu er</w:t>
      </w:r>
      <w:r>
        <w:t>reichen. Das zurzeit angestrebte Ziel besteht darin, bis in zehn Jahren weitere</w:t>
      </w:r>
    </w:p>
    <w:p w:rsidR="00BB7EDA" w:rsidRDefault="007D72B3">
      <w:pPr>
        <w:pStyle w:val="Bodytext20"/>
        <w:numPr>
          <w:ilvl w:val="1"/>
          <w:numId w:val="157"/>
        </w:numPr>
        <w:shd w:val="clear" w:color="auto" w:fill="auto"/>
        <w:tabs>
          <w:tab w:val="left" w:pos="558"/>
        </w:tabs>
        <w:spacing w:before="0"/>
      </w:pPr>
      <w:r>
        <w:t>Sprachen und Dialekte mit der guten Nachricht von Jesus Christus zu erreichen.</w:t>
      </w:r>
      <w:r>
        <w:rPr>
          <w:vertAlign w:val="superscript"/>
        </w:rPr>
        <w:footnoteReference w:id="319"/>
      </w:r>
      <w:r>
        <w:t xml:space="preserve"> Diese weiteren 3.000 Sprachen und Dialekte werden fast alle nur von Analphabeten gesprochen.</w:t>
      </w:r>
    </w:p>
    <w:p w:rsidR="00BB7EDA" w:rsidRDefault="007D72B3">
      <w:pPr>
        <w:pStyle w:val="Bodytext20"/>
        <w:shd w:val="clear" w:color="auto" w:fill="auto"/>
        <w:spacing w:before="0"/>
        <w:ind w:firstLine="320"/>
      </w:pPr>
      <w:r>
        <w:t xml:space="preserve">Im </w:t>
      </w:r>
      <w:r>
        <w:t>Kampf um die Eingeborenen-Sprachen der Welt wurden Kassettengeräte und Plattenspieler entwickelt, die sich für den Ge</w:t>
      </w:r>
      <w:r>
        <w:softHyphen/>
        <w:t>brauch im Busch vorzüglich eignen. Sie können ohne Stromleitungen und ohne Batterien betrieben werden.</w:t>
      </w:r>
    </w:p>
    <w:p w:rsidR="00BB7EDA" w:rsidRDefault="007D72B3">
      <w:pPr>
        <w:pStyle w:val="Bodytext20"/>
        <w:shd w:val="clear" w:color="auto" w:fill="auto"/>
        <w:spacing w:before="0" w:after="228"/>
        <w:ind w:firstLine="320"/>
      </w:pPr>
      <w:r>
        <w:t>Wir sehen nun, dass bezüglich der E</w:t>
      </w:r>
      <w:r>
        <w:t>ingeborenen-Sprachen in aller Welt heute eine unüberschaubare Informationsfülle zur Verfü</w:t>
      </w:r>
      <w:r>
        <w:softHyphen/>
        <w:t>gung steht, die uns helfen kann, im Zusammenhang mit unserer zweiten Untersuchung zu eindeutigen Schlüssen zu gelangen.</w:t>
      </w:r>
    </w:p>
    <w:p w:rsidR="00BB7EDA" w:rsidRDefault="007D72B3">
      <w:pPr>
        <w:pStyle w:val="Heading40"/>
        <w:keepNext/>
        <w:keepLines/>
        <w:numPr>
          <w:ilvl w:val="0"/>
          <w:numId w:val="158"/>
        </w:numPr>
        <w:shd w:val="clear" w:color="auto" w:fill="auto"/>
        <w:tabs>
          <w:tab w:val="left" w:pos="390"/>
        </w:tabs>
        <w:spacing w:after="0" w:line="470" w:lineRule="exact"/>
      </w:pPr>
      <w:bookmarkStart w:id="89" w:name="bookmark88"/>
      <w:r>
        <w:t>Die Sprache der Ketschua</w:t>
      </w:r>
      <w:bookmarkEnd w:id="89"/>
    </w:p>
    <w:p w:rsidR="00BB7EDA" w:rsidRDefault="007D72B3">
      <w:pPr>
        <w:pStyle w:val="Heading50"/>
        <w:keepNext/>
        <w:keepLines/>
        <w:numPr>
          <w:ilvl w:val="0"/>
          <w:numId w:val="159"/>
        </w:numPr>
        <w:shd w:val="clear" w:color="auto" w:fill="auto"/>
        <w:tabs>
          <w:tab w:val="left" w:pos="507"/>
        </w:tabs>
        <w:spacing w:line="470" w:lineRule="exact"/>
      </w:pPr>
      <w:bookmarkStart w:id="90" w:name="bookmark89"/>
      <w:r>
        <w:t>Beispiel einer Ketsch</w:t>
      </w:r>
      <w:r>
        <w:t>ua-Wortkette</w:t>
      </w:r>
      <w:bookmarkEnd w:id="90"/>
    </w:p>
    <w:p w:rsidR="00BB7EDA" w:rsidRDefault="007D72B3">
      <w:pPr>
        <w:pStyle w:val="Bodytext20"/>
        <w:shd w:val="clear" w:color="auto" w:fill="auto"/>
        <w:spacing w:before="0" w:after="157" w:line="226" w:lineRule="exact"/>
      </w:pPr>
      <w:r>
        <w:t>Wer den Mut hat, sich an eine noch unerforschte außereuropäische Sprache heranzuwagen, sieht sich oftmals mit schier unüberwindli</w:t>
      </w:r>
      <w:r>
        <w:softHyphen/>
        <w:t>chen Schwierigkeiten konfrontiert. Ein Beispiel aus der Ketschua- Sprache Boliviens vermag das eindrücklich zu il</w:t>
      </w:r>
      <w:r>
        <w:t>lustrieren. Nehmen wir an, wir seien vor die Aufgabe gestellt, folgendes Wort zu erfor</w:t>
      </w:r>
      <w:r>
        <w:softHyphen/>
        <w:t>schen und zu verstehen:</w:t>
      </w:r>
      <w:r>
        <w:rPr>
          <w:vertAlign w:val="superscript"/>
        </w:rPr>
        <w:footnoteReference w:id="320"/>
      </w:r>
    </w:p>
    <w:p w:rsidR="00BB7EDA" w:rsidRDefault="007D72B3">
      <w:pPr>
        <w:pStyle w:val="Bodytext80"/>
        <w:shd w:val="clear" w:color="auto" w:fill="auto"/>
        <w:spacing w:after="159" w:line="180" w:lineRule="exact"/>
        <w:ind w:firstLine="340"/>
      </w:pPr>
      <w:r>
        <w:t>ruwanayaschaskasniyquichejmantaka</w:t>
      </w:r>
    </w:p>
    <w:p w:rsidR="00BB7EDA" w:rsidRDefault="007D72B3">
      <w:pPr>
        <w:pStyle w:val="Bodytext20"/>
        <w:shd w:val="clear" w:color="auto" w:fill="auto"/>
        <w:spacing w:before="0" w:after="160"/>
        <w:ind w:firstLine="340"/>
      </w:pPr>
      <w:r>
        <w:t>Dieses Wort besteht aus 33 Buchstaben. Das ist schon recht beachtlich. Bis wir aber so weit sein werden, um zu</w:t>
      </w:r>
      <w:r>
        <w:t xml:space="preserve"> erkennen, dass dieses Wort aus 8 verschiedenen grammatischen Teilen besteht, die immer in der genau gleichen Reihenfolge erscheinen müssen, wer</w:t>
      </w:r>
      <w:r>
        <w:softHyphen/>
        <w:t>den wir allerdings bereits einen langen und mühsamen Studienweg hinter uns haben. Das Wort kann etwa folgenderm</w:t>
      </w:r>
      <w:r>
        <w:t>aßen im Deut</w:t>
      </w:r>
      <w:r>
        <w:softHyphen/>
        <w:t>schen wiedergegeben werden:</w:t>
      </w:r>
    </w:p>
    <w:p w:rsidR="00BB7EDA" w:rsidRDefault="007D72B3">
      <w:pPr>
        <w:pStyle w:val="Bodytext80"/>
        <w:shd w:val="clear" w:color="auto" w:fill="auto"/>
        <w:spacing w:after="434" w:line="180" w:lineRule="exact"/>
        <w:ind w:firstLine="340"/>
      </w:pPr>
      <w:r>
        <w:t>Was die kontinuierliche Erfüllung der künftigen Arbeit betrifft</w:t>
      </w:r>
    </w:p>
    <w:p w:rsidR="00BB7EDA" w:rsidRDefault="007D72B3">
      <w:pPr>
        <w:pStyle w:val="Heading50"/>
        <w:keepNext/>
        <w:keepLines/>
        <w:numPr>
          <w:ilvl w:val="0"/>
          <w:numId w:val="159"/>
        </w:numPr>
        <w:shd w:val="clear" w:color="auto" w:fill="auto"/>
        <w:tabs>
          <w:tab w:val="left" w:pos="505"/>
        </w:tabs>
        <w:spacing w:after="158" w:line="180" w:lineRule="exact"/>
      </w:pPr>
      <w:bookmarkStart w:id="91" w:name="bookmark90"/>
      <w:r>
        <w:t>Mehr als 50.000 Verbformen</w:t>
      </w:r>
      <w:bookmarkEnd w:id="91"/>
    </w:p>
    <w:p w:rsidR="00BB7EDA" w:rsidRDefault="007D72B3">
      <w:pPr>
        <w:pStyle w:val="Bodytext20"/>
        <w:shd w:val="clear" w:color="auto" w:fill="auto"/>
        <w:spacing w:before="0" w:line="226" w:lineRule="exact"/>
      </w:pPr>
      <w:r>
        <w:t>Man kann viel Verständnis aufbringen, wenn Sprachwissenschaft</w:t>
      </w:r>
      <w:r>
        <w:softHyphen/>
        <w:t xml:space="preserve">ler, die eine Eingeborenen-Sprache erforschen, sich manchmal </w:t>
      </w:r>
      <w:r>
        <w:t>wie ein Ochse vor dem Berg fühlen.</w:t>
      </w:r>
    </w:p>
    <w:p w:rsidR="00BB7EDA" w:rsidRDefault="007D72B3">
      <w:pPr>
        <w:pStyle w:val="Bodytext20"/>
        <w:shd w:val="clear" w:color="auto" w:fill="auto"/>
        <w:spacing w:before="0" w:line="226" w:lineRule="exact"/>
        <w:ind w:firstLine="340"/>
      </w:pPr>
      <w:r>
        <w:t>In der Sprache der Ketschua kann fast jeder Verbstamm mit mehr als 50.000 verschiedenen Kombinationen von Morphemen verknüpft werden. Dies vermag auch auf Fachleute, schlicht ausgedrückt, verwirrend wirken.</w:t>
      </w:r>
    </w:p>
    <w:p w:rsidR="00BB7EDA" w:rsidRDefault="007D72B3">
      <w:pPr>
        <w:pStyle w:val="Bodytext20"/>
        <w:shd w:val="clear" w:color="auto" w:fill="auto"/>
        <w:spacing w:before="0" w:after="397" w:line="226" w:lineRule="exact"/>
        <w:ind w:firstLine="340"/>
      </w:pPr>
      <w:r>
        <w:t>Es hat übrigen</w:t>
      </w:r>
      <w:r>
        <w:t>s nur ganz wenige Menschen aus der abendländi</w:t>
      </w:r>
      <w:r>
        <w:softHyphen/>
        <w:t>schen Kultur gegeben, denen es gelang, ohne sprachwissenschaftli</w:t>
      </w:r>
      <w:r>
        <w:softHyphen/>
        <w:t>che Ausbildung eine nicht-indogermanische Sprache aus sich her</w:t>
      </w:r>
      <w:r>
        <w:softHyphen/>
        <w:t>aus zu begreifen und zu beschreiben!</w:t>
      </w:r>
    </w:p>
    <w:p w:rsidR="00BB7EDA" w:rsidRDefault="007D72B3">
      <w:pPr>
        <w:pStyle w:val="Heading50"/>
        <w:keepNext/>
        <w:keepLines/>
        <w:numPr>
          <w:ilvl w:val="0"/>
          <w:numId w:val="159"/>
        </w:numPr>
        <w:shd w:val="clear" w:color="auto" w:fill="auto"/>
        <w:tabs>
          <w:tab w:val="left" w:pos="500"/>
        </w:tabs>
        <w:spacing w:after="158" w:line="180" w:lineRule="exact"/>
      </w:pPr>
      <w:bookmarkStart w:id="92" w:name="bookmark91"/>
      <w:r>
        <w:t>Wortketten versus Wörterketten</w:t>
      </w:r>
      <w:bookmarkEnd w:id="92"/>
    </w:p>
    <w:p w:rsidR="00BB7EDA" w:rsidRDefault="007D72B3">
      <w:pPr>
        <w:pStyle w:val="Bodytext20"/>
        <w:shd w:val="clear" w:color="auto" w:fill="auto"/>
        <w:spacing w:before="0" w:after="157" w:line="226" w:lineRule="exact"/>
      </w:pPr>
      <w:r>
        <w:t>Niemand denke,</w:t>
      </w:r>
      <w:r>
        <w:t xml:space="preserve"> solche langen Ketschua-Wortketten seien im Prin</w:t>
      </w:r>
      <w:r>
        <w:softHyphen/>
        <w:t xml:space="preserve">zip nichts anderes, als wenn wir im Deutschen einfach Wörter- Folgen zusammenschreiben würden. Wortketten und Wörter-Fol- gen stellen linguistisch gesehen etwas </w:t>
      </w:r>
      <w:r>
        <w:rPr>
          <w:rStyle w:val="Bodytext2Italic0"/>
        </w:rPr>
        <w:t>wesenhaft anderes</w:t>
      </w:r>
      <w:r>
        <w:t xml:space="preserve"> dar. Wenn wir das oben angef</w:t>
      </w:r>
      <w:r>
        <w:t>ührte deutsche Übersetzungs-Beispiel noch</w:t>
      </w:r>
      <w:r>
        <w:softHyphen/>
        <w:t>mals verwenden, so gäbe dies zusammengeschrieben nachfolgen</w:t>
      </w:r>
      <w:r>
        <w:softHyphen/>
        <w:t>de Wörterkette:</w:t>
      </w:r>
    </w:p>
    <w:p w:rsidR="00BB7EDA" w:rsidRDefault="007D72B3">
      <w:pPr>
        <w:pStyle w:val="Bodytext80"/>
        <w:shd w:val="clear" w:color="auto" w:fill="auto"/>
        <w:spacing w:after="94" w:line="180" w:lineRule="exact"/>
        <w:ind w:firstLine="320"/>
      </w:pPr>
      <w:r>
        <w:t>Wasdiekontinuierlicheerfiillungderkünfligenarbeitbetrifft</w:t>
      </w:r>
    </w:p>
    <w:p w:rsidR="00BB7EDA" w:rsidRDefault="007D72B3">
      <w:pPr>
        <w:pStyle w:val="Bodytext20"/>
        <w:shd w:val="clear" w:color="auto" w:fill="auto"/>
        <w:spacing w:before="0" w:after="210"/>
        <w:ind w:firstLine="320"/>
      </w:pPr>
      <w:r>
        <w:t>Wir haben in Kapitel 2 unter 2.2.6 bereits gesehen, dass die Zusammensetzung von</w:t>
      </w:r>
      <w:r>
        <w:t xml:space="preserve"> gebundenen Morphemen etwas ganz ande</w:t>
      </w:r>
      <w:r>
        <w:softHyphen/>
        <w:t xml:space="preserve">res ist als die Verbindung von Wörtern bzw. von freien Morphemen im Satz. </w:t>
      </w:r>
      <w:r>
        <w:rPr>
          <w:rStyle w:val="Bodytext2Italic0"/>
        </w:rPr>
        <w:t>Sprachpsychologisch</w:t>
      </w:r>
      <w:r>
        <w:t xml:space="preserve"> liegen hier Welten dazwischen. Wenn wir ein gebundenes Morphem isoliert zu hören bekommen, so können wir meistens nicht viel</w:t>
      </w:r>
      <w:r>
        <w:t xml:space="preserve"> damit anfangen. Wenn wir Morpheme wie </w:t>
      </w:r>
      <w:r>
        <w:rPr>
          <w:rStyle w:val="Bodytext2Italic0"/>
        </w:rPr>
        <w:t>be-, Er-</w:t>
      </w:r>
      <w:r>
        <w:t xml:space="preserve"> oder </w:t>
      </w:r>
      <w:r>
        <w:rPr>
          <w:rStyle w:val="Bodytext2Italic0"/>
        </w:rPr>
        <w:t>-lieh</w:t>
      </w:r>
      <w:r>
        <w:t xml:space="preserve"> hören - das sind gebundene Morpheme aus dem oben angeführten deutschen Beispiel -, so sagt uns das nichts. Hören wir jedoch für sich genommen das Wort „Erfüllung", so kann dies kraft eines Assoziat</w:t>
      </w:r>
      <w:r>
        <w:t>ionsprozesses in gewissen Situationen in uns sogar seelische Bewegungen auslösen.</w:t>
      </w:r>
    </w:p>
    <w:p w:rsidR="00BB7EDA" w:rsidRDefault="007D72B3">
      <w:pPr>
        <w:pStyle w:val="Heading40"/>
        <w:keepNext/>
        <w:keepLines/>
        <w:numPr>
          <w:ilvl w:val="0"/>
          <w:numId w:val="158"/>
        </w:numPr>
        <w:shd w:val="clear" w:color="auto" w:fill="auto"/>
        <w:tabs>
          <w:tab w:val="left" w:pos="399"/>
        </w:tabs>
        <w:spacing w:after="0" w:line="418" w:lineRule="exact"/>
      </w:pPr>
      <w:bookmarkStart w:id="93" w:name="bookmark92"/>
      <w:r>
        <w:t>Die Sprache der Aimara</w:t>
      </w:r>
      <w:bookmarkEnd w:id="93"/>
    </w:p>
    <w:p w:rsidR="00BB7EDA" w:rsidRDefault="007D72B3">
      <w:pPr>
        <w:pStyle w:val="Heading50"/>
        <w:keepNext/>
        <w:keepLines/>
        <w:numPr>
          <w:ilvl w:val="0"/>
          <w:numId w:val="160"/>
        </w:numPr>
        <w:shd w:val="clear" w:color="auto" w:fill="auto"/>
        <w:tabs>
          <w:tab w:val="left" w:pos="500"/>
        </w:tabs>
        <w:spacing w:line="418" w:lineRule="exact"/>
      </w:pPr>
      <w:bookmarkStart w:id="94" w:name="bookmark93"/>
      <w:r>
        <w:t>Zum Suffix-System</w:t>
      </w:r>
      <w:bookmarkEnd w:id="94"/>
    </w:p>
    <w:p w:rsidR="00BB7EDA" w:rsidRDefault="007D72B3">
      <w:pPr>
        <w:pStyle w:val="Bodytext20"/>
        <w:shd w:val="clear" w:color="auto" w:fill="auto"/>
        <w:spacing w:before="0" w:line="226" w:lineRule="exact"/>
      </w:pPr>
      <w:r>
        <w:t>Das Verbalsystem in der Sprache der Aimara ist überaus erstaun</w:t>
      </w:r>
      <w:r>
        <w:softHyphen/>
        <w:t>lich.</w:t>
      </w:r>
      <w:r>
        <w:rPr>
          <w:vertAlign w:val="superscript"/>
        </w:rPr>
        <w:footnoteReference w:id="321"/>
      </w:r>
      <w:r>
        <w:t xml:space="preserve"> Beim Verbum handelt es sich zunächst um eine Wortwurzel, an die</w:t>
      </w:r>
      <w:r>
        <w:t xml:space="preserve"> eine Serie von bis zu 23 Suffixen angehängt werden kann. Mit Hilfe dieser Suffixe kann z.B. Verursachung, Richtung, Art und Weise, Bedingung, Zahl, Situation, Negation, Größe, Aspekt, Zeit, Subjekt, Intensität etc. zum Ausdruck gebracht werden.</w:t>
      </w:r>
    </w:p>
    <w:p w:rsidR="00BB7EDA" w:rsidRDefault="007D72B3">
      <w:pPr>
        <w:pStyle w:val="Bodytext20"/>
        <w:shd w:val="clear" w:color="auto" w:fill="auto"/>
        <w:spacing w:before="0" w:line="226" w:lineRule="exact"/>
        <w:ind w:firstLine="320"/>
      </w:pPr>
      <w:r>
        <w:t>Nachfolgen</w:t>
      </w:r>
      <w:r>
        <w:t xml:space="preserve">d seien einige Suffixe beispielhaft aufgeführt: </w:t>
      </w:r>
      <w:r>
        <w:rPr>
          <w:rStyle w:val="Bodytext2Italic0"/>
        </w:rPr>
        <w:t xml:space="preserve">-cata </w:t>
      </w:r>
      <w:r>
        <w:t xml:space="preserve">(„gegen"), </w:t>
      </w:r>
      <w:r>
        <w:rPr>
          <w:rStyle w:val="Bodytext2Italic0"/>
        </w:rPr>
        <w:t>-ka</w:t>
      </w:r>
      <w:r>
        <w:t xml:space="preserve"> („ab"), </w:t>
      </w:r>
      <w:r>
        <w:rPr>
          <w:rStyle w:val="Bodytext2Italic0"/>
        </w:rPr>
        <w:t>-naka</w:t>
      </w:r>
      <w:r>
        <w:t xml:space="preserve"> („von hinten nach vorne"), </w:t>
      </w:r>
      <w:r>
        <w:rPr>
          <w:rStyle w:val="Bodytext2Italic0"/>
        </w:rPr>
        <w:t>-nta</w:t>
      </w:r>
      <w:r>
        <w:t xml:space="preserve"> („von außen nach innen"), </w:t>
      </w:r>
      <w:r>
        <w:rPr>
          <w:rStyle w:val="Bodytext2Italic0"/>
        </w:rPr>
        <w:t>-su</w:t>
      </w:r>
      <w:r>
        <w:t xml:space="preserve"> („von innen nach außen"), </w:t>
      </w:r>
      <w:r>
        <w:rPr>
          <w:rStyle w:val="Bodytext2Italic0"/>
        </w:rPr>
        <w:t>-tata</w:t>
      </w:r>
      <w:r>
        <w:t xml:space="preserve"> („in Ent</w:t>
      </w:r>
      <w:r>
        <w:softHyphen/>
        <w:t>wicklung"), -</w:t>
      </w:r>
      <w:r>
        <w:rPr>
          <w:rStyle w:val="Bodytext2Italic0"/>
        </w:rPr>
        <w:t>thapi</w:t>
      </w:r>
      <w:r>
        <w:t xml:space="preserve"> („sich reduzierend"), </w:t>
      </w:r>
      <w:r>
        <w:rPr>
          <w:rStyle w:val="Bodytext2Italic0"/>
        </w:rPr>
        <w:t>-ejuipa</w:t>
      </w:r>
      <w:r>
        <w:t xml:space="preserve"> („Bewegung zu ei</w:t>
      </w:r>
      <w:r>
        <w:softHyphen/>
      </w:r>
      <w:r>
        <w:t xml:space="preserve">nem anderen Ort hin"), </w:t>
      </w:r>
      <w:r>
        <w:rPr>
          <w:rStyle w:val="Bodytext2Italic0"/>
        </w:rPr>
        <w:t>-ranta</w:t>
      </w:r>
      <w:r>
        <w:t xml:space="preserve"> („die Totalität einer Oberfläche bedek- kend"), </w:t>
      </w:r>
      <w:r>
        <w:rPr>
          <w:rStyle w:val="Bodytext2Italic0"/>
        </w:rPr>
        <w:t>-ra</w:t>
      </w:r>
      <w:r>
        <w:t xml:space="preserve"> (= distributives Element).</w:t>
      </w:r>
    </w:p>
    <w:p w:rsidR="00BB7EDA" w:rsidRDefault="007D72B3">
      <w:pPr>
        <w:pStyle w:val="Bodytext20"/>
        <w:shd w:val="clear" w:color="auto" w:fill="auto"/>
        <w:spacing w:before="0" w:line="226" w:lineRule="exact"/>
        <w:ind w:firstLine="320"/>
      </w:pPr>
      <w:r>
        <w:t xml:space="preserve">Will man in der Sprache der Aimaras von einem Feuer sprechen, das erlischt, so benötigt man das Morphem </w:t>
      </w:r>
      <w:r>
        <w:rPr>
          <w:rStyle w:val="Bodytext2Italic0"/>
        </w:rPr>
        <w:t>-ra,</w:t>
      </w:r>
      <w:r>
        <w:t xml:space="preserve"> weil aus den halb</w:t>
      </w:r>
      <w:r>
        <w:softHyphen/>
        <w:t>erloschenen Holzkohl</w:t>
      </w:r>
      <w:r>
        <w:t>en noch ab und zu kleine Feuerzünglein auf</w:t>
      </w:r>
      <w:r>
        <w:softHyphen/>
        <w:t>zucken.</w:t>
      </w:r>
    </w:p>
    <w:p w:rsidR="00BB7EDA" w:rsidRDefault="007D72B3">
      <w:pPr>
        <w:pStyle w:val="Bodytext20"/>
        <w:shd w:val="clear" w:color="auto" w:fill="auto"/>
        <w:spacing w:before="0" w:after="457" w:line="226" w:lineRule="exact"/>
        <w:ind w:firstLine="320"/>
      </w:pPr>
      <w:r>
        <w:t xml:space="preserve">Spricht man jedoch von jemandem, der eine Kerze ausbläst, dann verwendet man das Morphem </w:t>
      </w:r>
      <w:r>
        <w:rPr>
          <w:rStyle w:val="Bodytext2Italic0"/>
        </w:rPr>
        <w:t>-t'a,</w:t>
      </w:r>
      <w:r>
        <w:t xml:space="preserve"> das eine punktuelle Handlung ausdrückt. Dies ist sehr logisch, weil eine Kerze mit einer kleinen Geste in eine</w:t>
      </w:r>
      <w:r>
        <w:t>m Augenblick gelöscht werden kann.</w:t>
      </w:r>
    </w:p>
    <w:p w:rsidR="00BB7EDA" w:rsidRDefault="007D72B3">
      <w:pPr>
        <w:pStyle w:val="Heading50"/>
        <w:keepNext/>
        <w:keepLines/>
        <w:numPr>
          <w:ilvl w:val="0"/>
          <w:numId w:val="160"/>
        </w:numPr>
        <w:shd w:val="clear" w:color="auto" w:fill="auto"/>
        <w:tabs>
          <w:tab w:val="left" w:pos="500"/>
        </w:tabs>
        <w:spacing w:after="159" w:line="180" w:lineRule="exact"/>
        <w:ind w:left="340" w:hanging="340"/>
      </w:pPr>
      <w:bookmarkStart w:id="95" w:name="bookmark94"/>
      <w:r>
        <w:t>Beispiel einer Aimara-Wortkette</w:t>
      </w:r>
      <w:bookmarkEnd w:id="95"/>
    </w:p>
    <w:p w:rsidR="00BB7EDA" w:rsidRDefault="007D72B3">
      <w:pPr>
        <w:pStyle w:val="Bodytext20"/>
        <w:shd w:val="clear" w:color="auto" w:fill="auto"/>
        <w:spacing w:before="0" w:after="100"/>
      </w:pPr>
      <w:r>
        <w:t>Es ist keine Seltenheit, dass man in dieser Sprache Verbalformen antrifft, die aus etwa zehn grammatischen Elementen zusammenge</w:t>
      </w:r>
      <w:r>
        <w:softHyphen/>
        <w:t>setzt sind, wie z.B. folgendes Wort:</w:t>
      </w:r>
    </w:p>
    <w:p w:rsidR="00BB7EDA" w:rsidRDefault="007D72B3">
      <w:pPr>
        <w:pStyle w:val="Bodytext80"/>
        <w:shd w:val="clear" w:color="auto" w:fill="auto"/>
        <w:spacing w:after="204" w:line="180" w:lineRule="exact"/>
        <w:ind w:firstLine="340"/>
        <w:jc w:val="left"/>
      </w:pPr>
      <w:r>
        <w:t>awist'</w:t>
      </w:r>
      <w:r>
        <w:t>ayaniwayarapipjjämawa</w:t>
      </w:r>
    </w:p>
    <w:p w:rsidR="00BB7EDA" w:rsidRDefault="007D72B3">
      <w:pPr>
        <w:pStyle w:val="Bodytext20"/>
        <w:shd w:val="clear" w:color="auto" w:fill="auto"/>
        <w:spacing w:before="0" w:after="163" w:line="180" w:lineRule="exact"/>
        <w:ind w:firstLine="340"/>
        <w:jc w:val="left"/>
      </w:pPr>
      <w:r>
        <w:t>Auf Deutsch heißt dies etwa:</w:t>
      </w:r>
    </w:p>
    <w:p w:rsidR="00BB7EDA" w:rsidRDefault="007D72B3">
      <w:pPr>
        <w:pStyle w:val="Bodytext80"/>
        <w:shd w:val="clear" w:color="auto" w:fill="auto"/>
        <w:spacing w:after="60"/>
        <w:ind w:left="340"/>
        <w:jc w:val="left"/>
      </w:pPr>
      <w:r>
        <w:t>Ich veranlasse, dass er durch dich benachrichtigt wird, wenn ich hierher komme.</w:t>
      </w:r>
    </w:p>
    <w:p w:rsidR="00BB7EDA" w:rsidRDefault="007D72B3">
      <w:pPr>
        <w:pStyle w:val="Bodytext20"/>
        <w:shd w:val="clear" w:color="auto" w:fill="auto"/>
        <w:spacing w:before="0" w:after="56" w:line="226" w:lineRule="exact"/>
        <w:ind w:firstLine="340"/>
        <w:jc w:val="left"/>
      </w:pPr>
      <w:r>
        <w:t>Das genannte Aimara-Wort ist folgendermaßen zusammenge</w:t>
      </w:r>
      <w:r>
        <w:softHyphen/>
        <w:t>setzt:</w:t>
      </w:r>
    </w:p>
    <w:p w:rsidR="00BB7EDA" w:rsidRDefault="007D72B3">
      <w:pPr>
        <w:pStyle w:val="Bodytext20"/>
        <w:numPr>
          <w:ilvl w:val="0"/>
          <w:numId w:val="161"/>
        </w:numPr>
        <w:shd w:val="clear" w:color="auto" w:fill="auto"/>
        <w:tabs>
          <w:tab w:val="left" w:pos="289"/>
        </w:tabs>
        <w:spacing w:before="0" w:after="68"/>
        <w:ind w:left="340" w:hanging="340"/>
      </w:pPr>
      <w:r>
        <w:rPr>
          <w:rStyle w:val="Bodytext2Italic0"/>
        </w:rPr>
        <w:t>awist-</w:t>
      </w:r>
      <w:r>
        <w:t xml:space="preserve"> ist eine Verbalwurzel und bezeichnet die Handlung „be</w:t>
      </w:r>
      <w:r>
        <w:softHyphen/>
        <w:t>na</w:t>
      </w:r>
      <w:r>
        <w:t>chrichtigen".</w:t>
      </w:r>
    </w:p>
    <w:p w:rsidR="00BB7EDA" w:rsidRDefault="007D72B3">
      <w:pPr>
        <w:pStyle w:val="Bodytext20"/>
        <w:numPr>
          <w:ilvl w:val="0"/>
          <w:numId w:val="161"/>
        </w:numPr>
        <w:shd w:val="clear" w:color="auto" w:fill="auto"/>
        <w:tabs>
          <w:tab w:val="left" w:pos="289"/>
        </w:tabs>
        <w:spacing w:before="0" w:after="53" w:line="221" w:lineRule="exact"/>
        <w:ind w:left="340" w:hanging="340"/>
      </w:pPr>
      <w:r>
        <w:rPr>
          <w:rStyle w:val="Bodytext2Italic0"/>
        </w:rPr>
        <w:t>-t'a</w:t>
      </w:r>
      <w:r>
        <w:t xml:space="preserve"> drückt aus, dass die Handlung momentan, d.h. punktuell ist.</w:t>
      </w:r>
    </w:p>
    <w:p w:rsidR="00BB7EDA" w:rsidRDefault="007D72B3">
      <w:pPr>
        <w:pStyle w:val="Bodytext20"/>
        <w:numPr>
          <w:ilvl w:val="0"/>
          <w:numId w:val="161"/>
        </w:numPr>
        <w:shd w:val="clear" w:color="auto" w:fill="auto"/>
        <w:tabs>
          <w:tab w:val="left" w:pos="289"/>
        </w:tabs>
        <w:spacing w:before="0" w:after="56"/>
        <w:ind w:left="340" w:hanging="340"/>
      </w:pPr>
      <w:r>
        <w:rPr>
          <w:rStyle w:val="Bodytext2Italic0"/>
        </w:rPr>
        <w:t>-ya</w:t>
      </w:r>
      <w:r>
        <w:t xml:space="preserve"> ist ein Kausativ-Morphem und drückt hier aus, dass das Subjekt („ich") die Handlung durch einen anderen ausführen lässt. Im Deutschen ist dies durch das Verb „veranlassen" u</w:t>
      </w:r>
      <w:r>
        <w:t>m</w:t>
      </w:r>
      <w:r>
        <w:softHyphen/>
        <w:t>schrieben worden.</w:t>
      </w:r>
    </w:p>
    <w:p w:rsidR="00BB7EDA" w:rsidRDefault="007D72B3">
      <w:pPr>
        <w:pStyle w:val="Bodytext20"/>
        <w:numPr>
          <w:ilvl w:val="0"/>
          <w:numId w:val="161"/>
        </w:numPr>
        <w:shd w:val="clear" w:color="auto" w:fill="auto"/>
        <w:tabs>
          <w:tab w:val="left" w:pos="289"/>
        </w:tabs>
        <w:spacing w:before="0" w:after="68" w:line="235" w:lineRule="exact"/>
        <w:ind w:left="340" w:hanging="340"/>
      </w:pPr>
      <w:r>
        <w:rPr>
          <w:rStyle w:val="Bodytext2Italic0"/>
        </w:rPr>
        <w:t>-ni</w:t>
      </w:r>
      <w:r>
        <w:t xml:space="preserve"> bedeutet „gegen den Ort hin, wo der Satz gesprochen wird". Dies wurde in diesem Fall durch „hierher" übersetzt.</w:t>
      </w:r>
    </w:p>
    <w:p w:rsidR="00BB7EDA" w:rsidRDefault="007D72B3">
      <w:pPr>
        <w:pStyle w:val="Bodytext20"/>
        <w:numPr>
          <w:ilvl w:val="0"/>
          <w:numId w:val="161"/>
        </w:numPr>
        <w:shd w:val="clear" w:color="auto" w:fill="auto"/>
        <w:tabs>
          <w:tab w:val="left" w:pos="289"/>
        </w:tabs>
        <w:spacing w:before="0" w:after="60" w:line="226" w:lineRule="exact"/>
        <w:ind w:left="340" w:hanging="340"/>
      </w:pPr>
      <w:r>
        <w:rPr>
          <w:rStyle w:val="Bodytext2Italic0"/>
        </w:rPr>
        <w:t>-waya</w:t>
      </w:r>
      <w:r>
        <w:t xml:space="preserve"> bedeutet „auf dem Weg", im Deutschen ist es durch „wenn [ich hierher] komme" umschrieben worden.</w:t>
      </w:r>
    </w:p>
    <w:p w:rsidR="00BB7EDA" w:rsidRDefault="007D72B3">
      <w:pPr>
        <w:pStyle w:val="Bodytext20"/>
        <w:numPr>
          <w:ilvl w:val="0"/>
          <w:numId w:val="161"/>
        </w:numPr>
        <w:shd w:val="clear" w:color="auto" w:fill="auto"/>
        <w:tabs>
          <w:tab w:val="left" w:pos="289"/>
        </w:tabs>
        <w:spacing w:before="0" w:after="97" w:line="226" w:lineRule="exact"/>
        <w:ind w:left="340" w:hanging="340"/>
      </w:pPr>
      <w:r>
        <w:rPr>
          <w:rStyle w:val="Bodytext2Italic0"/>
        </w:rPr>
        <w:t>-rapi</w:t>
      </w:r>
      <w:r>
        <w:t xml:space="preserve"> ist ein Benefaktiv, was ausdrückt, dass die Handlung zu</w:t>
      </w:r>
      <w:r>
        <w:softHyphen/>
        <w:t>gunsten eines anderen geschieht. Dies ist in der Übersetzung nicht wiedergegeben worden, weil es zu umständlich hätte um</w:t>
      </w:r>
      <w:r>
        <w:softHyphen/>
        <w:t>schrieben werden müssen.</w:t>
      </w:r>
    </w:p>
    <w:p w:rsidR="00BB7EDA" w:rsidRDefault="007D72B3">
      <w:pPr>
        <w:pStyle w:val="Bodytext20"/>
        <w:numPr>
          <w:ilvl w:val="0"/>
          <w:numId w:val="161"/>
        </w:numPr>
        <w:shd w:val="clear" w:color="auto" w:fill="auto"/>
        <w:tabs>
          <w:tab w:val="left" w:pos="294"/>
        </w:tabs>
        <w:spacing w:before="0" w:after="14" w:line="180" w:lineRule="exact"/>
        <w:ind w:left="340" w:hanging="340"/>
      </w:pPr>
      <w:r>
        <w:rPr>
          <w:rStyle w:val="Bodytext2Italic0"/>
        </w:rPr>
        <w:t>-pjja</w:t>
      </w:r>
      <w:r>
        <w:t xml:space="preserve"> drückt aus, dass mehrere an der Handlung beteil</w:t>
      </w:r>
      <w:r>
        <w:t>igt sind.</w:t>
      </w:r>
    </w:p>
    <w:p w:rsidR="00BB7EDA" w:rsidRDefault="007D72B3">
      <w:pPr>
        <w:pStyle w:val="Bodytext20"/>
        <w:numPr>
          <w:ilvl w:val="0"/>
          <w:numId w:val="161"/>
        </w:numPr>
        <w:shd w:val="clear" w:color="auto" w:fill="auto"/>
        <w:tabs>
          <w:tab w:val="left" w:pos="294"/>
        </w:tabs>
        <w:spacing w:before="0" w:line="180" w:lineRule="exact"/>
        <w:ind w:left="340" w:hanging="340"/>
      </w:pPr>
      <w:r>
        <w:rPr>
          <w:rStyle w:val="Bodytext2Italic0"/>
        </w:rPr>
        <w:t>-ä</w:t>
      </w:r>
      <w:r>
        <w:t xml:space="preserve"> bezeichnet die 1. Person, Singular, im Futur.</w:t>
      </w:r>
    </w:p>
    <w:p w:rsidR="00BB7EDA" w:rsidRDefault="007D72B3">
      <w:pPr>
        <w:pStyle w:val="Bodytext20"/>
        <w:numPr>
          <w:ilvl w:val="0"/>
          <w:numId w:val="161"/>
        </w:numPr>
        <w:shd w:val="clear" w:color="auto" w:fill="auto"/>
        <w:tabs>
          <w:tab w:val="left" w:pos="294"/>
        </w:tabs>
        <w:spacing w:before="0"/>
        <w:ind w:left="340" w:hanging="340"/>
      </w:pPr>
      <w:r>
        <w:rPr>
          <w:rStyle w:val="Bodytext2Italic0"/>
        </w:rPr>
        <w:t>-ma</w:t>
      </w:r>
      <w:r>
        <w:t xml:space="preserve"> ist eine Kombination der Pronomen „ich" und „du", verei</w:t>
      </w:r>
      <w:r>
        <w:softHyphen/>
        <w:t>nigt in einem Suffix.</w:t>
      </w:r>
    </w:p>
    <w:p w:rsidR="00BB7EDA" w:rsidRDefault="007D72B3">
      <w:pPr>
        <w:pStyle w:val="Bodytext20"/>
        <w:numPr>
          <w:ilvl w:val="0"/>
          <w:numId w:val="161"/>
        </w:numPr>
        <w:shd w:val="clear" w:color="auto" w:fill="auto"/>
        <w:tabs>
          <w:tab w:val="left" w:pos="322"/>
        </w:tabs>
        <w:spacing w:before="0" w:after="460"/>
        <w:ind w:left="340" w:hanging="340"/>
      </w:pPr>
      <w:r>
        <w:rPr>
          <w:rStyle w:val="Bodytext2Italic0"/>
        </w:rPr>
        <w:t>-wa</w:t>
      </w:r>
      <w:r>
        <w:t xml:space="preserve"> drückt die Intensität der Handlung aus. Dies ist in der Übersetzung nicht berücksichtigt worden. Eine Umschreibung dieser Nuance wäre viel zu umständlich ausgefallen.</w:t>
      </w:r>
    </w:p>
    <w:p w:rsidR="00BB7EDA" w:rsidRDefault="007D72B3">
      <w:pPr>
        <w:pStyle w:val="Bodytext90"/>
        <w:numPr>
          <w:ilvl w:val="0"/>
          <w:numId w:val="160"/>
        </w:numPr>
        <w:shd w:val="clear" w:color="auto" w:fill="auto"/>
        <w:tabs>
          <w:tab w:val="left" w:pos="500"/>
        </w:tabs>
        <w:spacing w:after="219" w:line="180" w:lineRule="exact"/>
        <w:ind w:left="340" w:hanging="340"/>
      </w:pPr>
      <w:r>
        <w:t>Mehr als 100.000 Verbformen</w:t>
      </w:r>
    </w:p>
    <w:p w:rsidR="00BB7EDA" w:rsidRDefault="007D72B3">
      <w:pPr>
        <w:pStyle w:val="Bodytext20"/>
        <w:shd w:val="clear" w:color="auto" w:fill="auto"/>
        <w:spacing w:before="0"/>
      </w:pPr>
      <w:r>
        <w:t>Mit fast jeder Aimara-Verbalwurzel können mindestens 100.000</w:t>
      </w:r>
      <w:r>
        <w:t xml:space="preserve"> verschiedene Formen gebildet werden!</w:t>
      </w:r>
    </w:p>
    <w:p w:rsidR="00BB7EDA" w:rsidRDefault="007D72B3">
      <w:pPr>
        <w:pStyle w:val="Bodytext20"/>
        <w:shd w:val="clear" w:color="auto" w:fill="auto"/>
        <w:spacing w:before="0" w:after="436"/>
      </w:pPr>
      <w:r>
        <w:t>Der Reichtum und die Ausdruckspräzision der Sprache der Aimara sind tief beeindruckend und vermögen m.E. jedem hoch zivilisierten Abendländer allen Stolz und alle Einbildung auf seine hohe Kultur</w:t>
      </w:r>
      <w:r>
        <w:softHyphen/>
        <w:t>stufe zu brechen.</w:t>
      </w:r>
    </w:p>
    <w:p w:rsidR="00BB7EDA" w:rsidRDefault="007D72B3">
      <w:pPr>
        <w:pStyle w:val="Heading40"/>
        <w:keepNext/>
        <w:keepLines/>
        <w:numPr>
          <w:ilvl w:val="0"/>
          <w:numId w:val="158"/>
        </w:numPr>
        <w:shd w:val="clear" w:color="auto" w:fill="auto"/>
        <w:tabs>
          <w:tab w:val="left" w:pos="399"/>
        </w:tabs>
        <w:spacing w:after="217" w:line="210" w:lineRule="exact"/>
        <w:ind w:left="340" w:hanging="340"/>
      </w:pPr>
      <w:bookmarkStart w:id="96" w:name="bookmark95"/>
      <w:r>
        <w:t xml:space="preserve">Die </w:t>
      </w:r>
      <w:r>
        <w:t>Sprache der Wintu-Indianer</w:t>
      </w:r>
      <w:bookmarkEnd w:id="96"/>
    </w:p>
    <w:p w:rsidR="00BB7EDA" w:rsidRDefault="007D72B3">
      <w:pPr>
        <w:pStyle w:val="Bodytext20"/>
        <w:shd w:val="clear" w:color="auto" w:fill="auto"/>
        <w:spacing w:before="0" w:after="217" w:line="226" w:lineRule="exact"/>
      </w:pPr>
      <w:r>
        <w:t>Es ist wunderbar, zu sehen, wie manche Eingeborenen-Sprachen logische Strukturen enthalten, von denen man in europäischen Spra</w:t>
      </w:r>
      <w:r>
        <w:softHyphen/>
        <w:t>chen nicht annähernd etwas Vergleichbares finden kann. So besitzen die Wintu-Indianer in Kalifornien z</w:t>
      </w:r>
      <w:r>
        <w:t>.B. spezielle Formen, um folgen</w:t>
      </w:r>
      <w:r>
        <w:softHyphen/>
        <w:t>de Aussagekategorien zu unterscheiden:</w:t>
      </w:r>
      <w:r>
        <w:rPr>
          <w:vertAlign w:val="superscript"/>
        </w:rPr>
        <w:footnoteReference w:id="322"/>
      </w:r>
    </w:p>
    <w:p w:rsidR="00BB7EDA" w:rsidRDefault="007D72B3">
      <w:pPr>
        <w:pStyle w:val="Bodytext20"/>
        <w:numPr>
          <w:ilvl w:val="0"/>
          <w:numId w:val="162"/>
        </w:numPr>
        <w:shd w:val="clear" w:color="auto" w:fill="auto"/>
        <w:tabs>
          <w:tab w:val="left" w:pos="322"/>
        </w:tabs>
        <w:spacing w:before="0" w:after="139" w:line="180" w:lineRule="exact"/>
        <w:ind w:left="340" w:hanging="340"/>
      </w:pPr>
      <w:r>
        <w:t xml:space="preserve">Die Aussage ist eine Übernahme vom </w:t>
      </w:r>
      <w:r>
        <w:rPr>
          <w:rStyle w:val="Bodytext2Italic0"/>
        </w:rPr>
        <w:t>Hören-Sagen.</w:t>
      </w:r>
    </w:p>
    <w:p w:rsidR="00BB7EDA" w:rsidRDefault="007D72B3">
      <w:pPr>
        <w:pStyle w:val="Bodytext20"/>
        <w:numPr>
          <w:ilvl w:val="0"/>
          <w:numId w:val="163"/>
        </w:numPr>
        <w:shd w:val="clear" w:color="auto" w:fill="auto"/>
        <w:tabs>
          <w:tab w:val="left" w:pos="322"/>
        </w:tabs>
        <w:spacing w:before="0" w:after="103" w:line="180" w:lineRule="exact"/>
        <w:ind w:left="340" w:hanging="340"/>
      </w:pPr>
      <w:r>
        <w:t xml:space="preserve">Die Aussage ist das Resultat </w:t>
      </w:r>
      <w:r>
        <w:rPr>
          <w:rStyle w:val="Bodytext2Italic0"/>
        </w:rPr>
        <w:t>persönlicher Beobachtung.</w:t>
      </w:r>
    </w:p>
    <w:p w:rsidR="00BB7EDA" w:rsidRDefault="007D72B3">
      <w:pPr>
        <w:pStyle w:val="Bodytext20"/>
        <w:shd w:val="clear" w:color="auto" w:fill="auto"/>
        <w:spacing w:before="0" w:after="176" w:line="226" w:lineRule="exact"/>
        <w:ind w:left="340" w:hanging="340"/>
      </w:pPr>
      <w:r>
        <w:t xml:space="preserve">3. Die Aussage ist das Resultat einer </w:t>
      </w:r>
      <w:r>
        <w:rPr>
          <w:rStyle w:val="Bodytext2Italic0"/>
        </w:rPr>
        <w:t>logischen Schlussfolgerung.</w:t>
      </w:r>
      <w:r>
        <w:t xml:space="preserve"> Hier werden zudem noch </w:t>
      </w:r>
      <w:r>
        <w:rPr>
          <w:rStyle w:val="Bodytext2Italic0"/>
        </w:rPr>
        <w:t>drei verschiedene Grade von Plausibilität</w:t>
      </w:r>
      <w:r>
        <w:t xml:space="preserve"> un</w:t>
      </w:r>
      <w:r>
        <w:softHyphen/>
        <w:t>terschieden.</w:t>
      </w:r>
    </w:p>
    <w:p w:rsidR="00BB7EDA" w:rsidRDefault="007D72B3">
      <w:pPr>
        <w:pStyle w:val="Bodytext20"/>
        <w:shd w:val="clear" w:color="auto" w:fill="auto"/>
        <w:spacing w:before="0"/>
        <w:ind w:firstLine="340"/>
      </w:pPr>
      <w:r>
        <w:t>Man stelle sich vor, unsere Politiker, Journalisten, Fernseh- und Radiosprecher würden sich so ausdrücken! Wie viele Unklarheiten und Missverständnisse würden doch so von vor</w:t>
      </w:r>
      <w:r>
        <w:t>nherein ausgeschlos</w:t>
      </w:r>
      <w:r>
        <w:softHyphen/>
        <w:t>sen werden können!</w:t>
      </w:r>
    </w:p>
    <w:p w:rsidR="00BB7EDA" w:rsidRDefault="007D72B3">
      <w:pPr>
        <w:pStyle w:val="Bodytext20"/>
        <w:shd w:val="clear" w:color="auto" w:fill="auto"/>
        <w:spacing w:before="0" w:after="180" w:line="226" w:lineRule="exact"/>
        <w:ind w:firstLine="340"/>
      </w:pPr>
      <w:r>
        <w:t>Auch im Bereich der Wissenschaft würde sich eine solche Spra</w:t>
      </w:r>
      <w:r>
        <w:softHyphen/>
        <w:t>che als äußerst nützlich erweisen, wäre man doch gezwungen, sich stets erkenntnistheoretisch sauber Rechenschaft über die eigenen Aussagen abzulegen. Aber ü</w:t>
      </w:r>
      <w:r>
        <w:t>berhaupt auch im alltäglichen Zusam</w:t>
      </w:r>
      <w:r>
        <w:softHyphen/>
        <w:t>menleben in der Gesellschaft, in Ehe, Familie und Beruf könnte sich eine solche Präzision im Ausdruck äußerst konstruktiv und verständnisfördernd auswirken.</w:t>
      </w:r>
    </w:p>
    <w:p w:rsidR="00BB7EDA" w:rsidRDefault="007D72B3">
      <w:pPr>
        <w:pStyle w:val="Heading40"/>
        <w:keepNext/>
        <w:keepLines/>
        <w:numPr>
          <w:ilvl w:val="0"/>
          <w:numId w:val="158"/>
        </w:numPr>
        <w:shd w:val="clear" w:color="auto" w:fill="auto"/>
        <w:tabs>
          <w:tab w:val="left" w:pos="394"/>
        </w:tabs>
        <w:spacing w:after="0" w:line="451" w:lineRule="exact"/>
      </w:pPr>
      <w:bookmarkStart w:id="97" w:name="bookmark96"/>
      <w:r>
        <w:t>Indianer-Sprachen und die zwei Weltkriege</w:t>
      </w:r>
      <w:bookmarkEnd w:id="97"/>
    </w:p>
    <w:p w:rsidR="00BB7EDA" w:rsidRDefault="007D72B3">
      <w:pPr>
        <w:pStyle w:val="Bodytext90"/>
        <w:numPr>
          <w:ilvl w:val="0"/>
          <w:numId w:val="164"/>
        </w:numPr>
        <w:shd w:val="clear" w:color="auto" w:fill="auto"/>
        <w:tabs>
          <w:tab w:val="left" w:pos="500"/>
        </w:tabs>
        <w:spacing w:line="451" w:lineRule="exact"/>
      </w:pPr>
      <w:r>
        <w:t xml:space="preserve">Comanche und der </w:t>
      </w:r>
      <w:r>
        <w:t>Erste Weltkrieg</w:t>
      </w:r>
    </w:p>
    <w:p w:rsidR="00BB7EDA" w:rsidRDefault="007D72B3">
      <w:pPr>
        <w:pStyle w:val="Bodytext20"/>
        <w:shd w:val="clear" w:color="auto" w:fill="auto"/>
        <w:spacing w:before="0" w:after="400"/>
      </w:pPr>
      <w:r>
        <w:t>Die Tatsache, dass viele Eingeborenen-Sprachen eine so extrem komplizierte und für die Linguistik überaus schwer zu entschlüs</w:t>
      </w:r>
      <w:r>
        <w:softHyphen/>
        <w:t>selnde Struktur aufweisen, wurde von den Amerikanern für strate</w:t>
      </w:r>
      <w:r>
        <w:softHyphen/>
        <w:t>gische Zwecke ausgenützt. So benutzten sie im Erst</w:t>
      </w:r>
      <w:r>
        <w:t>en Weltkrieg die Sprache der Comanche-Indianer als Geheimcode. Auf Englisch vor</w:t>
      </w:r>
      <w:r>
        <w:softHyphen/>
        <w:t>gelegte Militärbotschaften wurden von Comanche-Indianern in ih</w:t>
      </w:r>
      <w:r>
        <w:softHyphen/>
        <w:t>rer Sprache übermittelt. Die weitergegebene Mitteilung wurde je</w:t>
      </w:r>
      <w:r>
        <w:softHyphen/>
        <w:t>weils auch wieder von einem Comanche-Indianer emp</w:t>
      </w:r>
      <w:r>
        <w:t>fangen und auf Englisch übersetzt. Obwohl solche Mitteilungen angezapft wur</w:t>
      </w:r>
      <w:r>
        <w:softHyphen/>
        <w:t>den, konnten sie von feindlicher Seite nicht entschlüsselt werden, weil diese Sprache so komplexe Strukturen aufweist und ein lang</w:t>
      </w:r>
      <w:r>
        <w:softHyphen/>
        <w:t xml:space="preserve">jähriges Studium erfordert hätte, bis man in der </w:t>
      </w:r>
      <w:r>
        <w:t>Lage gewesen wäre, sie zu verstehen.</w:t>
      </w:r>
      <w:r>
        <w:rPr>
          <w:vertAlign w:val="superscript"/>
        </w:rPr>
        <w:footnoteReference w:id="323"/>
      </w:r>
    </w:p>
    <w:p w:rsidR="00BB7EDA" w:rsidRDefault="007D72B3">
      <w:pPr>
        <w:pStyle w:val="Bodytext90"/>
        <w:numPr>
          <w:ilvl w:val="0"/>
          <w:numId w:val="164"/>
        </w:numPr>
        <w:shd w:val="clear" w:color="auto" w:fill="auto"/>
        <w:tabs>
          <w:tab w:val="left" w:pos="505"/>
        </w:tabs>
        <w:spacing w:after="163" w:line="180" w:lineRule="exact"/>
      </w:pPr>
      <w:r>
        <w:t>„Code Talkers" im Zweiten Weltkrieg</w:t>
      </w:r>
    </w:p>
    <w:p w:rsidR="00BB7EDA" w:rsidRDefault="007D72B3">
      <w:pPr>
        <w:pStyle w:val="Bodytext20"/>
        <w:shd w:val="clear" w:color="auto" w:fill="auto"/>
        <w:spacing w:before="0" w:after="373" w:line="226" w:lineRule="exact"/>
      </w:pPr>
      <w:r>
        <w:t>Auch im Zweiten Weltkrieg benutzten die Amerikaner zur Ver</w:t>
      </w:r>
      <w:r>
        <w:softHyphen/>
        <w:t xml:space="preserve">schlüsselung übermittelter Botschaften den bewährten Trick aus den schrecklichen Jahren 1914-1918. So wurden für diese </w:t>
      </w:r>
      <w:r>
        <w:t>Aufgabe wieder Comanche , aber auch Choppewa-, I lopi- und Navajo-India- ner erfolgreich eingesetzt.</w:t>
      </w:r>
      <w:r>
        <w:rPr>
          <w:vertAlign w:val="superscript"/>
        </w:rPr>
        <w:footnoteReference w:id="324"/>
      </w:r>
    </w:p>
    <w:p w:rsidR="00BB7EDA" w:rsidRDefault="007D72B3">
      <w:pPr>
        <w:pStyle w:val="Heading40"/>
        <w:keepNext/>
        <w:keepLines/>
        <w:numPr>
          <w:ilvl w:val="0"/>
          <w:numId w:val="158"/>
        </w:numPr>
        <w:shd w:val="clear" w:color="auto" w:fill="auto"/>
        <w:tabs>
          <w:tab w:val="left" w:pos="404"/>
        </w:tabs>
        <w:spacing w:after="153" w:line="210" w:lineRule="exact"/>
      </w:pPr>
      <w:bookmarkStart w:id="98" w:name="bookmark97"/>
      <w:r>
        <w:t>Zu den Bantu-Sprachen in Afrika</w:t>
      </w:r>
      <w:bookmarkEnd w:id="98"/>
    </w:p>
    <w:p w:rsidR="00BB7EDA" w:rsidRDefault="007D72B3">
      <w:pPr>
        <w:pStyle w:val="Bodytext20"/>
        <w:shd w:val="clear" w:color="auto" w:fill="auto"/>
        <w:spacing w:before="0"/>
      </w:pPr>
      <w:r>
        <w:t>Wer das Gefühl hat, dass die Sprachen Schwarz-Afrikas primitiv seien, könnte eine Art Schock erleben, wenn er sich z.B. mi</w:t>
      </w:r>
      <w:r>
        <w:t>t den</w:t>
      </w:r>
    </w:p>
    <w:p w:rsidR="00BB7EDA" w:rsidRDefault="007D72B3">
      <w:pPr>
        <w:pStyle w:val="Bodytext20"/>
        <w:shd w:val="clear" w:color="auto" w:fill="auto"/>
        <w:spacing w:before="0" w:line="226" w:lineRule="exact"/>
      </w:pPr>
      <w:r>
        <w:t>Bantu-Sprachen</w:t>
      </w:r>
      <w:r>
        <w:rPr>
          <w:vertAlign w:val="superscript"/>
        </w:rPr>
        <w:footnoteReference w:id="325"/>
      </w:r>
      <w:r>
        <w:t xml:space="preserve"> zu beschäftigen beginnt. Ein sehr großer Teil der schwarz-afrikanischen Bevölkerung spricht eine Sprache aus dieser Familie des Niger-Kordofan-Sprachstammes.</w:t>
      </w:r>
    </w:p>
    <w:p w:rsidR="00BB7EDA" w:rsidRDefault="007D72B3">
      <w:pPr>
        <w:pStyle w:val="Bodytext20"/>
        <w:shd w:val="clear" w:color="auto" w:fill="auto"/>
        <w:spacing w:before="0" w:line="226" w:lineRule="exact"/>
        <w:ind w:firstLine="320"/>
      </w:pPr>
      <w:r>
        <w:t>Das Verbalsystem in diesen Sprachen ist sehr komplex. Dasselbe gilt auch für</w:t>
      </w:r>
      <w:r>
        <w:t xml:space="preserve"> das Nominalsystem. Wagen wir einen kleinen Einblick in seine Eigentümlichkeiten: Während es im Deutschen drei gram</w:t>
      </w:r>
      <w:r>
        <w:softHyphen/>
        <w:t>matische Geschlechter gibt, nämlich Maskulinum, Femininum und Neutrum, so gibt es in den Bantu Sprachen bis zu deren 20!</w:t>
      </w:r>
    </w:p>
    <w:p w:rsidR="00BB7EDA" w:rsidRDefault="007D72B3">
      <w:pPr>
        <w:pStyle w:val="Bodytext20"/>
        <w:shd w:val="clear" w:color="auto" w:fill="auto"/>
        <w:spacing w:before="0" w:line="226" w:lineRule="exact"/>
        <w:ind w:firstLine="320"/>
      </w:pPr>
      <w:r>
        <w:t>Man beachte in dies</w:t>
      </w:r>
      <w:r>
        <w:t xml:space="preserve">em Zusammenhang, dass das </w:t>
      </w:r>
      <w:r>
        <w:rPr>
          <w:rStyle w:val="Bodytext2Italic0"/>
        </w:rPr>
        <w:t>grammatische Geschlecht</w:t>
      </w:r>
      <w:r>
        <w:t xml:space="preserve"> im Deutschen (und in anderen Sprachen) allerdings sehr oft nichts mit dem </w:t>
      </w:r>
      <w:r>
        <w:rPr>
          <w:rStyle w:val="Bodytext2Italic0"/>
        </w:rPr>
        <w:t>biologischen Geschlecht</w:t>
      </w:r>
      <w:r>
        <w:t xml:space="preserve"> zu tun hat. Denn, warum ist z.B. </w:t>
      </w:r>
      <w:r>
        <w:rPr>
          <w:rStyle w:val="Bodytext2Italic0"/>
        </w:rPr>
        <w:t>das Fräulein</w:t>
      </w:r>
      <w:r>
        <w:t xml:space="preserve"> „sächlich", obwohl es sich um eine Frau handelt,</w:t>
      </w:r>
      <w:r>
        <w:rPr>
          <w:vertAlign w:val="superscript"/>
        </w:rPr>
        <w:footnoteReference w:id="326"/>
      </w:r>
      <w:r>
        <w:rPr>
          <w:vertAlign w:val="superscript"/>
        </w:rPr>
        <w:t xml:space="preserve"> </w:t>
      </w:r>
      <w:r>
        <w:t xml:space="preserve">weshalb ist </w:t>
      </w:r>
      <w:r>
        <w:rPr>
          <w:rStyle w:val="Bodytext2Italic0"/>
        </w:rPr>
        <w:t>die Butter</w:t>
      </w:r>
      <w:r>
        <w:t xml:space="preserve"> „weiblich" und aus welchem Grund sollte </w:t>
      </w:r>
      <w:r>
        <w:rPr>
          <w:rStyle w:val="Bodytext2Italic0"/>
        </w:rPr>
        <w:t>der Apfel</w:t>
      </w:r>
      <w:r>
        <w:t xml:space="preserve"> „männlich" sein?</w:t>
      </w:r>
      <w:r>
        <w:rPr>
          <w:vertAlign w:val="superscript"/>
        </w:rPr>
        <w:footnoteReference w:id="327"/>
      </w:r>
      <w:r>
        <w:t xml:space="preserve"> Allerdings haben diese verschiedenen Ka</w:t>
      </w:r>
      <w:r>
        <w:softHyphen/>
        <w:t>tegorien einen wirklichen Sinn. In manchen Fällen, wo beim Fehlen dieser Geschlechtsunterscheidungen in Texten Mehrdeutigkeit ent</w:t>
      </w:r>
      <w:r>
        <w:softHyphen/>
        <w:t xml:space="preserve">stehen </w:t>
      </w:r>
      <w:r>
        <w:t>würde, ergibt sich gerade durch die Unterscheidung ver</w:t>
      </w:r>
      <w:r>
        <w:softHyphen/>
        <w:t>schiedener Kategorien glücklicherweise Eindeutigkeit! Die gram</w:t>
      </w:r>
      <w:r>
        <w:softHyphen/>
        <w:t>matischen Geschlechtskategorien schränken damit die Problematik der Polysemie ein.</w:t>
      </w:r>
    </w:p>
    <w:p w:rsidR="00BB7EDA" w:rsidRDefault="007D72B3">
      <w:pPr>
        <w:pStyle w:val="Bodytext20"/>
        <w:shd w:val="clear" w:color="auto" w:fill="auto"/>
        <w:spacing w:before="0" w:line="226" w:lineRule="exact"/>
        <w:ind w:firstLine="320"/>
      </w:pPr>
      <w:r>
        <w:t>In den Bantu-Sprachen wird diese Präzision durch eine V</w:t>
      </w:r>
      <w:r>
        <w:t xml:space="preserve">ielzahl von Klassen gegenüber dem Deutschen noch bedeutend erhöht. Diese „Geschlechter" oder vielleicht eben besser gesagt, </w:t>
      </w:r>
      <w:r>
        <w:rPr>
          <w:rStyle w:val="Bodytext2Italic0"/>
        </w:rPr>
        <w:t xml:space="preserve">Wortklassen, </w:t>
      </w:r>
      <w:r>
        <w:t xml:space="preserve">können auch als </w:t>
      </w:r>
      <w:r>
        <w:rPr>
          <w:rStyle w:val="Bodytext2Italic0"/>
        </w:rPr>
        <w:t>Bedeutungsklassen</w:t>
      </w:r>
      <w:r>
        <w:t xml:space="preserve"> betrachtet werden, da oftmals Wörter mit ähnlicher Bedeutung zur selben Wortklasse ge</w:t>
      </w:r>
      <w:r>
        <w:t xml:space="preserve">hören. Eine Wortklasse wird an einem bestimmten Präfix erkannt, z.B. </w:t>
      </w:r>
      <w:r>
        <w:rPr>
          <w:rStyle w:val="Bodytext2Italic0"/>
        </w:rPr>
        <w:t>ba-, me-, ma-, ke-, ne-</w:t>
      </w:r>
      <w:r>
        <w:t xml:space="preserve"> etc.</w:t>
      </w:r>
    </w:p>
    <w:p w:rsidR="00BB7EDA" w:rsidRDefault="007D72B3">
      <w:pPr>
        <w:pStyle w:val="Bodytext20"/>
        <w:shd w:val="clear" w:color="auto" w:fill="auto"/>
        <w:spacing w:before="0" w:line="226" w:lineRule="exact"/>
        <w:ind w:firstLine="320"/>
      </w:pPr>
      <w:r>
        <w:t>Was weiter Anlass zum Staunen gibt, ist die Tatsache, in welch ausgedehntem Maße Wörter in einem Satz grammatisch miteinan</w:t>
      </w:r>
      <w:r>
        <w:softHyphen/>
        <w:t>der übereinstimmen müssen. Das Präf</w:t>
      </w:r>
      <w:r>
        <w:t>ix färbt sich nämlich umfas</w:t>
      </w:r>
      <w:r>
        <w:softHyphen/>
        <w:t>send auf die Satzstruktur ab, sodass alles, was mit einem bestimm</w:t>
      </w:r>
      <w:r>
        <w:softHyphen/>
        <w:t>ten präfigierten Substantiv in Verbindung steht, ebenfalls mit dem betreffenden Präfix versehen wird. Zwei Beispiele aus dem in</w:t>
      </w:r>
    </w:p>
    <w:p w:rsidR="00BB7EDA" w:rsidRDefault="007D72B3">
      <w:pPr>
        <w:pStyle w:val="Bodytext20"/>
        <w:shd w:val="clear" w:color="auto" w:fill="auto"/>
        <w:spacing w:before="0" w:after="176" w:line="221" w:lineRule="exact"/>
      </w:pPr>
      <w:r>
        <w:t>Tansania gesprochenen Ilamba solle</w:t>
      </w:r>
      <w:r>
        <w:t>n das Gesagte veranschauli</w:t>
      </w:r>
      <w:r>
        <w:softHyphen/>
        <w:t>chen:</w:t>
      </w:r>
      <w:r>
        <w:rPr>
          <w:vertAlign w:val="superscript"/>
        </w:rPr>
        <w:footnoteReference w:id="328"/>
      </w:r>
    </w:p>
    <w:p w:rsidR="00BB7EDA" w:rsidRDefault="007D72B3">
      <w:pPr>
        <w:pStyle w:val="Bodytext20"/>
        <w:numPr>
          <w:ilvl w:val="0"/>
          <w:numId w:val="165"/>
        </w:numPr>
        <w:shd w:val="clear" w:color="auto" w:fill="auto"/>
        <w:tabs>
          <w:tab w:val="left" w:pos="576"/>
          <w:tab w:val="left" w:pos="1327"/>
          <w:tab w:val="left" w:pos="2059"/>
          <w:tab w:val="left" w:pos="2755"/>
          <w:tab w:val="left" w:pos="3360"/>
          <w:tab w:val="left" w:pos="4433"/>
        </w:tabs>
        <w:spacing w:before="0" w:line="226" w:lineRule="exact"/>
        <w:ind w:firstLine="320"/>
      </w:pPr>
      <w:r>
        <w:t>Ke:nto</w:t>
      </w:r>
      <w:r>
        <w:tab/>
        <w:t>kiakoe</w:t>
      </w:r>
      <w:r>
        <w:tab/>
        <w:t>keko.'lu</w:t>
      </w:r>
      <w:r>
        <w:tab/>
        <w:t>kemoe</w:t>
      </w:r>
      <w:r>
        <w:tab/>
        <w:t>kiamekeda</w:t>
      </w:r>
      <w:r>
        <w:tab/>
        <w:t>eno:mba.</w:t>
      </w:r>
    </w:p>
    <w:p w:rsidR="00BB7EDA" w:rsidRDefault="007D72B3">
      <w:pPr>
        <w:pStyle w:val="Bodytext20"/>
        <w:shd w:val="clear" w:color="auto" w:fill="auto"/>
        <w:tabs>
          <w:tab w:val="left" w:pos="1327"/>
          <w:tab w:val="left" w:pos="1975"/>
          <w:tab w:val="left" w:pos="2671"/>
          <w:tab w:val="left" w:pos="3276"/>
          <w:tab w:val="left" w:pos="4261"/>
          <w:tab w:val="left" w:pos="4539"/>
        </w:tabs>
        <w:spacing w:before="0" w:after="173" w:line="226" w:lineRule="exact"/>
        <w:ind w:left="520"/>
      </w:pPr>
      <w:r>
        <w:t>Sache</w:t>
      </w:r>
      <w:r>
        <w:tab/>
        <w:t>seine</w:t>
      </w:r>
      <w:r>
        <w:tab/>
        <w:t>groß</w:t>
      </w:r>
      <w:r>
        <w:tab/>
        <w:t>eine</w:t>
      </w:r>
      <w:r>
        <w:tab/>
        <w:t>ist größer</w:t>
      </w:r>
      <w:r>
        <w:tab/>
        <w:t>als</w:t>
      </w:r>
      <w:r>
        <w:tab/>
        <w:t>(ein) Haus.</w:t>
      </w:r>
    </w:p>
    <w:p w:rsidR="00BB7EDA" w:rsidRDefault="007D72B3">
      <w:pPr>
        <w:pStyle w:val="Bodytext20"/>
        <w:numPr>
          <w:ilvl w:val="0"/>
          <w:numId w:val="165"/>
        </w:numPr>
        <w:shd w:val="clear" w:color="auto" w:fill="auto"/>
        <w:tabs>
          <w:tab w:val="left" w:pos="585"/>
          <w:tab w:val="left" w:pos="1327"/>
          <w:tab w:val="left" w:pos="2069"/>
          <w:tab w:val="left" w:pos="2760"/>
          <w:tab w:val="left" w:pos="3365"/>
          <w:tab w:val="left" w:pos="4433"/>
        </w:tabs>
        <w:spacing w:before="0" w:line="235" w:lineRule="exact"/>
        <w:ind w:firstLine="320"/>
      </w:pPr>
      <w:r>
        <w:t>Lokani</w:t>
      </w:r>
      <w:r>
        <w:tab/>
        <w:t>loakoe</w:t>
      </w:r>
      <w:r>
        <w:tab/>
        <w:t>lokodu</w:t>
      </w:r>
      <w:r>
        <w:tab/>
        <w:t>lomoe</w:t>
      </w:r>
      <w:r>
        <w:tab/>
        <w:t>loaokeda</w:t>
      </w:r>
      <w:r>
        <w:tab/>
        <w:t>oo:ta</w:t>
      </w:r>
    </w:p>
    <w:p w:rsidR="00BB7EDA" w:rsidRDefault="007D72B3">
      <w:pPr>
        <w:pStyle w:val="Bodytext20"/>
        <w:shd w:val="clear" w:color="auto" w:fill="auto"/>
        <w:tabs>
          <w:tab w:val="left" w:pos="1327"/>
          <w:tab w:val="left" w:pos="1975"/>
          <w:tab w:val="left" w:pos="2739"/>
          <w:tab w:val="left" w:pos="3276"/>
          <w:tab w:val="left" w:pos="4261"/>
          <w:tab w:val="left" w:pos="4539"/>
        </w:tabs>
        <w:spacing w:before="0" w:after="224" w:line="235" w:lineRule="exact"/>
        <w:ind w:left="520"/>
      </w:pPr>
      <w:r>
        <w:t>Wort</w:t>
      </w:r>
      <w:r>
        <w:tab/>
        <w:t>sein</w:t>
      </w:r>
      <w:r>
        <w:tab/>
        <w:t>großes</w:t>
      </w:r>
      <w:r>
        <w:tab/>
        <w:t>ein</w:t>
      </w:r>
      <w:r>
        <w:tab/>
        <w:t>ist größer</w:t>
      </w:r>
      <w:r>
        <w:tab/>
        <w:t>als</w:t>
      </w:r>
      <w:r>
        <w:tab/>
        <w:t>(ein) Bogen.</w:t>
      </w:r>
    </w:p>
    <w:p w:rsidR="00BB7EDA" w:rsidRDefault="007D72B3">
      <w:pPr>
        <w:pStyle w:val="Bodytext20"/>
        <w:shd w:val="clear" w:color="auto" w:fill="auto"/>
        <w:spacing w:before="0" w:after="104" w:line="180" w:lineRule="exact"/>
        <w:ind w:firstLine="320"/>
      </w:pPr>
      <w:r>
        <w:t>Diese beiden Sätze bedeuten:</w:t>
      </w:r>
    </w:p>
    <w:p w:rsidR="00BB7EDA" w:rsidRDefault="007D72B3">
      <w:pPr>
        <w:pStyle w:val="Bodytext20"/>
        <w:numPr>
          <w:ilvl w:val="0"/>
          <w:numId w:val="166"/>
        </w:numPr>
        <w:shd w:val="clear" w:color="auto" w:fill="auto"/>
        <w:tabs>
          <w:tab w:val="left" w:pos="581"/>
        </w:tabs>
        <w:spacing w:before="0"/>
        <w:ind w:firstLine="320"/>
      </w:pPr>
      <w:r>
        <w:t>Seine</w:t>
      </w:r>
      <w:r>
        <w:t xml:space="preserve"> große Sache ist größer als ein Haus.</w:t>
      </w:r>
    </w:p>
    <w:p w:rsidR="00BB7EDA" w:rsidRDefault="007D72B3">
      <w:pPr>
        <w:pStyle w:val="Bodytext20"/>
        <w:numPr>
          <w:ilvl w:val="0"/>
          <w:numId w:val="166"/>
        </w:numPr>
        <w:shd w:val="clear" w:color="auto" w:fill="auto"/>
        <w:tabs>
          <w:tab w:val="left" w:pos="585"/>
        </w:tabs>
        <w:spacing w:before="0"/>
        <w:ind w:firstLine="320"/>
      </w:pPr>
      <w:r>
        <w:t>Sein großes Wort ist größer als ein Bogen (d.h. stärker</w:t>
      </w:r>
    </w:p>
    <w:p w:rsidR="00BB7EDA" w:rsidRDefault="007D72B3">
      <w:pPr>
        <w:pStyle w:val="Bodytext20"/>
        <w:shd w:val="clear" w:color="auto" w:fill="auto"/>
        <w:spacing w:before="0" w:after="184"/>
        <w:ind w:firstLine="320"/>
      </w:pPr>
      <w:r>
        <w:t>als ein Bogen).</w:t>
      </w:r>
    </w:p>
    <w:p w:rsidR="00BB7EDA" w:rsidRDefault="007D72B3">
      <w:pPr>
        <w:pStyle w:val="Bodytext20"/>
        <w:shd w:val="clear" w:color="auto" w:fill="auto"/>
        <w:spacing w:before="0" w:after="433" w:line="226" w:lineRule="exact"/>
        <w:ind w:firstLine="320"/>
      </w:pPr>
      <w:r>
        <w:t>Zu beachten ist ferner, dass Sätze in den Bantu-Sprachen nicht irgendwie konstruiert werden können. Vielmehr müssen die ein</w:t>
      </w:r>
      <w:r>
        <w:softHyphen/>
        <w:t xml:space="preserve">zelnen Wörter nach </w:t>
      </w:r>
      <w:r>
        <w:t>präzisen Kriterien miteinander verbunden werden. Auch das Verbalsystem in den Bantu-Sprachen ist hoch- komplex und äußerst differenziert.</w:t>
      </w:r>
      <w:r>
        <w:rPr>
          <w:vertAlign w:val="superscript"/>
        </w:rPr>
        <w:footnoteReference w:id="329"/>
      </w:r>
    </w:p>
    <w:p w:rsidR="00BB7EDA" w:rsidRDefault="007D72B3">
      <w:pPr>
        <w:pStyle w:val="Heading40"/>
        <w:keepNext/>
        <w:keepLines/>
        <w:numPr>
          <w:ilvl w:val="0"/>
          <w:numId w:val="158"/>
        </w:numPr>
        <w:shd w:val="clear" w:color="auto" w:fill="auto"/>
        <w:tabs>
          <w:tab w:val="left" w:pos="400"/>
        </w:tabs>
        <w:spacing w:after="222" w:line="210" w:lineRule="exact"/>
      </w:pPr>
      <w:bookmarkStart w:id="99" w:name="bookmark98"/>
      <w:r>
        <w:t>Fazit</w:t>
      </w:r>
      <w:bookmarkEnd w:id="99"/>
    </w:p>
    <w:p w:rsidR="00BB7EDA" w:rsidRDefault="007D72B3">
      <w:pPr>
        <w:pStyle w:val="Bodytext20"/>
        <w:shd w:val="clear" w:color="auto" w:fill="auto"/>
        <w:spacing w:before="0" w:line="226" w:lineRule="exact"/>
        <w:sectPr w:rsidR="00BB7EDA">
          <w:pgSz w:w="7266" w:h="11422"/>
          <w:pgMar w:top="815" w:right="663" w:bottom="1126" w:left="924" w:header="0" w:footer="3" w:gutter="0"/>
          <w:cols w:space="720"/>
          <w:noEndnote/>
          <w:docGrid w:linePitch="360"/>
        </w:sectPr>
      </w:pPr>
      <w:r>
        <w:t>Man könnte mit Beispielen beliebig weiterfahren,</w:t>
      </w:r>
      <w:r>
        <w:rPr>
          <w:vertAlign w:val="superscript"/>
        </w:rPr>
        <w:footnoteReference w:id="330"/>
      </w:r>
      <w:r>
        <w:t xml:space="preserve"> z.B. mit den etwa 130 hamito-semitischen</w:t>
      </w:r>
      <w:r>
        <w:t xml:space="preserve"> Tschad-Sprachen,</w:t>
      </w:r>
      <w:r>
        <w:rPr>
          <w:vertAlign w:val="superscript"/>
        </w:rPr>
        <w:footnoteReference w:id="331"/>
      </w:r>
      <w:r>
        <w:t xml:space="preserve"> mit den über</w:t>
      </w:r>
      <w:r>
        <w:softHyphen/>
        <w:t>wältigend komplexen Eskimo-Sprachen,</w:t>
      </w:r>
      <w:r>
        <w:rPr>
          <w:vertAlign w:val="superscript"/>
        </w:rPr>
        <w:footnoteReference w:id="332"/>
      </w:r>
      <w:r>
        <w:t xml:space="preserve"> mit den von Millionen in Asien gesprochenen Drawida-Sprachen</w:t>
      </w:r>
      <w:r>
        <w:rPr>
          <w:vertAlign w:val="superscript"/>
        </w:rPr>
        <w:footnoteReference w:id="333"/>
      </w:r>
      <w:r>
        <w:t xml:space="preserve"> oder gar mit den Spra</w:t>
      </w:r>
      <w:r>
        <w:softHyphen/>
        <w:t xml:space="preserve">chen der australischen Ureinwohner etc., es würde einfach immer wieder neu folgendes Ergebnis der </w:t>
      </w:r>
      <w:r>
        <w:t>modernen Linguistik bestäti</w:t>
      </w:r>
      <w:r>
        <w:softHyphen/>
        <w:t>gen:</w:t>
      </w:r>
    </w:p>
    <w:p w:rsidR="00BB7EDA" w:rsidRDefault="007D72B3">
      <w:pPr>
        <w:pStyle w:val="Bodytext20"/>
        <w:shd w:val="clear" w:color="auto" w:fill="auto"/>
        <w:spacing w:before="0"/>
      </w:pPr>
      <w:r>
        <w:t xml:space="preserve">Die moderne Erforschung von Eingeborenen-Sprachen in aller Welt hat deutlich gemacht, dass es auf der ganzen Welt keine primitiven menschlichen Sprachen gibt. Ferner ist völlig klar geworden, </w:t>
      </w:r>
      <w:r>
        <w:rPr>
          <w:rStyle w:val="Bodytext2Italic0"/>
        </w:rPr>
        <w:t xml:space="preserve">dass zwischen dem Kulturniveau </w:t>
      </w:r>
      <w:r>
        <w:rPr>
          <w:rStyle w:val="Bodytext2Italic0"/>
        </w:rPr>
        <w:t>einer Gemeinschaft und der Struktur ihrer Sprache kein Zusammenhang besteht.</w:t>
      </w:r>
      <w:r>
        <w:t xml:space="preserve"> Das heißt, dass eine Stammes</w:t>
      </w:r>
      <w:r>
        <w:softHyphen/>
        <w:t>gemeinschaft in noch so einfachen, ja gar steinzeitlichen Verhältnis</w:t>
      </w:r>
      <w:r>
        <w:softHyphen/>
        <w:t>sen leben kann und dennoch eine sehr komplexe Sprache hat. Oft</w:t>
      </w:r>
      <w:r>
        <w:softHyphen/>
        <w:t>mals sind Sprachen</w:t>
      </w:r>
      <w:r>
        <w:t xml:space="preserve"> von Eingeborenen-Stämmen in ihrer Komplexi</w:t>
      </w:r>
      <w:r>
        <w:softHyphen/>
        <w:t>tät in gewissen Hinsichten sogar jeglicher modernen europäischen Sprache haushoch überlegen.</w:t>
      </w:r>
    </w:p>
    <w:p w:rsidR="00BB7EDA" w:rsidRDefault="007D72B3">
      <w:pPr>
        <w:pStyle w:val="Bodytext20"/>
        <w:shd w:val="clear" w:color="auto" w:fill="auto"/>
        <w:spacing w:before="0" w:after="184"/>
        <w:ind w:firstLine="320"/>
      </w:pPr>
      <w:r>
        <w:t xml:space="preserve">Eugene </w:t>
      </w:r>
      <w:r>
        <w:rPr>
          <w:rStyle w:val="Bodytext275ptSmallCaps0"/>
        </w:rPr>
        <w:t xml:space="preserve">N. Nida, </w:t>
      </w:r>
      <w:r>
        <w:t>ein international bekannter Spezialist für Einge- borenen-Srachen, schrieb zu dieser Thematik:</w:t>
      </w:r>
    </w:p>
    <w:p w:rsidR="00BB7EDA" w:rsidRDefault="007D72B3">
      <w:pPr>
        <w:pStyle w:val="Bodytext20"/>
        <w:shd w:val="clear" w:color="auto" w:fill="auto"/>
        <w:spacing w:before="0" w:after="180" w:line="226" w:lineRule="exact"/>
        <w:ind w:left="320" w:right="320"/>
      </w:pPr>
      <w:r>
        <w:t>„Der Gla</w:t>
      </w:r>
      <w:r>
        <w:t>ube, wonach die,primitiven' Völker,primitive' Spra</w:t>
      </w:r>
      <w:r>
        <w:softHyphen/>
        <w:t>chen reden ist völlig irrig, falls man mit diesem Begriff all das bezeichnen will, was ultra-simpel, begrenzt oder mangelhaft ist. Der beachtliche Reichtum im Vokabular mit Zehntausen</w:t>
      </w:r>
      <w:r>
        <w:softHyphen/>
        <w:t>den von Wörtern sowie</w:t>
      </w:r>
      <w:r>
        <w:t xml:space="preserve"> die komplizierte grammatikalische und lexikale Struktur, die in allen Sprachen anzutreffen ist, beweist, dass es überhaupt keinen Zusammenhang gibt zwi</w:t>
      </w:r>
      <w:r>
        <w:softHyphen/>
        <w:t>schen der linguistischen Struktur und dem Komplexitätsgrad irgendeiner Kultur."</w:t>
      </w:r>
      <w:r>
        <w:rPr>
          <w:vertAlign w:val="superscript"/>
        </w:rPr>
        <w:footnoteReference w:id="334"/>
      </w:r>
    </w:p>
    <w:p w:rsidR="00BB7EDA" w:rsidRDefault="007D72B3">
      <w:pPr>
        <w:pStyle w:val="Bodytext20"/>
        <w:shd w:val="clear" w:color="auto" w:fill="auto"/>
        <w:spacing w:before="0" w:after="457" w:line="226" w:lineRule="exact"/>
        <w:ind w:firstLine="320"/>
      </w:pPr>
      <w:r>
        <w:t>Ferner ist es bedeutsa</w:t>
      </w:r>
      <w:r>
        <w:t xml:space="preserve">m darauf hinzuweisen, dass man bei den Eingeborenen-Völkern die ja selbst heute noch oftmals von gewissen Leuten abschätzig als „primitiv" bezeichnet werden, Sprachen </w:t>
      </w:r>
      <w:r>
        <w:rPr>
          <w:rStyle w:val="Bodytext2Italic0"/>
        </w:rPr>
        <w:t>aller typologischen Strukturen</w:t>
      </w:r>
      <w:r>
        <w:t xml:space="preserve"> findet! Es gibt also, genau wie bei den Spra</w:t>
      </w:r>
      <w:r>
        <w:softHyphen/>
        <w:t>chen der aben</w:t>
      </w:r>
      <w:r>
        <w:t>dländischen Hochkultur sowohl flektierende, aggluti</w:t>
      </w:r>
      <w:r>
        <w:softHyphen/>
        <w:t>nierende als auch isolierende Sprachen unter den Eingeborenen in aller Welt.</w:t>
      </w:r>
      <w:r>
        <w:rPr>
          <w:vertAlign w:val="superscript"/>
        </w:rPr>
        <w:footnoteReference w:id="335"/>
      </w:r>
    </w:p>
    <w:p w:rsidR="00BB7EDA" w:rsidRDefault="007D72B3">
      <w:pPr>
        <w:pStyle w:val="Heading50"/>
        <w:keepNext/>
        <w:keepLines/>
        <w:numPr>
          <w:ilvl w:val="0"/>
          <w:numId w:val="167"/>
        </w:numPr>
        <w:shd w:val="clear" w:color="auto" w:fill="auto"/>
        <w:tabs>
          <w:tab w:val="left" w:pos="500"/>
        </w:tabs>
        <w:spacing w:after="218" w:line="180" w:lineRule="exact"/>
      </w:pPr>
      <w:bookmarkStart w:id="100" w:name="bookmark99"/>
      <w:r>
        <w:t>Linguistik der Eingeborenen-Sprachen contra Evolution</w:t>
      </w:r>
      <w:bookmarkEnd w:id="100"/>
    </w:p>
    <w:p w:rsidR="00BB7EDA" w:rsidRDefault="007D72B3">
      <w:pPr>
        <w:pStyle w:val="Bodytext20"/>
        <w:shd w:val="clear" w:color="auto" w:fill="auto"/>
        <w:spacing w:before="0" w:line="226" w:lineRule="exact"/>
      </w:pPr>
      <w:r>
        <w:t>Die vom Evolutionskonzept zu erwartende „Primitivität" in den Eingeboren</w:t>
      </w:r>
      <w:r>
        <w:t>en-Sprachen existiert nicht. Die Sprachen der Eingebore</w:t>
      </w:r>
      <w:r>
        <w:softHyphen/>
        <w:t>nen in aller Welt sind vielmehr alle hochkomplex. Es gibt nicht einmal ein einziges Ausnahmebeispiel unter den Tausenden von heute bekannten Sprachen, das der evolutionistischen Deduktion bezüglich de</w:t>
      </w:r>
      <w:r>
        <w:t>r Eingeborenen-Sprachen in etwa entgegenkommen würde. Das Wesen der Eingeborenen-Sprachen, ihr Aufbau und ihre Struktur sprechen deutlich gegen die Entwicklungslehre.</w:t>
      </w:r>
    </w:p>
    <w:p w:rsidR="00BB7EDA" w:rsidRDefault="007D72B3">
      <w:pPr>
        <w:pStyle w:val="Bodytext20"/>
        <w:shd w:val="clear" w:color="auto" w:fill="auto"/>
        <w:spacing w:before="0"/>
        <w:ind w:firstLine="320"/>
        <w:sectPr w:rsidR="00BB7EDA">
          <w:footerReference w:type="even" r:id="rId114"/>
          <w:footerReference w:type="default" r:id="rId115"/>
          <w:headerReference w:type="first" r:id="rId116"/>
          <w:footerReference w:type="first" r:id="rId117"/>
          <w:pgSz w:w="7266" w:h="11422"/>
          <w:pgMar w:top="1055" w:right="653" w:bottom="1406" w:left="972" w:header="0" w:footer="3" w:gutter="0"/>
          <w:cols w:space="720"/>
          <w:noEndnote/>
          <w:titlePg/>
          <w:docGrid w:linePitch="360"/>
        </w:sectPr>
      </w:pPr>
      <w:r>
        <w:t>Im Gegensatz dazu passen die objektiv feststellbaren Tatsachen ausgezeichnet in den Rahmen der biblischen Aussagen über die Sprachen der Eingeborenen. Die Tatsache, dass es keine man</w:t>
      </w:r>
      <w:r>
        <w:t>gelhaf</w:t>
      </w:r>
      <w:r>
        <w:softHyphen/>
        <w:t>ten, unvollständigen, primitiven Sprachen gibt, deckt sich gut mit der Lehre der Heiligen Schrift, dass alle Völker ihre Sprachen als ein göttliches Geschenk erhalten haben.</w:t>
      </w:r>
    </w:p>
    <w:p w:rsidR="00BB7EDA" w:rsidRDefault="007D72B3">
      <w:pPr>
        <w:pStyle w:val="Heading30"/>
        <w:keepNext/>
        <w:keepLines/>
        <w:numPr>
          <w:ilvl w:val="0"/>
          <w:numId w:val="168"/>
        </w:numPr>
        <w:shd w:val="clear" w:color="auto" w:fill="auto"/>
        <w:tabs>
          <w:tab w:val="left" w:pos="331"/>
        </w:tabs>
        <w:spacing w:after="385" w:line="336" w:lineRule="exact"/>
        <w:jc w:val="left"/>
      </w:pPr>
      <w:bookmarkStart w:id="101" w:name="bookmark102"/>
      <w:r>
        <w:t>Dritte Untersuchung: Zur Geschichte der Sprachen: Evolution oder Devolution</w:t>
      </w:r>
      <w:r>
        <w:t xml:space="preserve"> der Formenlehre?</w:t>
      </w:r>
      <w:bookmarkEnd w:id="101"/>
    </w:p>
    <w:p w:rsidR="00BB7EDA" w:rsidRDefault="007D72B3">
      <w:pPr>
        <w:pStyle w:val="Bodytext20"/>
        <w:shd w:val="clear" w:color="auto" w:fill="auto"/>
        <w:spacing w:before="0"/>
      </w:pPr>
      <w:r>
        <w:t>In diesem Kapitel soll die Frage beantwortet werden, ob sich inner</w:t>
      </w:r>
      <w:r>
        <w:softHyphen/>
        <w:t>halb der Sprachen, deren Geschichte über längere Zeiträume hin</w:t>
      </w:r>
      <w:r>
        <w:softHyphen/>
        <w:t>weg erforscht werden kann, im Laufe der Zeit der Bereich der Formenlehre - also die Domäne, die sich bekannt</w:t>
      </w:r>
      <w:r>
        <w:t>ermaßen dem kreativen Zugriff des Menschen weitgehend entzieht - Höher</w:t>
      </w:r>
      <w:r>
        <w:softHyphen/>
        <w:t>entwicklungen oder Zerfallserscheinungen zu beobachten sind.</w:t>
      </w:r>
    </w:p>
    <w:p w:rsidR="00BB7EDA" w:rsidRDefault="007D72B3">
      <w:pPr>
        <w:pStyle w:val="Bodytext20"/>
        <w:shd w:val="clear" w:color="auto" w:fill="auto"/>
        <w:spacing w:before="0" w:after="124"/>
        <w:ind w:firstLine="320"/>
      </w:pPr>
      <w:r>
        <w:t xml:space="preserve">Es gibt zahlreiche Sprachen, besonders </w:t>
      </w:r>
      <w:r>
        <w:rPr>
          <w:rStyle w:val="Bodytext2Italic0"/>
        </w:rPr>
        <w:t>hamito-semitische</w:t>
      </w:r>
      <w:r>
        <w:t xml:space="preserve"> und </w:t>
      </w:r>
      <w:r>
        <w:rPr>
          <w:rStyle w:val="Bodytext2Italic0"/>
        </w:rPr>
        <w:t>indogermanische,</w:t>
      </w:r>
      <w:r>
        <w:t xml:space="preserve"> die sich für solche Untersuchungen außerordent</w:t>
      </w:r>
      <w:r>
        <w:softHyphen/>
        <w:t>lich gut eignen, da sie über sehr große Zeitabschnitte hinweg schrift</w:t>
      </w:r>
      <w:r>
        <w:softHyphen/>
        <w:t>lich dokumentiert sind. Nachfolgend seien nur gerade beispielhaft einige Sprachen aufgeführt, für die das zutrifft. Die Zahlen zwischen den Klammern bezeichnen die ungefähren Zeitspanne</w:t>
      </w:r>
      <w:r>
        <w:t>n, über die hinweg diese Sprachen real verfolgt werden können.</w:t>
      </w:r>
    </w:p>
    <w:p w:rsidR="00BB7EDA" w:rsidRDefault="007D72B3">
      <w:pPr>
        <w:pStyle w:val="Bodytext80"/>
        <w:shd w:val="clear" w:color="auto" w:fill="auto"/>
        <w:jc w:val="left"/>
      </w:pPr>
      <w:r>
        <w:t>Hamito-semitische Sprachen:</w:t>
      </w:r>
    </w:p>
    <w:p w:rsidR="00BB7EDA" w:rsidRDefault="007D72B3">
      <w:pPr>
        <w:pStyle w:val="Bodytext20"/>
        <w:shd w:val="clear" w:color="auto" w:fill="auto"/>
        <w:spacing w:before="0" w:line="226" w:lineRule="exact"/>
        <w:jc w:val="left"/>
      </w:pPr>
      <w:r>
        <w:t>Ägyptisch (5.000 Jahre)</w:t>
      </w:r>
    </w:p>
    <w:p w:rsidR="00BB7EDA" w:rsidRDefault="007D72B3">
      <w:pPr>
        <w:pStyle w:val="Bodytext20"/>
        <w:shd w:val="clear" w:color="auto" w:fill="auto"/>
        <w:spacing w:before="0" w:line="226" w:lineRule="exact"/>
        <w:jc w:val="left"/>
      </w:pPr>
      <w:r>
        <w:t>Akkadisch (2.600 Jahre)</w:t>
      </w:r>
    </w:p>
    <w:p w:rsidR="00BB7EDA" w:rsidRDefault="007D72B3">
      <w:pPr>
        <w:pStyle w:val="Bodytext20"/>
        <w:shd w:val="clear" w:color="auto" w:fill="auto"/>
        <w:spacing w:before="0" w:line="226" w:lineRule="exact"/>
        <w:jc w:val="left"/>
      </w:pPr>
      <w:r>
        <w:t>Kanaanäisch (3.500 Jahre)</w:t>
      </w:r>
    </w:p>
    <w:p w:rsidR="00BB7EDA" w:rsidRDefault="007D72B3">
      <w:pPr>
        <w:pStyle w:val="Bodytext20"/>
        <w:shd w:val="clear" w:color="auto" w:fill="auto"/>
        <w:spacing w:before="0" w:line="226" w:lineRule="exact"/>
        <w:jc w:val="left"/>
      </w:pPr>
      <w:r>
        <w:t>Aramäisch (3.000 Jahre)</w:t>
      </w:r>
    </w:p>
    <w:p w:rsidR="00BB7EDA" w:rsidRDefault="007D72B3">
      <w:pPr>
        <w:pStyle w:val="Bodytext20"/>
        <w:shd w:val="clear" w:color="auto" w:fill="auto"/>
        <w:spacing w:before="0" w:line="226" w:lineRule="exact"/>
        <w:jc w:val="left"/>
      </w:pPr>
      <w:r>
        <w:t>Arabisch (2.500 Jahre)</w:t>
      </w:r>
    </w:p>
    <w:p w:rsidR="00BB7EDA" w:rsidRDefault="007D72B3">
      <w:pPr>
        <w:pStyle w:val="Bodytext80"/>
        <w:shd w:val="clear" w:color="auto" w:fill="auto"/>
        <w:jc w:val="left"/>
      </w:pPr>
      <w:r>
        <w:t>Indogermanische Sprachen:</w:t>
      </w:r>
    </w:p>
    <w:p w:rsidR="00BB7EDA" w:rsidRDefault="007D72B3">
      <w:pPr>
        <w:pStyle w:val="Bodytext20"/>
        <w:shd w:val="clear" w:color="auto" w:fill="auto"/>
        <w:spacing w:before="0" w:line="226" w:lineRule="exact"/>
        <w:jc w:val="left"/>
      </w:pPr>
      <w:r>
        <w:t xml:space="preserve">Griechisch (3.400 </w:t>
      </w:r>
      <w:r>
        <w:t>Jahre)</w:t>
      </w:r>
    </w:p>
    <w:p w:rsidR="00BB7EDA" w:rsidRDefault="007D72B3">
      <w:pPr>
        <w:pStyle w:val="Bodytext20"/>
        <w:shd w:val="clear" w:color="auto" w:fill="auto"/>
        <w:spacing w:before="0" w:line="226" w:lineRule="exact"/>
        <w:jc w:val="left"/>
      </w:pPr>
      <w:r>
        <w:t>Latein und die romanischen Sprachen (2.700 Jahre)</w:t>
      </w:r>
      <w:r>
        <w:rPr>
          <w:vertAlign w:val="superscript"/>
        </w:rPr>
        <w:footnoteReference w:id="336"/>
      </w:r>
      <w:r>
        <w:rPr>
          <w:vertAlign w:val="superscript"/>
        </w:rPr>
        <w:t xml:space="preserve"> </w:t>
      </w:r>
      <w:r>
        <w:t>Indoarische Sprachen (3.000-3.500 Jahre)</w:t>
      </w:r>
    </w:p>
    <w:p w:rsidR="00BB7EDA" w:rsidRDefault="007D72B3">
      <w:pPr>
        <w:pStyle w:val="Bodytext20"/>
        <w:shd w:val="clear" w:color="auto" w:fill="auto"/>
        <w:spacing w:before="0" w:line="226" w:lineRule="exact"/>
        <w:jc w:val="left"/>
      </w:pPr>
      <w:r>
        <w:t>Englisch (1.300 Jahre)</w:t>
      </w:r>
    </w:p>
    <w:p w:rsidR="00BB7EDA" w:rsidRDefault="007D72B3">
      <w:pPr>
        <w:pStyle w:val="Bodytext20"/>
        <w:shd w:val="clear" w:color="auto" w:fill="auto"/>
        <w:spacing w:before="0" w:line="226" w:lineRule="exact"/>
        <w:jc w:val="left"/>
      </w:pPr>
      <w:r>
        <w:t>Deutsch (1.300 Jahre)</w:t>
      </w:r>
    </w:p>
    <w:p w:rsidR="00BB7EDA" w:rsidRDefault="007D72B3">
      <w:pPr>
        <w:pStyle w:val="Bodytext80"/>
        <w:shd w:val="clear" w:color="auto" w:fill="auto"/>
        <w:spacing w:line="180" w:lineRule="exact"/>
        <w:jc w:val="left"/>
      </w:pPr>
      <w:r>
        <w:t>Drawida-Sprachen (2.200 Jahre)</w:t>
      </w:r>
    </w:p>
    <w:p w:rsidR="00BB7EDA" w:rsidRDefault="007D72B3">
      <w:pPr>
        <w:pStyle w:val="Heading40"/>
        <w:keepNext/>
        <w:keepLines/>
        <w:numPr>
          <w:ilvl w:val="1"/>
          <w:numId w:val="168"/>
        </w:numPr>
        <w:shd w:val="clear" w:color="auto" w:fill="auto"/>
        <w:tabs>
          <w:tab w:val="left" w:pos="392"/>
        </w:tabs>
        <w:spacing w:after="147" w:line="264" w:lineRule="exact"/>
        <w:jc w:val="left"/>
      </w:pPr>
      <w:bookmarkStart w:id="102" w:name="bookmark103"/>
      <w:r>
        <w:t>Das Gesetz des Zerfalls und das Gesetz der Kommunikations-Erhaltung</w:t>
      </w:r>
      <w:bookmarkEnd w:id="102"/>
    </w:p>
    <w:p w:rsidR="00BB7EDA" w:rsidRDefault="007D72B3">
      <w:pPr>
        <w:pStyle w:val="Bodytext20"/>
        <w:shd w:val="clear" w:color="auto" w:fill="auto"/>
        <w:spacing w:before="0" w:after="400"/>
      </w:pPr>
      <w:r>
        <w:t>In der Naturw</w:t>
      </w:r>
      <w:r>
        <w:t>issenschaft, z.B. in der Physik und in der Chemie, spielt das Gesetz des Zerfalls eine entscheidende Rolle. Diese Ge</w:t>
      </w:r>
      <w:r>
        <w:softHyphen/>
        <w:t>setzmäßigkeit, auch unter dem Begriff „Entropiegesetz" bekannt, ist im 2. Thermodynamischen Hauptsatz formuliert worden.</w:t>
      </w:r>
      <w:r>
        <w:rPr>
          <w:vertAlign w:val="superscript"/>
        </w:rPr>
        <w:footnoteReference w:id="337"/>
      </w:r>
      <w:r>
        <w:t xml:space="preserve"> Eine erstaunlich </w:t>
      </w:r>
      <w:r>
        <w:t>parallele Erscheinung wie dieses unerbittliche Naturge</w:t>
      </w:r>
      <w:r>
        <w:softHyphen/>
        <w:t>setz, hat in gewissem Sinn auch seine Bedeutung in der Linguistik:</w:t>
      </w:r>
    </w:p>
    <w:p w:rsidR="00BB7EDA" w:rsidRDefault="007D72B3">
      <w:pPr>
        <w:pStyle w:val="Heading50"/>
        <w:keepNext/>
        <w:keepLines/>
        <w:numPr>
          <w:ilvl w:val="2"/>
          <w:numId w:val="168"/>
        </w:numPr>
        <w:shd w:val="clear" w:color="auto" w:fill="auto"/>
        <w:tabs>
          <w:tab w:val="left" w:pos="495"/>
        </w:tabs>
        <w:spacing w:after="163" w:line="180" w:lineRule="exact"/>
      </w:pPr>
      <w:bookmarkStart w:id="103" w:name="bookmark104"/>
      <w:r>
        <w:t>Zerfall der Formenlehre</w:t>
      </w:r>
      <w:bookmarkEnd w:id="103"/>
    </w:p>
    <w:p w:rsidR="00BB7EDA" w:rsidRDefault="007D72B3">
      <w:pPr>
        <w:pStyle w:val="Bodytext20"/>
        <w:shd w:val="clear" w:color="auto" w:fill="auto"/>
        <w:spacing w:before="0" w:line="226" w:lineRule="exact"/>
      </w:pPr>
      <w:r>
        <w:t xml:space="preserve">Wo man auch immer den Verlauf der Sprachgeschichte betrachtet, überall lässt sich deutlich im Bereich der </w:t>
      </w:r>
      <w:r>
        <w:t>Formenlehre - d.h. da, wo der Mensch dies nicht durch eine kreative Gegentendenz aufzuhalten vermag-eine Entwicklung des Zerfalls, der Reduktion und der Sim- plifizierung feststellen. Die nachfolgenden Beispiele mögen dabei in ihrer monotonen Aussage stere</w:t>
      </w:r>
      <w:r>
        <w:t>otyp wirken, denn sie alle künden dasselbe: Die Sprachgeschichte ist im Bereich der Formenlehre durch Devolution, Abwärtsentwicklung förmlich charakterisiert.</w:t>
      </w:r>
    </w:p>
    <w:p w:rsidR="00BB7EDA" w:rsidRDefault="007D72B3">
      <w:pPr>
        <w:pStyle w:val="Bodytext20"/>
        <w:shd w:val="clear" w:color="auto" w:fill="auto"/>
        <w:spacing w:before="0" w:after="397" w:line="226" w:lineRule="exact"/>
        <w:ind w:firstLine="320"/>
      </w:pPr>
      <w:r>
        <w:t>Die Ursachen für Devolution im Bereich der Sprachen hängen vor allem eng zusammen mit einer nicht</w:t>
      </w:r>
      <w:r>
        <w:t xml:space="preserve"> zu leugnenden </w:t>
      </w:r>
      <w:r>
        <w:rPr>
          <w:rStyle w:val="Bodytext2Italic0"/>
        </w:rPr>
        <w:t>Trägheit der Sprechenden.</w:t>
      </w:r>
      <w:r>
        <w:t xml:space="preserve"> Der Mensch hat eine Tendenz, den mentalen und phy</w:t>
      </w:r>
      <w:r>
        <w:softHyphen/>
        <w:t>sischen Aufwand an Bemühungen im Umgang mit der Sprache auf ein Minimum zu reduzieren. Diese starke Tendenz lässt sich welt</w:t>
      </w:r>
      <w:r>
        <w:softHyphen/>
        <w:t>weit und zu allen Zeiten der erforschbare</w:t>
      </w:r>
      <w:r>
        <w:t>n Sprachgeschichte fest</w:t>
      </w:r>
      <w:r>
        <w:softHyphen/>
        <w:t xml:space="preserve">stellen. Diese Trägheit führte zum </w:t>
      </w:r>
      <w:r>
        <w:rPr>
          <w:rStyle w:val="Bodytext2Italic0"/>
        </w:rPr>
        <w:t xml:space="preserve">Abschleifen phonologischer Elemente </w:t>
      </w:r>
      <w:r>
        <w:t xml:space="preserve">und weiter bis hin zur </w:t>
      </w:r>
      <w:r>
        <w:rPr>
          <w:rStyle w:val="Bodytext2Italic0"/>
        </w:rPr>
        <w:t>Eliminierung morphologischer Strukturen.</w:t>
      </w:r>
      <w:r>
        <w:t xml:space="preserve"> Diese Vorgänge verlaufen nach ganz bestimmten Gesetzmäßigkeiten und Mechanismen. Dies erkannt zu </w:t>
      </w:r>
      <w:r>
        <w:t xml:space="preserve">haben, ist in besonderer Weise der große Verdienst der Neo-Grammatiker des 19. Jahrhunderts, zu nennen wären in diesem Zusammenhang speziell Hermann </w:t>
      </w:r>
      <w:r>
        <w:rPr>
          <w:rStyle w:val="Bodytext28ptSmallCaps"/>
        </w:rPr>
        <w:t xml:space="preserve">Paul </w:t>
      </w:r>
      <w:r>
        <w:t xml:space="preserve">(1846-1921) und Leonard </w:t>
      </w:r>
      <w:r>
        <w:rPr>
          <w:rStyle w:val="Bodytext28ptSmallCaps"/>
        </w:rPr>
        <w:t xml:space="preserve">Bloomfield </w:t>
      </w:r>
      <w:r>
        <w:t>(1887-1949).</w:t>
      </w:r>
    </w:p>
    <w:p w:rsidR="00BB7EDA" w:rsidRDefault="007D72B3">
      <w:pPr>
        <w:pStyle w:val="Heading50"/>
        <w:keepNext/>
        <w:keepLines/>
        <w:numPr>
          <w:ilvl w:val="2"/>
          <w:numId w:val="168"/>
        </w:numPr>
        <w:shd w:val="clear" w:color="auto" w:fill="auto"/>
        <w:tabs>
          <w:tab w:val="left" w:pos="500"/>
        </w:tabs>
        <w:spacing w:after="163" w:line="180" w:lineRule="exact"/>
      </w:pPr>
      <w:bookmarkStart w:id="104" w:name="bookmark105"/>
      <w:r>
        <w:t>Reparatur-, Ausgleichs- und Entwicklungsmechanismen</w:t>
      </w:r>
      <w:bookmarkEnd w:id="104"/>
    </w:p>
    <w:p w:rsidR="00BB7EDA" w:rsidRDefault="007D72B3">
      <w:pPr>
        <w:pStyle w:val="Bodytext20"/>
        <w:shd w:val="clear" w:color="auto" w:fill="auto"/>
        <w:spacing w:before="0" w:line="226" w:lineRule="exact"/>
      </w:pPr>
      <w:r>
        <w:t>Gl</w:t>
      </w:r>
      <w:r>
        <w:t>ücklicherweise sind aber auch -bedingt durch die sprachkultureile Fähigkeit des Menschen - im Bereich der Lexik, Semantik und der</w:t>
      </w:r>
    </w:p>
    <w:p w:rsidR="00BB7EDA" w:rsidRDefault="007D72B3">
      <w:pPr>
        <w:pStyle w:val="Bodytext20"/>
        <w:shd w:val="clear" w:color="auto" w:fill="auto"/>
        <w:spacing w:before="0" w:after="457" w:line="226" w:lineRule="exact"/>
      </w:pPr>
      <w:r>
        <w:t xml:space="preserve">Syntax - </w:t>
      </w:r>
      <w:r>
        <w:rPr>
          <w:rStyle w:val="Bodytext2Italic0"/>
        </w:rPr>
        <w:t>Reparatur-, Ausgleichs-</w:t>
      </w:r>
      <w:r>
        <w:t xml:space="preserve"> und </w:t>
      </w:r>
      <w:r>
        <w:rPr>
          <w:rStyle w:val="Bodytext2Italic0"/>
        </w:rPr>
        <w:t>Entwicklungsmechanismen</w:t>
      </w:r>
      <w:r>
        <w:t xml:space="preserve"> fest</w:t>
      </w:r>
      <w:r>
        <w:softHyphen/>
        <w:t>stellbar. Sie hängen mit dem als notwendig empfundenen Bedür</w:t>
      </w:r>
      <w:r>
        <w:t>fnis nach gut verständlicher, klarer Kommunikation zusammen. Mor</w:t>
      </w:r>
      <w:r>
        <w:softHyphen/>
        <w:t>phologischer Verlust hat oft direkte Auswirkungen auf die Ebene der Syntax. Verloren gegangene morphologische Strukturen der Formenlehre mussten, zumindest teilweise, durch syntaktische Umsch</w:t>
      </w:r>
      <w:r>
        <w:t>reibungen oder durch bestimmte Wortstellungen im Satz wieder ausgeglichen werden. Die Syntax eignet sich, wie bereits schon ausgeführt, dafür sehr gut, weil mit Hilfe dieser Ebene durch Umschreibungen im Prinzip jeder beliebige Gedanke ausgedrückt werden k</w:t>
      </w:r>
      <w:r>
        <w:t>ann, allerdings gewöhnlich nicht so ökonomisch wie mit</w:t>
      </w:r>
      <w:r>
        <w:softHyphen/>
        <w:t>tels der älteren morphologischen Strukturen. Hinzu kommt, unab</w:t>
      </w:r>
      <w:r>
        <w:softHyphen/>
        <w:t>hängig vom Verlust an Wortformen, dass durch kreativen Umgang mit den in der Langue vorgegebenen Möglichkeiten immer wieder neue syntaktis</w:t>
      </w:r>
      <w:r>
        <w:t>che Wendungen aufkamen, welche die jeweilige Spra</w:t>
      </w:r>
      <w:r>
        <w:softHyphen/>
        <w:t>che wiederum bereicherten und dazu führten, dass Sprachen durch die Jahrtausende hindurch immer vollwertige Kommunikations</w:t>
      </w:r>
      <w:r>
        <w:softHyphen/>
        <w:t>mittel blieben. Wir können also in Verbindung mit der Sprachge</w:t>
      </w:r>
      <w:r>
        <w:softHyphen/>
        <w:t>schichte von zwei ve</w:t>
      </w:r>
      <w:r>
        <w:t xml:space="preserve">rschiedenen Kraftrichtungen sprechen: Auf der einen Seite von einem </w:t>
      </w:r>
      <w:r>
        <w:rPr>
          <w:rStyle w:val="Bodytext2Italic0"/>
        </w:rPr>
        <w:t>Reduktions-</w:t>
      </w:r>
      <w:r>
        <w:t xml:space="preserve"> und auf der anderen Seite von einem </w:t>
      </w:r>
      <w:r>
        <w:rPr>
          <w:rStyle w:val="Bodytext2Italic0"/>
        </w:rPr>
        <w:t>Restrukturierungs- und Ausbauprozess.</w:t>
      </w:r>
      <w:r>
        <w:t xml:space="preserve"> Den letzteren könnte man im Rahmen eines </w:t>
      </w:r>
      <w:r>
        <w:rPr>
          <w:rStyle w:val="Bodytext2Italic0"/>
        </w:rPr>
        <w:t>Kommunikations-Erhaltungs-Gesetzes</w:t>
      </w:r>
      <w:r>
        <w:t xml:space="preserve"> formu</w:t>
      </w:r>
      <w:r>
        <w:softHyphen/>
        <w:t>lieren.</w:t>
      </w:r>
    </w:p>
    <w:p w:rsidR="00BB7EDA" w:rsidRDefault="007D72B3">
      <w:pPr>
        <w:pStyle w:val="Bodytext90"/>
        <w:numPr>
          <w:ilvl w:val="2"/>
          <w:numId w:val="168"/>
        </w:numPr>
        <w:shd w:val="clear" w:color="auto" w:fill="auto"/>
        <w:tabs>
          <w:tab w:val="left" w:pos="500"/>
        </w:tabs>
        <w:spacing w:after="223" w:line="180" w:lineRule="exact"/>
      </w:pPr>
      <w:r>
        <w:t xml:space="preserve">Auf und Ab: </w:t>
      </w:r>
      <w:r>
        <w:t>Prozesse auf verschiedenen Ebenen</w:t>
      </w:r>
    </w:p>
    <w:p w:rsidR="00BB7EDA" w:rsidRDefault="007D72B3">
      <w:pPr>
        <w:pStyle w:val="Bodytext20"/>
        <w:shd w:val="clear" w:color="auto" w:fill="auto"/>
        <w:spacing w:before="0" w:line="226" w:lineRule="exact"/>
      </w:pPr>
      <w:r>
        <w:t xml:space="preserve">Es ist aber ganz entscheidend, klar zu sehen, dass diese beiden Prozesse auf </w:t>
      </w:r>
      <w:r>
        <w:rPr>
          <w:rStyle w:val="Bodytext2Italic0"/>
        </w:rPr>
        <w:t>verschiedenen</w:t>
      </w:r>
      <w:r>
        <w:t xml:space="preserve"> Ebenen verlaufen. Der erstere Prozess ist verzahnt mit der Tatsache, dass der Mensch im Bereich der Formen</w:t>
      </w:r>
      <w:r>
        <w:softHyphen/>
        <w:t xml:space="preserve">lehre wesentlich </w:t>
      </w:r>
      <w:r>
        <w:rPr>
          <w:rStyle w:val="Bodytext2Italic0"/>
        </w:rPr>
        <w:t>unkreat</w:t>
      </w:r>
      <w:r>
        <w:rPr>
          <w:rStyle w:val="Bodytext2Italic0"/>
        </w:rPr>
        <w:t>iv</w:t>
      </w:r>
      <w:r>
        <w:t xml:space="preserve"> ist, während der andere mit dem Faktum verknüpft ist, dass er im Bereich der Syntax, Lexik und Semantik wunderbar </w:t>
      </w:r>
      <w:r>
        <w:rPr>
          <w:rStyle w:val="Bodytext2Italic0"/>
        </w:rPr>
        <w:t>begabt</w:t>
      </w:r>
      <w:r>
        <w:t xml:space="preserve"> ist.</w:t>
      </w:r>
    </w:p>
    <w:p w:rsidR="00BB7EDA" w:rsidRDefault="007D72B3">
      <w:pPr>
        <w:pStyle w:val="Bodytext20"/>
        <w:shd w:val="clear" w:color="auto" w:fill="auto"/>
        <w:spacing w:before="0" w:line="226" w:lineRule="exact"/>
        <w:ind w:firstLine="340"/>
      </w:pPr>
      <w:r>
        <w:rPr>
          <w:rStyle w:val="Bodytext2Italic0"/>
        </w:rPr>
        <w:t>Dieser Aspekt ist bisher in der Linguistik weitgehend übersehen wor</w:t>
      </w:r>
      <w:r>
        <w:rPr>
          <w:rStyle w:val="Bodytext2Italic0"/>
        </w:rPr>
        <w:softHyphen/>
        <w:t>den</w:t>
      </w:r>
      <w:r>
        <w:rPr>
          <w:rStyle w:val="Bodytext2Italic0"/>
          <w:vertAlign w:val="superscript"/>
        </w:rPr>
        <w:t>1</w:t>
      </w:r>
      <w:r>
        <w:rPr>
          <w:rStyle w:val="Bodytext2Italic0"/>
        </w:rPr>
        <w:t>.</w:t>
      </w:r>
      <w:r>
        <w:t xml:space="preserve"> Hier liegt wohl die Hauptursache dafür, dass viele Sp</w:t>
      </w:r>
      <w:r>
        <w:t>rachwis</w:t>
      </w:r>
      <w:r>
        <w:softHyphen/>
        <w:t>senschaftler denken, dass man mit empirischer Linguistik nichts zur Klärung der Frage nach dem Ursprung der Sprachen beitragen könne, schließlich verlaufe die Sprachgeschichte ja in etwa in einem ausgeglichenen Auf und Ab. Wenn man jedoch realisier</w:t>
      </w:r>
      <w:r>
        <w:t xml:space="preserve">t, dass das Auf in Verbindung mit den </w:t>
      </w:r>
      <w:r>
        <w:rPr>
          <w:rStyle w:val="Bodytext2Italic0"/>
        </w:rPr>
        <w:t>der Kreativität</w:t>
      </w:r>
      <w:r>
        <w:t xml:space="preserve"> offenen Bereichen steht, während das Ab die Sphären betrifft, wo der Mensch </w:t>
      </w:r>
      <w:r>
        <w:rPr>
          <w:rStyle w:val="Bodytext2Italic0"/>
        </w:rPr>
        <w:t>keinen kteativen</w:t>
      </w:r>
    </w:p>
    <w:p w:rsidR="00BB7EDA" w:rsidRDefault="007D72B3">
      <w:pPr>
        <w:pStyle w:val="Bodytext20"/>
        <w:shd w:val="clear" w:color="auto" w:fill="auto"/>
        <w:spacing w:before="0" w:after="457" w:line="226" w:lineRule="exact"/>
      </w:pPr>
      <w:r>
        <w:t>Zugriff hat, so wird klar, dass die Linguistik dennoch Bedeutendes zur Klärung des Sprachursprungs beizutrage</w:t>
      </w:r>
      <w:r>
        <w:t>n vermag, und wäre es nur zunächst einmal, durch die Einbringung der aufrüttelnden Fra</w:t>
      </w:r>
      <w:r>
        <w:softHyphen/>
        <w:t>gestellung: Woher kommen morphologisch komplexe Strukturen der Formenlehre, wenn der Mensch sie ja gar nicht in dieser Weise selber produzieren kann?</w:t>
      </w:r>
    </w:p>
    <w:p w:rsidR="00BB7EDA" w:rsidRDefault="007D72B3">
      <w:pPr>
        <w:pStyle w:val="Heading50"/>
        <w:keepNext/>
        <w:keepLines/>
        <w:numPr>
          <w:ilvl w:val="2"/>
          <w:numId w:val="168"/>
        </w:numPr>
        <w:shd w:val="clear" w:color="auto" w:fill="auto"/>
        <w:tabs>
          <w:tab w:val="left" w:pos="500"/>
        </w:tabs>
        <w:spacing w:after="163" w:line="180" w:lineRule="exact"/>
      </w:pPr>
      <w:bookmarkStart w:id="105" w:name="bookmark106"/>
      <w:r>
        <w:t>Von synthetischen z</w:t>
      </w:r>
      <w:r>
        <w:t>u analytischen Formen</w:t>
      </w:r>
      <w:bookmarkEnd w:id="105"/>
    </w:p>
    <w:p w:rsidR="00BB7EDA" w:rsidRDefault="007D72B3">
      <w:pPr>
        <w:pStyle w:val="Bodytext20"/>
        <w:shd w:val="clear" w:color="auto" w:fill="auto"/>
        <w:spacing w:before="0" w:after="389" w:line="226" w:lineRule="exact"/>
      </w:pPr>
      <w:r>
        <w:t xml:space="preserve">Neben den genannten Prozessen lässt sich weltweit noch folgender wichtiger Mechanismus in der Sprachgeschichte feststellen, der auch mit dem Bedürfnis nach gut verständlicher, klarer Kommunikation zusammenhängt: </w:t>
      </w:r>
      <w:r>
        <w:rPr>
          <w:rStyle w:val="Bodytext2Italic0"/>
        </w:rPr>
        <w:t xml:space="preserve">Die </w:t>
      </w:r>
      <w:r>
        <w:rPr>
          <w:rStyle w:val="Bodytext2Italic0"/>
        </w:rPr>
        <w:t>Sprachentwicklungen neigen stark dazu, syntheti</w:t>
      </w:r>
      <w:r>
        <w:rPr>
          <w:rStyle w:val="Bodytext2Italic0"/>
        </w:rPr>
        <w:softHyphen/>
        <w:t>sche (zusammengesetzte) Formen durch analytische (umschreibende) For</w:t>
      </w:r>
      <w:r>
        <w:rPr>
          <w:rStyle w:val="Bodytext2Italic0"/>
        </w:rPr>
        <w:softHyphen/>
        <w:t>menzuersetzen.</w:t>
      </w:r>
      <w:r>
        <w:t xml:space="preserve"> Es ist ziemlich selten, dass analytische Formen durch Grammatikalisierungsprozesse zu synthetischen Formen erstarren. Es kan</w:t>
      </w:r>
      <w:r>
        <w:t>n Vorkommen, aber der gegenteilige Vorgang ist das Normale und in der Sprachgeschichte das übermächtig Dominierende.</w:t>
      </w:r>
    </w:p>
    <w:p w:rsidR="00BB7EDA" w:rsidRDefault="007D72B3">
      <w:pPr>
        <w:pStyle w:val="Heading40"/>
        <w:keepNext/>
        <w:keepLines/>
        <w:numPr>
          <w:ilvl w:val="1"/>
          <w:numId w:val="168"/>
        </w:numPr>
        <w:shd w:val="clear" w:color="auto" w:fill="auto"/>
        <w:tabs>
          <w:tab w:val="left" w:pos="399"/>
        </w:tabs>
        <w:spacing w:after="247" w:line="264" w:lineRule="exact"/>
        <w:jc w:val="left"/>
      </w:pPr>
      <w:bookmarkStart w:id="106" w:name="bookmark107"/>
      <w:r>
        <w:t>Beispiele aus der hamito-semitischen Sprach</w:t>
      </w:r>
      <w:r>
        <w:softHyphen/>
        <w:t>geschichte</w:t>
      </w:r>
      <w:bookmarkEnd w:id="106"/>
    </w:p>
    <w:p w:rsidR="00BB7EDA" w:rsidRDefault="007D72B3">
      <w:pPr>
        <w:pStyle w:val="Heading50"/>
        <w:keepNext/>
        <w:keepLines/>
        <w:numPr>
          <w:ilvl w:val="2"/>
          <w:numId w:val="168"/>
        </w:numPr>
        <w:shd w:val="clear" w:color="auto" w:fill="auto"/>
        <w:tabs>
          <w:tab w:val="left" w:pos="495"/>
        </w:tabs>
        <w:spacing w:after="158" w:line="180" w:lineRule="exact"/>
      </w:pPr>
      <w:bookmarkStart w:id="107" w:name="bookmark108"/>
      <w:r>
        <w:t>Akkadisch</w:t>
      </w:r>
      <w:bookmarkEnd w:id="107"/>
    </w:p>
    <w:p w:rsidR="00BB7EDA" w:rsidRDefault="007D72B3">
      <w:pPr>
        <w:pStyle w:val="Bodytext20"/>
        <w:shd w:val="clear" w:color="auto" w:fill="auto"/>
        <w:spacing w:before="0" w:line="226" w:lineRule="exact"/>
      </w:pPr>
      <w:r>
        <w:t>Ein erstes Beispiel mag einiges von dem eben Ausgeführten ver</w:t>
      </w:r>
      <w:r>
        <w:softHyphen/>
        <w:t xml:space="preserve">deutlichen: </w:t>
      </w:r>
      <w:r>
        <w:t xml:space="preserve">Im Altakkadischen lautete das Wort für ,Hund' </w:t>
      </w:r>
      <w:r>
        <w:rPr>
          <w:rStyle w:val="Bodytext2Italic0"/>
        </w:rPr>
        <w:t xml:space="preserve">kalbum. </w:t>
      </w:r>
      <w:r>
        <w:t xml:space="preserve">Im Verlauf der Sprachgeschichte wurde das Phonem/m/am Schluss des Wortes abgeworfen. Der Hund hieß dann nur noch </w:t>
      </w:r>
      <w:r>
        <w:rPr>
          <w:rStyle w:val="Bodytext2Italic0"/>
        </w:rPr>
        <w:t>kalbu.</w:t>
      </w:r>
      <w:r>
        <w:t xml:space="preserve"> Diese Reduktion betraf zunächst lediglich den Bereich der Phonologie. Auf die näch</w:t>
      </w:r>
      <w:r>
        <w:t>st höhere Ebene der Morphologie hatte diese Verände</w:t>
      </w:r>
      <w:r>
        <w:softHyphen/>
        <w:t xml:space="preserve">rung noch keinen großen Einfluss, </w:t>
      </w:r>
      <w:r>
        <w:rPr>
          <w:rStyle w:val="Bodytext2Italic0"/>
        </w:rPr>
        <w:t>kalbu</w:t>
      </w:r>
      <w:r>
        <w:t xml:space="preserve"> war im Mittelbabylonischen immer noch klar als Nominativ Singular erkennbar, wiewohl der Unterschied zum Nominativ Plural nunmehr sehr geringfügig war: Im Plural wu</w:t>
      </w:r>
      <w:r>
        <w:t xml:space="preserve">rde das </w:t>
      </w:r>
      <w:r>
        <w:rPr>
          <w:rStyle w:val="Bodytext2Italic0"/>
        </w:rPr>
        <w:t>u</w:t>
      </w:r>
      <w:r>
        <w:t xml:space="preserve"> im Gegensatz zum Singular, lang ausgespro</w:t>
      </w:r>
      <w:r>
        <w:softHyphen/>
        <w:t>chen.</w:t>
      </w:r>
    </w:p>
    <w:p w:rsidR="00BB7EDA" w:rsidRDefault="007D72B3">
      <w:pPr>
        <w:pStyle w:val="Bodytext20"/>
        <w:shd w:val="clear" w:color="auto" w:fill="auto"/>
        <w:spacing w:before="0" w:line="226" w:lineRule="exact"/>
        <w:ind w:firstLine="320"/>
      </w:pPr>
      <w:r>
        <w:t>Während in den überlieferten Keilschrifttexten im Mittelbabylo</w:t>
      </w:r>
      <w:r>
        <w:softHyphen/>
        <w:t>nischen und im Mittelassyrischen die Kasusformen meistens noch sauber auseinander gehalten werden, finden sich im jüngeren Mit</w:t>
      </w:r>
      <w:r>
        <w:softHyphen/>
        <w:t>telbabyl</w:t>
      </w:r>
      <w:r>
        <w:t xml:space="preserve">onisch zuweilen falsche Kasusvokale. Im Jungbabylonischen und im Neuassyrischen ging zuerst der Akkusativ auf </w:t>
      </w:r>
      <w:r>
        <w:rPr>
          <w:rStyle w:val="Bodytext2Italic0"/>
        </w:rPr>
        <w:t>-a</w:t>
      </w:r>
      <w:r>
        <w:t xml:space="preserve"> weithin verloren und wurde durch den Nominativ auf </w:t>
      </w:r>
      <w:r>
        <w:rPr>
          <w:rStyle w:val="Bodytext2Italic0"/>
        </w:rPr>
        <w:t>-u</w:t>
      </w:r>
      <w:r>
        <w:t xml:space="preserve"> ersetzt.</w:t>
      </w:r>
    </w:p>
    <w:p w:rsidR="00BB7EDA" w:rsidRDefault="007D72B3">
      <w:pPr>
        <w:pStyle w:val="Bodytext20"/>
        <w:shd w:val="clear" w:color="auto" w:fill="auto"/>
        <w:spacing w:before="0"/>
        <w:ind w:firstLine="320"/>
      </w:pPr>
      <w:r>
        <w:t>Im Neubabylonischen ab ca. 750 v. Chr. und im Spät-Neu</w:t>
      </w:r>
      <w:r>
        <w:softHyphen/>
        <w:t>assyrischen kam es zu ein</w:t>
      </w:r>
      <w:r>
        <w:t>er völligen Regellosigkeit in der Verwen</w:t>
      </w:r>
      <w:r>
        <w:softHyphen/>
        <w:t>dung von Kasusvokalen. Immer häufiger wurden auch gar keine Kasusvokale mehr geschrieben. So brach das akkadische Fallsystem in einem sehr langen Prozess immer mehr zusammen.</w:t>
      </w:r>
      <w:r>
        <w:rPr>
          <w:vertAlign w:val="superscript"/>
        </w:rPr>
        <w:footnoteReference w:id="338"/>
      </w:r>
    </w:p>
    <w:p w:rsidR="00BB7EDA" w:rsidRDefault="007D72B3">
      <w:pPr>
        <w:pStyle w:val="Bodytext20"/>
        <w:shd w:val="clear" w:color="auto" w:fill="auto"/>
        <w:spacing w:before="0"/>
        <w:ind w:firstLine="320"/>
      </w:pPr>
      <w:r>
        <w:t>Dieselben reduzierenden Prozesse, die b</w:t>
      </w:r>
      <w:r>
        <w:t>eim Nomen wirksam waren, finden sich auch beim Verbalsystem. Durch den fortschrei</w:t>
      </w:r>
      <w:r>
        <w:softHyphen/>
        <w:t>tenden Vokalabfall führte dies beim Tätigkeitswort dazu, dass viele ursprünglich verschiedene Formen in der Spätzeit gleich lautend, also homophon, wurden.</w:t>
      </w:r>
      <w:r>
        <w:rPr>
          <w:vertAlign w:val="superscript"/>
        </w:rPr>
        <w:footnoteReference w:id="339"/>
      </w:r>
    </w:p>
    <w:p w:rsidR="00BB7EDA" w:rsidRDefault="007D72B3">
      <w:pPr>
        <w:pStyle w:val="Bodytext20"/>
        <w:shd w:val="clear" w:color="auto" w:fill="auto"/>
        <w:spacing w:before="0" w:after="460"/>
        <w:ind w:firstLine="320"/>
      </w:pPr>
      <w:r>
        <w:t>Die ungefähr währ</w:t>
      </w:r>
      <w:r>
        <w:t>end 2.600 Jahren schriftlich dokumentierte ak</w:t>
      </w:r>
      <w:r>
        <w:softHyphen/>
        <w:t>kadische Sprachgeschichte redet deutlich gegen die Auffassung, dass sich Sprachen in der Formenlehre von unten nach oben entwickeln.</w:t>
      </w:r>
      <w:r>
        <w:rPr>
          <w:vertAlign w:val="superscript"/>
        </w:rPr>
        <w:footnoteReference w:id="340"/>
      </w:r>
    </w:p>
    <w:p w:rsidR="00BB7EDA" w:rsidRDefault="007D72B3">
      <w:pPr>
        <w:pStyle w:val="Heading50"/>
        <w:keepNext/>
        <w:keepLines/>
        <w:numPr>
          <w:ilvl w:val="2"/>
          <w:numId w:val="168"/>
        </w:numPr>
        <w:shd w:val="clear" w:color="auto" w:fill="auto"/>
        <w:tabs>
          <w:tab w:val="left" w:pos="505"/>
        </w:tabs>
        <w:spacing w:after="223" w:line="180" w:lineRule="exact"/>
      </w:pPr>
      <w:bookmarkStart w:id="108" w:name="bookmark109"/>
      <w:r>
        <w:t>Ägyptisch</w:t>
      </w:r>
      <w:bookmarkEnd w:id="108"/>
    </w:p>
    <w:p w:rsidR="00BB7EDA" w:rsidRDefault="007D72B3">
      <w:pPr>
        <w:pStyle w:val="Bodytext20"/>
        <w:shd w:val="clear" w:color="auto" w:fill="auto"/>
        <w:spacing w:before="0" w:line="226" w:lineRule="exact"/>
      </w:pPr>
      <w:r>
        <w:t>Die Sprache, deren Geschichte über den größten Zeitraum hinweg unt</w:t>
      </w:r>
      <w:r>
        <w:t>ersucht werden kann, ist eindeutig das Ägyptische: Ab ca. 2900 v. Chr. bis ins 20. Jahrhundert n. Chr.</w:t>
      </w:r>
    </w:p>
    <w:p w:rsidR="00BB7EDA" w:rsidRDefault="007D72B3">
      <w:pPr>
        <w:pStyle w:val="Bodytext20"/>
        <w:shd w:val="clear" w:color="auto" w:fill="auto"/>
        <w:spacing w:before="0" w:line="226" w:lineRule="exact"/>
        <w:ind w:firstLine="320"/>
        <w:sectPr w:rsidR="00BB7EDA">
          <w:pgSz w:w="7266" w:h="11422"/>
          <w:pgMar w:top="759" w:right="705" w:bottom="1183" w:left="897" w:header="0" w:footer="3" w:gutter="0"/>
          <w:cols w:space="720"/>
          <w:noEndnote/>
          <w:docGrid w:linePitch="360"/>
        </w:sectPr>
      </w:pPr>
      <w:r>
        <w:t xml:space="preserve">Die Geschichte des Ägyptischen legt kein Zeugnis für Evolution im Bereich der Formenlehre ab, sondern vielmehr für Devolution in </w:t>
      </w:r>
      <w:r>
        <w:t>dieser Sphäre. Bereits im Mittelägyptischen zeichneten sich gegen</w:t>
      </w:r>
      <w:r>
        <w:softHyphen/>
        <w:t>über der älteren Sprachstufe wichtige Veränderungen ab. Trotz der Existenz eines ausreichenden synthetischen Verbalformeninventars begannen immer mehr analytische Formen (Umschreibungen durc</w:t>
      </w:r>
      <w:r>
        <w:t>h Hilfswörter) aufzutauchen. Die analytischen Formen führten lange Zeit ein Eigenleben neben den synthetischen. Doch im Koptischen kam es zu einer massiven Verdrängung der zusammengesetzten Flexionen, und damit zu einer gewaltigen Einbuße an morphologi</w:t>
      </w:r>
      <w:r>
        <w:softHyphen/>
        <w:t>sch</w:t>
      </w:r>
      <w:r>
        <w:t>en Strukturen.</w:t>
      </w:r>
      <w:r>
        <w:rPr>
          <w:vertAlign w:val="superscript"/>
        </w:rPr>
        <w:footnoteReference w:id="341"/>
      </w:r>
    </w:p>
    <w:p w:rsidR="00BB7EDA" w:rsidRDefault="007D72B3">
      <w:pPr>
        <w:pStyle w:val="Bodytext120"/>
        <w:shd w:val="clear" w:color="auto" w:fill="auto"/>
        <w:spacing w:before="0" w:after="333"/>
      </w:pPr>
      <w:r>
        <w:t>Abb. 14 Die Sprache der alten Ägypter lässt sich über einen Zeitraum von ungefähr 5.000 Jahren erforschen. Im Bild: Der Autor bei der Chephren-Pyramide in Gizeh.</w:t>
      </w:r>
    </w:p>
    <w:p w:rsidR="00BB7EDA" w:rsidRDefault="007D72B3">
      <w:pPr>
        <w:pStyle w:val="Bodytext20"/>
        <w:shd w:val="clear" w:color="auto" w:fill="auto"/>
        <w:spacing w:before="0" w:line="226" w:lineRule="exact"/>
        <w:ind w:firstLine="320"/>
      </w:pPr>
      <w:r>
        <w:t>Wir haben gesehen, dass das Ägyptische in seinen ältesten Sprach- stufen, trot</w:t>
      </w:r>
      <w:r>
        <w:t>z der weit über 200 synthetischen Verbalformen, vergli</w:t>
      </w:r>
      <w:r>
        <w:softHyphen/>
        <w:t>chen mit dem Sumerischen und dem Akkadischen einen bedeutend geringeren in der Konsonantenschrift nachweisbaren Formenreich</w:t>
      </w:r>
      <w:r>
        <w:softHyphen/>
        <w:t>tum aufwies, dies gilt entsprechend auch für das Nominalsystem. Dabei muss ab</w:t>
      </w:r>
      <w:r>
        <w:t xml:space="preserve">er festgehalten werden, dass der Formenbestand im Verlauf der ägyptischen Sprachgeschichte </w:t>
      </w:r>
      <w:r>
        <w:rPr>
          <w:rStyle w:val="Bodytext2Italic0"/>
        </w:rPr>
        <w:t>stetig abnahm und nie größer wurde!</w:t>
      </w:r>
      <w:r>
        <w:t xml:space="preserve"> Dieses Beispiel hat besonders viel Gewicht, weil das Ägyptische die einzige Sprache der Welt ist, die wir über einen derart iange</w:t>
      </w:r>
      <w:r>
        <w:t>n Zeitraum hinweg in seiner Entwicklung so genau verfolgen können.</w:t>
      </w:r>
    </w:p>
    <w:p w:rsidR="00BB7EDA" w:rsidRDefault="007D72B3">
      <w:pPr>
        <w:pStyle w:val="Bodytext20"/>
        <w:shd w:val="clear" w:color="auto" w:fill="auto"/>
        <w:spacing w:before="0" w:line="226" w:lineRule="exact"/>
        <w:ind w:firstLine="320"/>
      </w:pPr>
      <w:r>
        <w:t>In diesem Zusammenhang mag es für den Leser auch noch von Interesse sein, zu wissen, dass sprachgeschichtliche Veränderun</w:t>
      </w:r>
      <w:r>
        <w:softHyphen/>
        <w:t>gen im Ägyptischen prinzipiell schneller vor sich gegangen sind als</w:t>
      </w:r>
      <w:r>
        <w:t xml:space="preserve"> im Sumerischen und im Akkadischen. Dieses größere Tempo könnte eine hypothetische Erklärung dafür liefern, weshalb in den ältesten ägyptischen Sprachstufen der Formenbestand (bereits?) bedeu</w:t>
      </w:r>
      <w:r>
        <w:softHyphen/>
        <w:t>tend geringer war als im Sumerischen und im Akkadischen. Das Sum</w:t>
      </w:r>
      <w:r>
        <w:t>erische erwies sich übrigens im Gegensatz zum Ägyptischen als eine extrem konservative Sprache. Man beachte aber: Extrem konservativ heißt aber nicht evolvierend! Das starke konservative</w:t>
      </w:r>
    </w:p>
    <w:p w:rsidR="00BB7EDA" w:rsidRDefault="007D72B3">
      <w:pPr>
        <w:pStyle w:val="Bodytext20"/>
        <w:shd w:val="clear" w:color="auto" w:fill="auto"/>
        <w:spacing w:before="0" w:after="460"/>
      </w:pPr>
      <w:r>
        <w:t>Element im Sumerischen kann z.T. damit erklärt werden, dass diese Spr</w:t>
      </w:r>
      <w:r>
        <w:t>ache während etwa 2/3 seiner Geschichte eine tote Spra</w:t>
      </w:r>
      <w:r>
        <w:softHyphen/>
        <w:t>che war. Das ist allerdings nicht der einzige Faktor, denn das Hebräische z.B. war ja auch lange Zeit eine tote Sprache und hat in dieser Periode dennoch beachtliche Veränderungen erfahren. Wäh</w:t>
      </w:r>
      <w:r>
        <w:softHyphen/>
        <w:t>rend vi</w:t>
      </w:r>
      <w:r>
        <w:t>eler Jahrhunderte, möglicherweise etwa 1.700 Jahre lang, war Hebräisch keine gesprochene Umgangssprache mehr, son</w:t>
      </w:r>
      <w:r>
        <w:softHyphen/>
        <w:t>dern lediglich noch Ausdrucksmittel der Synagoge, des privaten Gebets und der Gelehrten. Doch, selbst durch diesen Umstand wurden stete Sprach</w:t>
      </w:r>
      <w:r>
        <w:t>veränderungen nicht blockiert. Dies führt uns gerade zum nächsten Illustrationsbeispiel.</w:t>
      </w:r>
    </w:p>
    <w:p w:rsidR="00BB7EDA" w:rsidRDefault="007D72B3">
      <w:pPr>
        <w:pStyle w:val="Bodytext90"/>
        <w:numPr>
          <w:ilvl w:val="2"/>
          <w:numId w:val="168"/>
        </w:numPr>
        <w:shd w:val="clear" w:color="auto" w:fill="auto"/>
        <w:tabs>
          <w:tab w:val="left" w:pos="500"/>
        </w:tabs>
        <w:spacing w:after="219" w:line="180" w:lineRule="exact"/>
      </w:pPr>
      <w:r>
        <w:t>Hebräisch</w:t>
      </w:r>
    </w:p>
    <w:p w:rsidR="00BB7EDA" w:rsidRDefault="007D72B3">
      <w:pPr>
        <w:pStyle w:val="Bodytext20"/>
        <w:shd w:val="clear" w:color="auto" w:fill="auto"/>
        <w:spacing w:before="0" w:after="184"/>
      </w:pPr>
      <w:r>
        <w:t>Hebräisch ist wie Phönizisch-Punisch, Moabitisch, Ammonitisch, Edomitisch und Philistäisch, ein kanaanäischer Dialekt.</w:t>
      </w:r>
      <w:r>
        <w:rPr>
          <w:vertAlign w:val="superscript"/>
        </w:rPr>
        <w:footnoteReference w:id="342"/>
      </w:r>
      <w:r>
        <w:t xml:space="preserve"> Wie be</w:t>
      </w:r>
      <w:r>
        <w:softHyphen/>
        <w:t>reits erwähnt, kann das Kanaan</w:t>
      </w:r>
      <w:r>
        <w:t>äische bzw. Hebräische über einen Zeitraum von ca. 3.500 Jahren hinweg untersucht werden.</w:t>
      </w:r>
      <w:r>
        <w:rPr>
          <w:vertAlign w:val="superscript"/>
        </w:rPr>
        <w:footnoteReference w:id="343"/>
      </w:r>
    </w:p>
    <w:p w:rsidR="00BB7EDA" w:rsidRDefault="007D72B3">
      <w:pPr>
        <w:pStyle w:val="Bodytext100"/>
        <w:numPr>
          <w:ilvl w:val="0"/>
          <w:numId w:val="169"/>
        </w:numPr>
        <w:shd w:val="clear" w:color="auto" w:fill="auto"/>
        <w:tabs>
          <w:tab w:val="left" w:pos="644"/>
        </w:tabs>
        <w:spacing w:before="0"/>
        <w:ind w:firstLine="0"/>
      </w:pPr>
      <w:r>
        <w:t>Perioden der hebräischen Sprachgeschichte</w:t>
      </w:r>
    </w:p>
    <w:p w:rsidR="00BB7EDA" w:rsidRDefault="007D72B3">
      <w:pPr>
        <w:pStyle w:val="Bodytext20"/>
        <w:shd w:val="clear" w:color="auto" w:fill="auto"/>
        <w:spacing w:before="0" w:line="226" w:lineRule="exact"/>
      </w:pPr>
      <w:r>
        <w:t>Man kann im Blick auf die hebräische Sprachgeschichte folgende</w:t>
      </w:r>
    </w:p>
    <w:p w:rsidR="00BB7EDA" w:rsidRDefault="007D72B3">
      <w:pPr>
        <w:pStyle w:val="Bodytext20"/>
        <w:shd w:val="clear" w:color="auto" w:fill="auto"/>
        <w:spacing w:before="0" w:after="115" w:line="226" w:lineRule="exact"/>
      </w:pPr>
      <w:r>
        <w:t>vier Perioden unterscheiden:</w:t>
      </w:r>
    </w:p>
    <w:p w:rsidR="00BB7EDA" w:rsidRPr="007D72B3" w:rsidRDefault="007D72B3">
      <w:pPr>
        <w:pStyle w:val="Bodytext20"/>
        <w:numPr>
          <w:ilvl w:val="0"/>
          <w:numId w:val="170"/>
        </w:numPr>
        <w:shd w:val="clear" w:color="auto" w:fill="auto"/>
        <w:tabs>
          <w:tab w:val="left" w:pos="282"/>
        </w:tabs>
        <w:spacing w:before="0" w:line="307" w:lineRule="exact"/>
        <w:rPr>
          <w:lang w:val="en-US"/>
        </w:rPr>
      </w:pPr>
      <w:r w:rsidRPr="007D72B3">
        <w:rPr>
          <w:rStyle w:val="Bodytext2Italic0"/>
          <w:lang w:val="en-US"/>
        </w:rPr>
        <w:t>Althebräisch:</w:t>
      </w:r>
      <w:r w:rsidRPr="007D72B3">
        <w:rPr>
          <w:lang w:val="en-US"/>
        </w:rPr>
        <w:t xml:space="preserve"> ca. 1500 - ca. 400 v. Chr.</w:t>
      </w:r>
      <w:r>
        <w:rPr>
          <w:vertAlign w:val="superscript"/>
        </w:rPr>
        <w:footnoteReference w:id="344"/>
      </w:r>
    </w:p>
    <w:p w:rsidR="00BB7EDA" w:rsidRDefault="007D72B3">
      <w:pPr>
        <w:pStyle w:val="Bodytext20"/>
        <w:numPr>
          <w:ilvl w:val="0"/>
          <w:numId w:val="170"/>
        </w:numPr>
        <w:shd w:val="clear" w:color="auto" w:fill="auto"/>
        <w:tabs>
          <w:tab w:val="left" w:pos="282"/>
        </w:tabs>
        <w:spacing w:before="0" w:line="307" w:lineRule="exact"/>
      </w:pPr>
      <w:r>
        <w:rPr>
          <w:rStyle w:val="Bodytext2Italic0"/>
        </w:rPr>
        <w:t>Mittelhebräisch:</w:t>
      </w:r>
      <w:r>
        <w:t xml:space="preserve"> ca. 400 v. Chr. - ca. 500 n. Chr.</w:t>
      </w:r>
    </w:p>
    <w:p w:rsidR="00BB7EDA" w:rsidRDefault="007D72B3">
      <w:pPr>
        <w:pStyle w:val="Bodytext80"/>
        <w:numPr>
          <w:ilvl w:val="0"/>
          <w:numId w:val="170"/>
        </w:numPr>
        <w:shd w:val="clear" w:color="auto" w:fill="auto"/>
        <w:tabs>
          <w:tab w:val="left" w:pos="282"/>
        </w:tabs>
        <w:spacing w:line="307" w:lineRule="exact"/>
      </w:pPr>
      <w:r>
        <w:t>Mittelalterliches Hebräisch:</w:t>
      </w:r>
      <w:r>
        <w:rPr>
          <w:rStyle w:val="Bodytext8NotItalic"/>
        </w:rPr>
        <w:t xml:space="preserve"> ab ca. 500 n. Chr.</w:t>
      </w:r>
    </w:p>
    <w:p w:rsidR="00BB7EDA" w:rsidRDefault="007D72B3">
      <w:pPr>
        <w:pStyle w:val="Bodytext20"/>
        <w:numPr>
          <w:ilvl w:val="0"/>
          <w:numId w:val="170"/>
        </w:numPr>
        <w:shd w:val="clear" w:color="auto" w:fill="auto"/>
        <w:tabs>
          <w:tab w:val="left" w:pos="284"/>
        </w:tabs>
        <w:spacing w:before="0" w:line="226" w:lineRule="exact"/>
        <w:ind w:left="320" w:hanging="320"/>
        <w:jc w:val="left"/>
      </w:pPr>
      <w:r>
        <w:rPr>
          <w:rStyle w:val="Bodytext2Italic0"/>
        </w:rPr>
        <w:t>Modernes Hebräisch (Ivrith):</w:t>
      </w:r>
      <w:r>
        <w:t xml:space="preserve"> ab 1922 offizielle Sprache im britischen Mandat „Palästina" und ab 1948 im modernen Staat Israel</w:t>
      </w:r>
      <w:r>
        <w:rPr>
          <w:vertAlign w:val="superscript"/>
        </w:rPr>
        <w:footnoteReference w:id="345"/>
      </w:r>
    </w:p>
    <w:p w:rsidR="00BB7EDA" w:rsidRDefault="007D72B3">
      <w:pPr>
        <w:pStyle w:val="Bodytext100"/>
        <w:numPr>
          <w:ilvl w:val="0"/>
          <w:numId w:val="169"/>
        </w:numPr>
        <w:shd w:val="clear" w:color="auto" w:fill="auto"/>
        <w:tabs>
          <w:tab w:val="left" w:pos="654"/>
        </w:tabs>
        <w:spacing w:before="0" w:line="230" w:lineRule="exact"/>
        <w:ind w:firstLine="0"/>
      </w:pPr>
      <w:r>
        <w:t>Z</w:t>
      </w:r>
      <w:r>
        <w:t>erfall der Kasusformen</w:t>
      </w:r>
    </w:p>
    <w:p w:rsidR="00BB7EDA" w:rsidRDefault="007D72B3">
      <w:pPr>
        <w:pStyle w:val="Bodytext20"/>
        <w:shd w:val="clear" w:color="auto" w:fill="auto"/>
        <w:spacing w:before="0" w:after="180"/>
      </w:pPr>
      <w:r>
        <w:t>In der ältesten Sprachstufe wies das Hebräische noch ein Kasus</w:t>
      </w:r>
      <w:r>
        <w:softHyphen/>
        <w:t>system auf, in dem Endungen des Nominativs, Genitivs und Akku</w:t>
      </w:r>
      <w:r>
        <w:softHyphen/>
        <w:t>sativs unterschieden wurden. Aus der Konsonantenschrift des Alten Testaments ist diese Tatsache nicht deutli</w:t>
      </w:r>
      <w:r>
        <w:t>ch erkennbar, da die kurzvokaligen Kasusformen in der Konsonantenschrift nicht ge</w:t>
      </w:r>
      <w:r>
        <w:softHyphen/>
        <w:t>schrieben werden mussten, nichtsdestotrotz wurden sie aber vom Leser ursprünglich ausgesprochen. Diese Tatsache geht z.B. deut</w:t>
      </w:r>
      <w:r>
        <w:softHyphen/>
        <w:t>lich aus den Keilschrifttexten von Tell-el-Amar</w:t>
      </w:r>
      <w:r>
        <w:t>na hervor.</w:t>
      </w:r>
      <w:r>
        <w:rPr>
          <w:vertAlign w:val="superscript"/>
        </w:rPr>
        <w:footnoteReference w:id="346"/>
      </w:r>
      <w:r>
        <w:t xml:space="preserve"> Diese Dokumente mit kanaanäischen Glossen, werden in die zweite Hälfte des 2. Jahrtausends v. Chr. datiert. In diesen Texten sind Kasusen</w:t>
      </w:r>
      <w:r>
        <w:softHyphen/>
        <w:t>dungen erkennbar, dank der syllabischen Keilschrift, in der sie ausgeschrieben wurden. In der darauf folge</w:t>
      </w:r>
      <w:r>
        <w:t>nden Zeit gingen sie jedoch verloren.</w:t>
      </w:r>
    </w:p>
    <w:p w:rsidR="00BB7EDA" w:rsidRDefault="007D72B3">
      <w:pPr>
        <w:pStyle w:val="Bodytext100"/>
        <w:shd w:val="clear" w:color="auto" w:fill="auto"/>
        <w:spacing w:before="0" w:line="230" w:lineRule="exact"/>
        <w:ind w:firstLine="0"/>
      </w:pPr>
      <w:r>
        <w:t>8.2.33 Zerfall im Bereich der Verbalformen</w:t>
      </w:r>
    </w:p>
    <w:p w:rsidR="00BB7EDA" w:rsidRDefault="007D72B3">
      <w:pPr>
        <w:pStyle w:val="Bodytext20"/>
        <w:shd w:val="clear" w:color="auto" w:fill="auto"/>
        <w:spacing w:before="0"/>
      </w:pPr>
      <w:r>
        <w:t>Die Reduktionen im Bereich des Verbalsystems sind noch bedeuten</w:t>
      </w:r>
      <w:r>
        <w:softHyphen/>
        <w:t>der: Der im Althebräischen in Erzähltexten übliche Narrativ</w:t>
      </w:r>
      <w:r>
        <w:rPr>
          <w:vertAlign w:val="superscript"/>
        </w:rPr>
        <w:footnoteReference w:id="347"/>
      </w:r>
      <w:r>
        <w:t xml:space="preserve"> ist im Laufe der Sprachgeschichte verloren gegange</w:t>
      </w:r>
      <w:r>
        <w:t>n.</w:t>
      </w:r>
      <w:r>
        <w:rPr>
          <w:vertAlign w:val="superscript"/>
        </w:rPr>
        <w:footnoteReference w:id="348"/>
      </w:r>
      <w:r>
        <w:t xml:space="preserve"> Das gilt auch für die we-qatal-Formen.</w:t>
      </w:r>
      <w:r>
        <w:rPr>
          <w:vertAlign w:val="superscript"/>
        </w:rPr>
        <w:footnoteReference w:id="349"/>
      </w:r>
      <w:r>
        <w:t xml:space="preserve"> Hinzu kommt der Verlust einer ganzen Reihe von seltenen Verbalstämmen</w:t>
      </w:r>
      <w:r>
        <w:rPr>
          <w:vertAlign w:val="superscript"/>
        </w:rPr>
        <w:footnoteReference w:id="350"/>
      </w:r>
      <w:r>
        <w:t xml:space="preserve"> bzw. der krasse Rückgang im</w:t>
      </w:r>
      <w:r>
        <w:br w:type="page"/>
      </w:r>
    </w:p>
    <w:p w:rsidR="00BB7EDA" w:rsidRDefault="007D72B3">
      <w:pPr>
        <w:pStyle w:val="Bodytext120"/>
        <w:shd w:val="clear" w:color="auto" w:fill="auto"/>
        <w:spacing w:before="0" w:after="294" w:line="150" w:lineRule="exact"/>
        <w:ind w:left="320" w:hanging="320"/>
      </w:pPr>
      <w:r>
        <w:pict>
          <v:shape id="_x0000_s1155" type="#_x0000_t202" style="position:absolute;left:0;text-align:left;margin-left:.4pt;margin-top:-69.65pt;width:271.2pt;height:56.7pt;z-index:-125829349;mso-wrap-distance-left:5pt;mso-wrap-distance-right:7.9pt;mso-position-horizontal-relative:margin" filled="f" stroked="f">
            <v:textbox style="mso-fit-shape-to-text:t" inset="0,0,0,0">
              <w:txbxContent>
                <w:p w:rsidR="00BB7EDA" w:rsidRDefault="007D72B3">
                  <w:pPr>
                    <w:pStyle w:val="Bodytext25"/>
                    <w:shd w:val="clear" w:color="auto" w:fill="auto"/>
                  </w:pPr>
                  <w:r>
                    <w:rPr>
                      <w:rStyle w:val="Bodytext25Arial9ptNotBoldExact"/>
                    </w:rPr>
                    <w:t xml:space="preserve">:f;f&lt;n nxi traten </w:t>
                  </w:r>
                  <w:r>
                    <w:t>nx □</w:t>
                  </w:r>
                  <w:r>
                    <w:rPr>
                      <w:vertAlign w:val="superscript"/>
                    </w:rPr>
                    <w:t>,</w:t>
                  </w:r>
                  <w:r>
                    <w:t xml:space="preserve">nbx xna rriöxnai «'an </w:t>
                  </w:r>
                  <w:r>
                    <w:rPr>
                      <w:rStyle w:val="Bodytext25TrebuchetMS5ptNotBoldItalicExact"/>
                    </w:rPr>
                    <w:t>':s-bv nonya o'ribn</w:t>
                  </w:r>
                  <w:r>
                    <w:t xml:space="preserve"> nrn olnn -js-Si) inhi inh nn-.ri jnxni </w:t>
                  </w:r>
                  <w:r>
                    <w:rPr>
                      <w:rStyle w:val="Bodytext25TrebuchetMS6ptNotBoldExact"/>
                    </w:rPr>
                    <w:t>2</w:t>
                  </w:r>
                </w:p>
                <w:p w:rsidR="00BB7EDA" w:rsidRDefault="007D72B3">
                  <w:pPr>
                    <w:pStyle w:val="Bodytext25"/>
                    <w:shd w:val="clear" w:color="auto" w:fill="auto"/>
                  </w:pPr>
                  <w:r>
                    <w:rPr>
                      <w:rStyle w:val="Bodytext2575ptNotBoldExact"/>
                    </w:rPr>
                    <w:t>nix</w:t>
                  </w:r>
                  <w:r>
                    <w:rPr>
                      <w:rStyle w:val="Bodytext2575ptNotBoldExact"/>
                    </w:rPr>
                    <w:t xml:space="preserve">'-rn </w:t>
                  </w:r>
                  <w:r>
                    <w:t xml:space="preserve">nix ’n; nyi^x nt2xh3 p?i n1xn pa crnbx </w:t>
                  </w:r>
                  <w:r>
                    <w:rPr>
                      <w:rStyle w:val="Bodytext25TrebuchetMS5ptNotBoldItalicExact"/>
                    </w:rPr>
                    <w:t>b?sn</w:t>
                  </w:r>
                  <w:r>
                    <w:t xml:space="preserve"> aiens nixn-nx o’nSx </w:t>
                  </w:r>
                  <w:r>
                    <w:rPr>
                      <w:rStyle w:val="Bodytext25SmallCapsExact"/>
                      <w:b/>
                      <w:bCs/>
                    </w:rPr>
                    <w:t>xtm H</w:t>
                  </w:r>
                  <w:r>
                    <w:t xml:space="preserve"> nnx Qi’ -ipb-’n^ anpipi nSf? xnj? itinbi or nix</w:t>
                  </w:r>
                  <w:r>
                    <w:rPr>
                      <w:vertAlign w:val="superscript"/>
                    </w:rPr>
                    <w:t>1</w:t>
                  </w:r>
                  <w:r>
                    <w:t>? c’nSx xnpis</w:t>
                  </w:r>
                </w:p>
              </w:txbxContent>
            </v:textbox>
            <w10:wrap type="topAndBottom" anchorx="margin"/>
          </v:shape>
        </w:pict>
      </w:r>
      <w:r>
        <w:t>Abb. 15 Hebräische Schrift (Inhalt: Genesis 1,1-5; Biblia Hebraica).</w:t>
      </w:r>
    </w:p>
    <w:p w:rsidR="00BB7EDA" w:rsidRDefault="007D72B3">
      <w:pPr>
        <w:pStyle w:val="Bodytext20"/>
        <w:shd w:val="clear" w:color="auto" w:fill="auto"/>
        <w:spacing w:before="0" w:line="226" w:lineRule="exact"/>
      </w:pPr>
      <w:r>
        <w:t>Gebrauch der Formen des Pu'al- und des Hoph'</w:t>
      </w:r>
      <w:r>
        <w:t>al-Stammes. Schließ</w:t>
      </w:r>
      <w:r>
        <w:softHyphen/>
        <w:t>lich sollte auch noch der Untergang des Infinitivus absolutus, des Kohortativs und die weitgehende Aufgabe der Pronominalsuffixe beim Verb Erwähnung finden. In Israel sind heute auch die Formen der 3./2. Person, Plural, femininum vom Un</w:t>
      </w:r>
      <w:r>
        <w:t>tergang bedroht.</w:t>
      </w:r>
      <w:r>
        <w:rPr>
          <w:vertAlign w:val="superscript"/>
        </w:rPr>
        <w:t xml:space="preserve">425 </w:t>
      </w:r>
      <w:r>
        <w:t>Prinzipiell kann gesagt werden, dass das Verbalsystem des moder</w:t>
      </w:r>
      <w:r>
        <w:softHyphen/>
        <w:t>nen, heute in Israel gesprochenen Hebräisch (Ivrith), gegenüber dem im Althebräischen des zweiten Jahrtausends v. Chr. eine Ver</w:t>
      </w:r>
      <w:r>
        <w:softHyphen/>
        <w:t>einfachung und Reduktion darstellt.</w:t>
      </w:r>
    </w:p>
    <w:p w:rsidR="00BB7EDA" w:rsidRDefault="007D72B3">
      <w:pPr>
        <w:pStyle w:val="Bodytext20"/>
        <w:shd w:val="clear" w:color="auto" w:fill="auto"/>
        <w:spacing w:before="0" w:line="226" w:lineRule="exact"/>
        <w:ind w:firstLine="320"/>
      </w:pPr>
      <w:r>
        <w:t>Nebenbei</w:t>
      </w:r>
      <w:r>
        <w:t xml:space="preserve"> sei noch erwähnt, dass durch Vergleich verschiede</w:t>
      </w:r>
      <w:r>
        <w:softHyphen/>
        <w:t>ner semitischer Sprachen und durch gewisse Rückschlüsse noch viele weitere Formen erwähnt werden könnten, die in der früheren Sprachgeschichte des Hebräischen wohl existiert haben müssen, aber mit der Zeit</w:t>
      </w:r>
      <w:r>
        <w:t xml:space="preserve"> ausgestorben sind.</w:t>
      </w:r>
      <w:r>
        <w:rPr>
          <w:vertAlign w:val="superscript"/>
        </w:rPr>
        <w:t>426</w:t>
      </w:r>
      <w:r>
        <w:t xml:space="preserve"> Ich erwähne dies aber nur beiläufig, weil dies der Methodologie, die ich in der vorliegenden Arbeit verwende, widersprechen würde. Wir wollen uns hier auf Tatsachen beziehen, die real durch Dokumente zu belegen sind, und nicht einfac</w:t>
      </w:r>
      <w:r>
        <w:t>h das Produkt von hypothetischen Rückschlüssen darstellen.</w:t>
      </w:r>
    </w:p>
    <w:p w:rsidR="00BB7EDA" w:rsidRDefault="007D72B3">
      <w:pPr>
        <w:pStyle w:val="Bodytext20"/>
        <w:shd w:val="clear" w:color="auto" w:fill="auto"/>
        <w:spacing w:before="0" w:after="327" w:line="226" w:lineRule="exact"/>
        <w:ind w:firstLine="320"/>
      </w:pPr>
      <w:r>
        <w:t>Wir könnten nun in der gleichen Weise wie bisher mit den anderen semitischen Sprachen, die über Jahrtausende hinweg doku</w:t>
      </w:r>
      <w:r>
        <w:softHyphen/>
        <w:t>mentiert sind, weiterfahren, so z.B. mit Aramäisch, Phönizisch- Punisch, Ara</w:t>
      </w:r>
      <w:r>
        <w:t>bisch, Ethiopisch etc. Überall ist dasselbe festzustellen:</w:t>
      </w:r>
    </w:p>
    <w:p w:rsidR="00BB7EDA" w:rsidRDefault="007D72B3">
      <w:pPr>
        <w:pStyle w:val="Bodytext60"/>
        <w:shd w:val="clear" w:color="auto" w:fill="auto"/>
        <w:spacing w:line="192" w:lineRule="exact"/>
        <w:ind w:left="320"/>
        <w:jc w:val="both"/>
      </w:pPr>
      <w:r>
        <w:t>einer verbreiteten Form wird. In solchen Fällen könnte man leicht zu einem Fehlschluss gelangen und eine solche Form als morphologische Neuerung ansehen, obwohl sie, selten oder gar nicht dokumenti</w:t>
      </w:r>
      <w:r>
        <w:t>ert, schon früher existiert hatte. Das Beispiel des Nitpa'el sollte warnend wirken im Blick auf ähnliche Verhältnisse in anderen Sprachen.</w:t>
      </w:r>
    </w:p>
    <w:p w:rsidR="00BB7EDA" w:rsidRDefault="007D72B3">
      <w:pPr>
        <w:pStyle w:val="Bodytext60"/>
        <w:numPr>
          <w:ilvl w:val="0"/>
          <w:numId w:val="171"/>
        </w:numPr>
        <w:shd w:val="clear" w:color="auto" w:fill="auto"/>
        <w:tabs>
          <w:tab w:val="left" w:pos="308"/>
        </w:tabs>
        <w:spacing w:line="192" w:lineRule="exact"/>
        <w:ind w:left="320" w:hanging="320"/>
        <w:jc w:val="both"/>
      </w:pPr>
      <w:r>
        <w:rPr>
          <w:rStyle w:val="Bodytext67ptSmallCaps"/>
        </w:rPr>
        <w:t xml:space="preserve">Tirkel: </w:t>
      </w:r>
      <w:r>
        <w:t>Hebräisch leicht gemacht, S. 154.</w:t>
      </w:r>
    </w:p>
    <w:p w:rsidR="00BB7EDA" w:rsidRDefault="007D72B3">
      <w:pPr>
        <w:pStyle w:val="Bodytext60"/>
        <w:numPr>
          <w:ilvl w:val="0"/>
          <w:numId w:val="171"/>
        </w:numPr>
        <w:shd w:val="clear" w:color="auto" w:fill="auto"/>
        <w:tabs>
          <w:tab w:val="left" w:pos="308"/>
        </w:tabs>
        <w:spacing w:line="192" w:lineRule="exact"/>
        <w:ind w:left="320" w:hanging="320"/>
        <w:jc w:val="both"/>
      </w:pPr>
      <w:r>
        <w:t>Damit spiele ich z.B. an auf die Energeticurn-, die Finalis- und die auch b</w:t>
      </w:r>
      <w:r>
        <w:t xml:space="preserve">eim starken Verb sich vom Indikativ unterscheidenden Jussi/-Formen, vgl. </w:t>
      </w:r>
      <w:r>
        <w:rPr>
          <w:rStyle w:val="Bodytext67ptSmallCaps"/>
        </w:rPr>
        <w:t>Mey</w:t>
      </w:r>
      <w:r>
        <w:rPr>
          <w:rStyle w:val="Bodytext67ptSmallCaps"/>
        </w:rPr>
        <w:softHyphen/>
        <w:t xml:space="preserve">er: </w:t>
      </w:r>
      <w:r>
        <w:t>Hebräische Grammatik, Bd. 1, §3 und Bd. 2, §62.</w:t>
      </w:r>
      <w:r>
        <w:br w:type="page"/>
      </w:r>
    </w:p>
    <w:p w:rsidR="00BB7EDA" w:rsidRDefault="007D72B3">
      <w:pPr>
        <w:pStyle w:val="Bodytext20"/>
        <w:shd w:val="clear" w:color="auto" w:fill="auto"/>
        <w:spacing w:before="0" w:after="436"/>
      </w:pPr>
      <w:r>
        <w:t>Im Laufe der Zeit streben Sprachen im Bereich der Formenlehre von hoher Komplexität zu immer stärkerer Vereinfachung hin. Evol</w:t>
      </w:r>
      <w:r>
        <w:t>uti</w:t>
      </w:r>
      <w:r>
        <w:softHyphen/>
        <w:t>on lässt sich hier nicht feststellen.</w:t>
      </w:r>
    </w:p>
    <w:p w:rsidR="00BB7EDA" w:rsidRDefault="007D72B3">
      <w:pPr>
        <w:pStyle w:val="Heading40"/>
        <w:keepNext/>
        <w:keepLines/>
        <w:numPr>
          <w:ilvl w:val="1"/>
          <w:numId w:val="168"/>
        </w:numPr>
        <w:shd w:val="clear" w:color="auto" w:fill="auto"/>
        <w:tabs>
          <w:tab w:val="left" w:pos="390"/>
        </w:tabs>
        <w:spacing w:after="208" w:line="210" w:lineRule="exact"/>
      </w:pPr>
      <w:bookmarkStart w:id="109" w:name="bookmark110"/>
      <w:r>
        <w:t>Beispiele aus den indogermanischen Sprachen</w:t>
      </w:r>
      <w:bookmarkEnd w:id="109"/>
    </w:p>
    <w:p w:rsidR="00BB7EDA" w:rsidRDefault="007D72B3">
      <w:pPr>
        <w:pStyle w:val="Bodytext20"/>
        <w:shd w:val="clear" w:color="auto" w:fill="auto"/>
        <w:spacing w:before="0" w:after="460"/>
      </w:pPr>
      <w:r>
        <w:t>Wenden wir uns nun den indogermanischen Sprachen zu. Wie be</w:t>
      </w:r>
      <w:r>
        <w:softHyphen/>
        <w:t xml:space="preserve">reits gesagt, gibt es in diesem Stamm auch diverse Sprachen, die z.T. über Jahrtausende hinweg schriftlich </w:t>
      </w:r>
      <w:r>
        <w:t>dokumentiert worden sind. Auch hier lässt sich dasselbe sagen: Die ältesten Sprachstufen sind gegenüber den jüngeren in der Formenlehre bedeutend komplexer.</w:t>
      </w:r>
    </w:p>
    <w:p w:rsidR="00BB7EDA" w:rsidRDefault="007D72B3">
      <w:pPr>
        <w:pStyle w:val="Heading50"/>
        <w:keepNext/>
        <w:keepLines/>
        <w:numPr>
          <w:ilvl w:val="2"/>
          <w:numId w:val="168"/>
        </w:numPr>
        <w:shd w:val="clear" w:color="auto" w:fill="auto"/>
        <w:tabs>
          <w:tab w:val="left" w:pos="495"/>
        </w:tabs>
        <w:spacing w:after="228" w:line="180" w:lineRule="exact"/>
      </w:pPr>
      <w:bookmarkStart w:id="110" w:name="bookmark111"/>
      <w:r>
        <w:t>Indo-arische Sprachen</w:t>
      </w:r>
      <w:bookmarkEnd w:id="110"/>
    </w:p>
    <w:p w:rsidR="00BB7EDA" w:rsidRDefault="007D72B3">
      <w:pPr>
        <w:pStyle w:val="Bodytext20"/>
        <w:shd w:val="clear" w:color="auto" w:fill="auto"/>
        <w:spacing w:before="0" w:line="226" w:lineRule="exact"/>
      </w:pPr>
      <w:r>
        <w:t>Die älteste indo-arische Sprache ist das vedische Sanskrit,</w:t>
      </w:r>
      <w:r>
        <w:rPr>
          <w:vertAlign w:val="superscript"/>
        </w:rPr>
        <w:footnoteReference w:id="351"/>
      </w:r>
      <w:r>
        <w:t xml:space="preserve"> das, wie es sche</w:t>
      </w:r>
      <w:r>
        <w:t>int, bis in die Mitte des 2. Jahrtausends v. Chr. zurück</w:t>
      </w:r>
      <w:r>
        <w:softHyphen/>
        <w:t>verfolgt werden kann. Die Schreibkunst kam in Indien etwa um 1000 v. Chr. auf. Zuvor aber wurden die Texte der später schriftlich fixierten Veda-Bücher mündlich auf peinlich genaue Weise von Generati</w:t>
      </w:r>
      <w:r>
        <w:t>on zu Generation weitergegeben. Diese Texte gehen mög</w:t>
      </w:r>
      <w:r>
        <w:softHyphen/>
        <w:t>licherweise auf die Zeit um 1500 v. Chr. zurück. Bei dieser Sprache handelt es sich schlechthin um die komplexeste indogermanische Sprache! Das Nominalsystem umfasst acht Fälle und unterscheidet Singula</w:t>
      </w:r>
      <w:r>
        <w:t>r, Plural und Dual. Das Verbalsystem ist atemberaubend aufgebaut und umfasst eine Größenordnung von etwa 600 ver</w:t>
      </w:r>
      <w:r>
        <w:softHyphen/>
        <w:t>schiedenen Flexionsformen. Das spätere Sanskrit, das zwar immer noch alle anderen indogermanischen Sprachen an Formenreich</w:t>
      </w:r>
      <w:r>
        <w:softHyphen/>
        <w:t>tum übertrifft, erli</w:t>
      </w:r>
      <w:r>
        <w:t>ttbereits eine morphologische Reduktion gegen</w:t>
      </w:r>
      <w:r>
        <w:softHyphen/>
        <w:t>über der früheren Sprachstufe. Alle späteren indo-arischen Spra</w:t>
      </w:r>
      <w:r>
        <w:softHyphen/>
        <w:t>chen weisen im Vergleich zum Sanskrit einen massiven Formen</w:t>
      </w:r>
      <w:r>
        <w:softHyphen/>
        <w:t>mangel auf. Das heutige Hindi z.B. stellt im Vergleich zum ältesten Vertreter der indo</w:t>
      </w:r>
      <w:r>
        <w:t>-arischen Familie ein simples Formeninventar auf. Einen vergleichbar krassen Formenverlust unter den indo</w:t>
      </w:r>
      <w:r>
        <w:softHyphen/>
        <w:t>iranischen Sprachen erlitt auch das Neu-Persische, sowie die damit eng verbundenen Dialekte Dari (in Afghanistan) und Tadschikisch.</w:t>
      </w:r>
      <w:r>
        <w:br w:type="page"/>
      </w:r>
    </w:p>
    <w:p w:rsidR="00BB7EDA" w:rsidRDefault="007D72B3">
      <w:pPr>
        <w:pStyle w:val="Bodytext120"/>
        <w:shd w:val="clear" w:color="auto" w:fill="auto"/>
        <w:spacing w:before="0" w:after="370"/>
      </w:pPr>
      <w:r>
        <w:pict>
          <v:shape id="_x0000_s1156" type="#_x0000_t202" style="position:absolute;left:0;text-align:left;margin-left:2.1pt;margin-top:-49.15pt;width:270.25pt;height:35.85pt;z-index:-125829348;mso-wrap-distance-left:5.3pt;mso-wrap-distance-right:6.95pt;mso-position-horizontal-relative:margin" filled="f" stroked="f">
            <v:textbox style="mso-fit-shape-to-text:t" inset="0,0,0,0">
              <w:txbxContent>
                <w:p w:rsidR="00BB7EDA" w:rsidRPr="007D72B3" w:rsidRDefault="007D72B3">
                  <w:pPr>
                    <w:pStyle w:val="Heading22"/>
                    <w:keepNext/>
                    <w:keepLines/>
                    <w:shd w:val="clear" w:color="auto" w:fill="auto"/>
                    <w:spacing w:after="66" w:line="280" w:lineRule="exact"/>
                    <w:ind w:left="300"/>
                    <w:rPr>
                      <w:lang w:val="en-US"/>
                    </w:rPr>
                  </w:pPr>
                  <w:bookmarkStart w:id="111" w:name="bookmark100"/>
                  <w:r w:rsidRPr="007D72B3">
                    <w:rPr>
                      <w:lang w:val="en-US"/>
                    </w:rPr>
                    <w:t>w*?*’ 'or'R ir</w:t>
                  </w:r>
                  <w:r w:rsidRPr="007D72B3">
                    <w:rPr>
                      <w:lang w:val="en-US"/>
                    </w:rPr>
                    <w:t>r^jnfsr,</w:t>
                  </w:r>
                  <w:bookmarkEnd w:id="111"/>
                </w:p>
                <w:p w:rsidR="00BB7EDA" w:rsidRPr="007D72B3" w:rsidRDefault="007D72B3">
                  <w:pPr>
                    <w:pStyle w:val="Heading2"/>
                    <w:keepNext/>
                    <w:keepLines/>
                    <w:shd w:val="clear" w:color="auto" w:fill="auto"/>
                    <w:spacing w:before="0" w:line="280" w:lineRule="exact"/>
                    <w:rPr>
                      <w:lang w:val="en-US"/>
                    </w:rPr>
                  </w:pPr>
                  <w:bookmarkStart w:id="112" w:name="bookmark101"/>
                  <w:r w:rsidRPr="007D72B3">
                    <w:rPr>
                      <w:lang w:val="en-US"/>
                    </w:rPr>
                    <w:t>f</w:t>
                  </w:r>
                  <w:r w:rsidRPr="007D72B3">
                    <w:rPr>
                      <w:rStyle w:val="Heading214ptItalicSpacing1ptExact"/>
                      <w:lang w:val="en-US"/>
                    </w:rPr>
                    <w:t>zzs,</w:t>
                  </w:r>
                  <w:r w:rsidRPr="007D72B3">
                    <w:rPr>
                      <w:lang w:val="en-US"/>
                    </w:rPr>
                    <w:t xml:space="preserve"> %^&lt;nr=3/ ST5R1' sn:^ ^rRr^i «rnrz^ i</w:t>
                  </w:r>
                  <w:bookmarkEnd w:id="112"/>
                </w:p>
              </w:txbxContent>
            </v:textbox>
            <w10:wrap type="topAndBottom" anchorx="margin"/>
          </v:shape>
        </w:pict>
      </w:r>
      <w:r>
        <w:t>Abb. 16 Sanskrit in bengalischer Schrift (Inhalt: Lukasevangelium 15,10) (The British and Foreign Bible Society, S. 139).</w:t>
      </w:r>
    </w:p>
    <w:p w:rsidR="00BB7EDA" w:rsidRDefault="007D72B3">
      <w:pPr>
        <w:pStyle w:val="Heading50"/>
        <w:keepNext/>
        <w:keepLines/>
        <w:numPr>
          <w:ilvl w:val="2"/>
          <w:numId w:val="168"/>
        </w:numPr>
        <w:shd w:val="clear" w:color="auto" w:fill="auto"/>
        <w:tabs>
          <w:tab w:val="left" w:pos="517"/>
        </w:tabs>
        <w:spacing w:after="154" w:line="180" w:lineRule="exact"/>
      </w:pPr>
      <w:bookmarkStart w:id="113" w:name="bookmark112"/>
      <w:r>
        <w:t>Griechisch</w:t>
      </w:r>
      <w:bookmarkEnd w:id="113"/>
    </w:p>
    <w:p w:rsidR="00BB7EDA" w:rsidRDefault="007D72B3">
      <w:pPr>
        <w:pStyle w:val="Bodytext20"/>
        <w:shd w:val="clear" w:color="auto" w:fill="auto"/>
        <w:spacing w:before="0"/>
      </w:pPr>
      <w:r>
        <w:t xml:space="preserve">Konzentrieren wir uns nun auf Europa, und besehen wir einmal kurz die </w:t>
      </w:r>
      <w:r>
        <w:t>älteste überlieferte Sprache in diesem Raum:</w:t>
      </w:r>
    </w:p>
    <w:p w:rsidR="00BB7EDA" w:rsidRDefault="007D72B3">
      <w:pPr>
        <w:pStyle w:val="Bodytext20"/>
        <w:shd w:val="clear" w:color="auto" w:fill="auto"/>
        <w:spacing w:before="0" w:after="282"/>
      </w:pPr>
      <w:r>
        <w:t>Das Griechische ist über einen Zeitraum von ca. 3.400 Jahren überlie</w:t>
      </w:r>
      <w:r>
        <w:softHyphen/>
        <w:t>fert.</w:t>
      </w:r>
      <w:r>
        <w:rPr>
          <w:vertAlign w:val="superscript"/>
        </w:rPr>
        <w:footnoteReference w:id="352"/>
      </w:r>
      <w:r>
        <w:t xml:space="preserve"> Es handelt sich, im Gegensatz zu vielen anderen Sprachen, um eine sehr konservative Sprache. Aber auch sie blieb von dem Zerfallsgesetz</w:t>
      </w:r>
      <w:r>
        <w:t xml:space="preserve"> nicht verschont.</w:t>
      </w:r>
    </w:p>
    <w:p w:rsidR="00BB7EDA" w:rsidRDefault="007D72B3">
      <w:pPr>
        <w:pStyle w:val="Bodytext260"/>
        <w:numPr>
          <w:ilvl w:val="0"/>
          <w:numId w:val="172"/>
        </w:numPr>
        <w:shd w:val="clear" w:color="auto" w:fill="auto"/>
        <w:tabs>
          <w:tab w:val="left" w:pos="499"/>
        </w:tabs>
        <w:spacing w:before="0"/>
        <w:ind w:left="280"/>
      </w:pPr>
      <w:r>
        <w:t xml:space="preserve">lloLupepcjc; </w:t>
      </w:r>
      <w:r>
        <w:rPr>
          <w:vertAlign w:val="superscript"/>
        </w:rPr>
        <w:t>Kc</w:t>
      </w:r>
      <w:r>
        <w:t xml:space="preserve">“ roAuTpomji; udLai 6 0fö&lt;; </w:t>
      </w:r>
      <w:r>
        <w:rPr>
          <w:rStyle w:val="Bodytext267ptItalic"/>
        </w:rPr>
        <w:t>Xalvpaq</w:t>
      </w:r>
      <w:r>
        <w:t xml:space="preserve"> roCg mxTpdow </w:t>
      </w:r>
      <w:r>
        <w:rPr>
          <w:rStyle w:val="Bodytext267ptItalic"/>
        </w:rPr>
        <w:t>iv</w:t>
      </w:r>
      <w:r>
        <w:t xml:space="preserve"> tor; TTpaJnJraK; Irr’ ca^cftou </w:t>
      </w:r>
      <w:r>
        <w:rPr>
          <w:rStyle w:val="Bodytext26SmallCaps"/>
        </w:rPr>
        <w:t>tc5v</w:t>
      </w:r>
      <w:r>
        <w:t xml:space="preserve"> T|iEp(jv </w:t>
      </w:r>
      <w:r>
        <w:rPr>
          <w:rStyle w:val="Bodytext26SmallCaps"/>
        </w:rPr>
        <w:t>toutuv</w:t>
      </w:r>
      <w:r>
        <w:t xml:space="preserve"> eXdirpev fyuv </w:t>
      </w:r>
      <w:r>
        <w:rPr>
          <w:rStyle w:val="Bodytext267ptItalic"/>
        </w:rPr>
        <w:t>’tv</w:t>
      </w:r>
      <w:r>
        <w:t xml:space="preserve"> uitö</w:t>
      </w:r>
    </w:p>
    <w:p w:rsidR="00BB7EDA" w:rsidRDefault="007D72B3">
      <w:pPr>
        <w:pStyle w:val="Bodytext270"/>
        <w:numPr>
          <w:ilvl w:val="0"/>
          <w:numId w:val="172"/>
        </w:numPr>
        <w:shd w:val="clear" w:color="auto" w:fill="auto"/>
        <w:tabs>
          <w:tab w:val="left" w:pos="509"/>
        </w:tabs>
        <w:spacing w:after="178" w:line="140" w:lineRule="exact"/>
        <w:ind w:left="280"/>
      </w:pPr>
      <w:r>
        <w:t xml:space="preserve">ov fOpKCv K/.Tpovopoi' </w:t>
      </w:r>
      <w:r>
        <w:rPr>
          <w:rStyle w:val="Bodytext27Arial65ptItalic"/>
          <w:b w:val="0"/>
          <w:bCs w:val="0"/>
        </w:rPr>
        <w:t>mrnwv</w:t>
      </w:r>
      <w:r>
        <w:rPr>
          <w:rStyle w:val="Bodytext27SmallCaps"/>
        </w:rPr>
        <w:t xml:space="preserve"> Si</w:t>
      </w:r>
      <w:r>
        <w:t xml:space="preserve"> ou Kai </w:t>
      </w:r>
      <w:r>
        <w:rPr>
          <w:rStyle w:val="Bodytext27SmallCaps"/>
        </w:rPr>
        <w:t>tou;</w:t>
      </w:r>
      <w:r>
        <w:t xml:space="preserve"> aUövac cnOLTiofv</w:t>
      </w:r>
    </w:p>
    <w:p w:rsidR="00BB7EDA" w:rsidRDefault="007D72B3">
      <w:pPr>
        <w:pStyle w:val="Bodytext120"/>
        <w:shd w:val="clear" w:color="auto" w:fill="auto"/>
        <w:spacing w:before="0" w:after="333"/>
      </w:pPr>
      <w:r>
        <w:t xml:space="preserve">Abb. 17 Griechische Schrift (Inhalt: Hebräer 1,1-2; </w:t>
      </w:r>
      <w:r>
        <w:rPr>
          <w:rStyle w:val="Bodytext12PalatinoLinotype55ptSmallCaps"/>
        </w:rPr>
        <w:t xml:space="preserve">Robinson </w:t>
      </w:r>
      <w:r>
        <w:t xml:space="preserve">/ </w:t>
      </w:r>
      <w:r>
        <w:rPr>
          <w:rStyle w:val="Bodytext12PalatinoLinotype55ptSmallCaps"/>
        </w:rPr>
        <w:t xml:space="preserve">Pierpont </w:t>
      </w:r>
      <w:r>
        <w:t>/ Bible- works)</w:t>
      </w:r>
    </w:p>
    <w:p w:rsidR="00BB7EDA" w:rsidRDefault="007D72B3">
      <w:pPr>
        <w:pStyle w:val="Bodytext100"/>
        <w:numPr>
          <w:ilvl w:val="0"/>
          <w:numId w:val="173"/>
        </w:numPr>
        <w:shd w:val="clear" w:color="auto" w:fill="auto"/>
        <w:tabs>
          <w:tab w:val="left" w:pos="661"/>
        </w:tabs>
        <w:spacing w:before="0"/>
        <w:ind w:firstLine="0"/>
      </w:pPr>
      <w:r>
        <w:t>Perioden der griechischen Sprachgeschichte</w:t>
      </w:r>
    </w:p>
    <w:p w:rsidR="00BB7EDA" w:rsidRDefault="007D72B3">
      <w:pPr>
        <w:pStyle w:val="Bodytext20"/>
        <w:shd w:val="clear" w:color="auto" w:fill="auto"/>
        <w:spacing w:before="0" w:line="226" w:lineRule="exact"/>
      </w:pPr>
      <w:r>
        <w:t>Man kann folgende Abschnitte in der Entwicklung des Griechischen</w:t>
      </w:r>
    </w:p>
    <w:p w:rsidR="00BB7EDA" w:rsidRDefault="007D72B3">
      <w:pPr>
        <w:pStyle w:val="Bodytext20"/>
        <w:shd w:val="clear" w:color="auto" w:fill="auto"/>
        <w:spacing w:before="0" w:after="60" w:line="226" w:lineRule="exact"/>
      </w:pPr>
      <w:r>
        <w:t>unterscheiden:</w:t>
      </w:r>
    </w:p>
    <w:p w:rsidR="00BB7EDA" w:rsidRDefault="007D72B3">
      <w:pPr>
        <w:pStyle w:val="Bodytext20"/>
        <w:numPr>
          <w:ilvl w:val="0"/>
          <w:numId w:val="174"/>
        </w:numPr>
        <w:shd w:val="clear" w:color="auto" w:fill="auto"/>
        <w:tabs>
          <w:tab w:val="left" w:pos="291"/>
        </w:tabs>
        <w:spacing w:before="0" w:after="97" w:line="226" w:lineRule="exact"/>
        <w:ind w:left="280" w:hanging="280"/>
        <w:jc w:val="left"/>
      </w:pPr>
      <w:r>
        <w:rPr>
          <w:rStyle w:val="Bodytext2Italic0"/>
        </w:rPr>
        <w:t>Mykenisches Griechisch:</w:t>
      </w:r>
      <w:r>
        <w:t xml:space="preserve"> ca. 1400-1200 v. Chr. (Tontäfelchen in Silbenschrift)</w:t>
      </w:r>
    </w:p>
    <w:p w:rsidR="00BB7EDA" w:rsidRDefault="007D72B3">
      <w:pPr>
        <w:pStyle w:val="Bodytext20"/>
        <w:numPr>
          <w:ilvl w:val="0"/>
          <w:numId w:val="174"/>
        </w:numPr>
        <w:shd w:val="clear" w:color="auto" w:fill="auto"/>
        <w:tabs>
          <w:tab w:val="left" w:pos="291"/>
        </w:tabs>
        <w:spacing w:before="0" w:after="39" w:line="180" w:lineRule="exact"/>
      </w:pPr>
      <w:r>
        <w:rPr>
          <w:rStyle w:val="Bodytext2Italic0"/>
        </w:rPr>
        <w:t>Altgriechisch:</w:t>
      </w:r>
      <w:r>
        <w:t xml:space="preserve"> ca. 800 v. Chr.-550 n. Chr.</w:t>
      </w:r>
    </w:p>
    <w:p w:rsidR="00BB7EDA" w:rsidRDefault="007D72B3">
      <w:pPr>
        <w:pStyle w:val="Bodytext20"/>
        <w:shd w:val="clear" w:color="auto" w:fill="auto"/>
        <w:spacing w:before="0" w:after="244"/>
        <w:ind w:firstLine="280"/>
        <w:jc w:val="left"/>
      </w:pPr>
      <w:r>
        <w:t>Auf dieser Sprachstufe unterscheidet man verschiedene Dialek</w:t>
      </w:r>
      <w:r>
        <w:softHyphen/>
        <w:t>te. Die wichtigsten sind Dorisch, Ionisch, Äolisch und Attisch.</w:t>
      </w:r>
    </w:p>
    <w:p w:rsidR="00BB7EDA" w:rsidRDefault="007D72B3">
      <w:pPr>
        <w:pStyle w:val="Bodytext20"/>
        <w:shd w:val="clear" w:color="auto" w:fill="auto"/>
        <w:spacing w:before="0" w:line="226" w:lineRule="exact"/>
        <w:ind w:firstLine="280"/>
        <w:jc w:val="left"/>
      </w:pPr>
      <w:r>
        <w:t>Das Altgriechische wird ferner in</w:t>
      </w:r>
      <w:r>
        <w:t xml:space="preserve"> folgende drei Zeitabschnitte eingeteilt:</w:t>
      </w:r>
      <w:r>
        <w:br w:type="page"/>
      </w:r>
    </w:p>
    <w:p w:rsidR="00BB7EDA" w:rsidRDefault="007D72B3">
      <w:pPr>
        <w:pStyle w:val="Bodytext80"/>
        <w:numPr>
          <w:ilvl w:val="0"/>
          <w:numId w:val="175"/>
        </w:numPr>
        <w:shd w:val="clear" w:color="auto" w:fill="auto"/>
        <w:tabs>
          <w:tab w:val="left" w:pos="269"/>
        </w:tabs>
        <w:spacing w:after="19" w:line="180" w:lineRule="exact"/>
      </w:pPr>
      <w:r>
        <w:t>das vorklassische Griechisch:</w:t>
      </w:r>
      <w:r>
        <w:rPr>
          <w:rStyle w:val="Bodytext8NotItalic"/>
        </w:rPr>
        <w:t xml:space="preserve"> ca. 800-450 v. Chr.</w:t>
      </w:r>
    </w:p>
    <w:p w:rsidR="00BB7EDA" w:rsidRDefault="007D72B3">
      <w:pPr>
        <w:pStyle w:val="Bodytext80"/>
        <w:numPr>
          <w:ilvl w:val="0"/>
          <w:numId w:val="175"/>
        </w:numPr>
        <w:shd w:val="clear" w:color="auto" w:fill="auto"/>
        <w:tabs>
          <w:tab w:val="left" w:pos="269"/>
        </w:tabs>
        <w:spacing w:line="180" w:lineRule="exact"/>
      </w:pPr>
      <w:r>
        <w:t>das klassische Griechisch:</w:t>
      </w:r>
      <w:r>
        <w:rPr>
          <w:rStyle w:val="Bodytext8NotItalic"/>
        </w:rPr>
        <w:t xml:space="preserve"> ca. 450-300 v. Chr.</w:t>
      </w:r>
    </w:p>
    <w:p w:rsidR="00BB7EDA" w:rsidRDefault="007D72B3">
      <w:pPr>
        <w:pStyle w:val="Bodytext20"/>
        <w:numPr>
          <w:ilvl w:val="0"/>
          <w:numId w:val="175"/>
        </w:numPr>
        <w:shd w:val="clear" w:color="auto" w:fill="auto"/>
        <w:tabs>
          <w:tab w:val="left" w:pos="269"/>
        </w:tabs>
        <w:spacing w:before="0" w:after="56" w:line="226" w:lineRule="exact"/>
        <w:ind w:left="320" w:hanging="320"/>
      </w:pPr>
      <w:r>
        <w:rPr>
          <w:rStyle w:val="Bodytext2Italic0"/>
        </w:rPr>
        <w:t>die „Koine": (he koine dialektos</w:t>
      </w:r>
      <w:r>
        <w:t xml:space="preserve"> = die griechische Gemeinsprache) ca. 300 v. Chr. (nach der Eroberung Alexanders des</w:t>
      </w:r>
      <w:r>
        <w:t xml:space="preserve"> Großen) -565 n. Chr. (Tod Justinians)</w:t>
      </w:r>
    </w:p>
    <w:p w:rsidR="00BB7EDA" w:rsidRDefault="007D72B3">
      <w:pPr>
        <w:pStyle w:val="Bodytext20"/>
        <w:numPr>
          <w:ilvl w:val="0"/>
          <w:numId w:val="174"/>
        </w:numPr>
        <w:shd w:val="clear" w:color="auto" w:fill="auto"/>
        <w:tabs>
          <w:tab w:val="left" w:pos="269"/>
        </w:tabs>
        <w:spacing w:before="0"/>
        <w:ind w:left="320" w:hanging="320"/>
      </w:pPr>
      <w:r>
        <w:rPr>
          <w:rStyle w:val="Bodytext2Italic0"/>
        </w:rPr>
        <w:t>Mittelgriechisch:</w:t>
      </w:r>
      <w:r>
        <w:t xml:space="preserve"> ca. 565 n. Chr.-1453 n. Chr. (= Eroberung Kon</w:t>
      </w:r>
      <w:r>
        <w:softHyphen/>
        <w:t>stantinopels)</w:t>
      </w:r>
    </w:p>
    <w:p w:rsidR="00BB7EDA" w:rsidRDefault="007D72B3">
      <w:pPr>
        <w:pStyle w:val="Bodytext80"/>
        <w:numPr>
          <w:ilvl w:val="0"/>
          <w:numId w:val="174"/>
        </w:numPr>
        <w:shd w:val="clear" w:color="auto" w:fill="auto"/>
        <w:tabs>
          <w:tab w:val="left" w:pos="274"/>
        </w:tabs>
        <w:spacing w:line="432" w:lineRule="exact"/>
      </w:pPr>
      <w:r>
        <w:t>Neugriechisch: ca.</w:t>
      </w:r>
      <w:r>
        <w:rPr>
          <w:rStyle w:val="Bodytext8NotItalic"/>
        </w:rPr>
        <w:t xml:space="preserve"> 1453-heute</w:t>
      </w:r>
    </w:p>
    <w:p w:rsidR="00BB7EDA" w:rsidRDefault="007D72B3">
      <w:pPr>
        <w:pStyle w:val="Bodytext100"/>
        <w:numPr>
          <w:ilvl w:val="0"/>
          <w:numId w:val="176"/>
        </w:numPr>
        <w:shd w:val="clear" w:color="auto" w:fill="auto"/>
        <w:tabs>
          <w:tab w:val="left" w:pos="283"/>
          <w:tab w:val="left" w:pos="649"/>
        </w:tabs>
        <w:spacing w:before="0" w:line="432" w:lineRule="exact"/>
        <w:ind w:firstLine="0"/>
      </w:pPr>
      <w:r>
        <w:t>Zum griechischen Verbalsystem</w:t>
      </w:r>
    </w:p>
    <w:p w:rsidR="00BB7EDA" w:rsidRDefault="007D72B3">
      <w:pPr>
        <w:pStyle w:val="Bodytext20"/>
        <w:shd w:val="clear" w:color="auto" w:fill="auto"/>
        <w:spacing w:before="0" w:line="226" w:lineRule="exact"/>
      </w:pPr>
      <w:r>
        <w:t>Das griechische Flexionssystem</w:t>
      </w:r>
      <w:r>
        <w:rPr>
          <w:vertAlign w:val="superscript"/>
        </w:rPr>
        <w:footnoteReference w:id="353"/>
      </w:r>
      <w:r>
        <w:t xml:space="preserve"> in seiner ältesten (!) Form, stellt das komplexeste Gebilde unter den europäischen Sprachen dar.</w:t>
      </w:r>
    </w:p>
    <w:p w:rsidR="00BB7EDA" w:rsidRDefault="007D72B3">
      <w:pPr>
        <w:pStyle w:val="Bodytext20"/>
        <w:shd w:val="clear" w:color="auto" w:fill="auto"/>
        <w:spacing w:before="0" w:line="226" w:lineRule="exact"/>
        <w:ind w:firstLine="320"/>
      </w:pPr>
      <w:r>
        <w:t>Einige Bemerkungen zum Verbalsystem mit seinen etwa 450 bzw. 500 synthetischen Flexionsformen</w:t>
      </w:r>
      <w:r>
        <w:rPr>
          <w:vertAlign w:val="superscript"/>
        </w:rPr>
        <w:footnoteReference w:id="354"/>
      </w:r>
      <w:r>
        <w:t xml:space="preserve"> sollen dies anschaulich dokumentieren:</w:t>
      </w:r>
    </w:p>
    <w:p w:rsidR="00BB7EDA" w:rsidRDefault="007D72B3">
      <w:pPr>
        <w:pStyle w:val="Bodytext20"/>
        <w:shd w:val="clear" w:color="auto" w:fill="auto"/>
        <w:spacing w:before="0" w:line="226" w:lineRule="exact"/>
        <w:ind w:firstLine="320"/>
      </w:pPr>
      <w:r>
        <w:t>Das griechische Verb bes</w:t>
      </w:r>
      <w:r>
        <w:t>itzt drei Personen (wie im Deutschen), drei Numeri (Singular, Plural und Dual), vier Modi (Indikativ, Konjunktiv, Optativ und Imperativ), sieben Tempora (Imperfekt, Plusquamperfekt, Perfekt, Aorist, Präsens, Futur I und Futur II), drei Diathesen (aktiv, pa</w:t>
      </w:r>
      <w:r>
        <w:t>ssiv, medium) und vier Infinitive (Aorist, Per</w:t>
      </w:r>
      <w:r>
        <w:softHyphen/>
        <w:t>fekt, Präsens, Futur). Hinzu kommen noch vier Partizipien (Aorist, Perfekt, Präsens und Futur, mit je drei Diathesen), die alle wiederum dekliniert werden können.</w:t>
      </w:r>
    </w:p>
    <w:p w:rsidR="00BB7EDA" w:rsidRDefault="007D72B3">
      <w:pPr>
        <w:pStyle w:val="Bodytext20"/>
        <w:shd w:val="clear" w:color="auto" w:fill="auto"/>
        <w:spacing w:before="0" w:after="180" w:line="226" w:lineRule="exact"/>
        <w:ind w:firstLine="320"/>
      </w:pPr>
      <w:r>
        <w:t>Im Verlauf der Sprachgeschichte ging immer meh</w:t>
      </w:r>
      <w:r>
        <w:t>r von diesem einstigen Reichtum verloren, und dies, wie gesagt, trotz der Tatsa</w:t>
      </w:r>
      <w:r>
        <w:softHyphen/>
        <w:t>che, dass das Griechische im Vergleich mit den meisten indogerma</w:t>
      </w:r>
      <w:r>
        <w:softHyphen/>
        <w:t>nischen Sprachen sich als erstaunlich beständig und konservativ erwiesen hat.</w:t>
      </w:r>
      <w:r>
        <w:rPr>
          <w:vertAlign w:val="superscript"/>
        </w:rPr>
        <w:footnoteReference w:id="355"/>
      </w:r>
    </w:p>
    <w:p w:rsidR="00BB7EDA" w:rsidRDefault="007D72B3">
      <w:pPr>
        <w:pStyle w:val="Bodytext20"/>
        <w:numPr>
          <w:ilvl w:val="0"/>
          <w:numId w:val="177"/>
        </w:numPr>
        <w:shd w:val="clear" w:color="auto" w:fill="auto"/>
        <w:tabs>
          <w:tab w:val="left" w:pos="649"/>
        </w:tabs>
        <w:spacing w:before="0" w:line="226" w:lineRule="exact"/>
        <w:jc w:val="left"/>
      </w:pPr>
      <w:r>
        <w:rPr>
          <w:rStyle w:val="Bodytext285ptBoldItalic"/>
        </w:rPr>
        <w:t>Altgriechisch im Vergleich mit d</w:t>
      </w:r>
      <w:r>
        <w:rPr>
          <w:rStyle w:val="Bodytext285ptBoldItalic"/>
        </w:rPr>
        <w:t xml:space="preserve">er modernen Sprachstufe </w:t>
      </w:r>
      <w:r>
        <w:t>Vergleicht man das Altgriechische mit dem modernen, im heutigen Griechenland gesprochenen Griechisch, so stellt man u.a. Folgendes fest:</w:t>
      </w:r>
      <w:r>
        <w:rPr>
          <w:vertAlign w:val="superscript"/>
        </w:rPr>
        <w:footnoteReference w:id="356"/>
      </w:r>
      <w:r>
        <w:t xml:space="preserve"> Der Reichtum an Partizipien wurde reduziert und der Optativ</w:t>
      </w:r>
    </w:p>
    <w:p w:rsidR="00BB7EDA" w:rsidRDefault="007D72B3">
      <w:pPr>
        <w:pStyle w:val="Bodytext20"/>
        <w:shd w:val="clear" w:color="auto" w:fill="auto"/>
        <w:spacing w:before="0"/>
      </w:pPr>
      <w:r>
        <w:t>vollständig aufgegeben. Die Formen</w:t>
      </w:r>
      <w:r>
        <w:t xml:space="preserve"> des alten Perfekts und des alten Futurums gingen verloren. Um diesen Verlust teilweise wieder etwas wettzumachen, entstanden Neubildungen durch Umschrei</w:t>
      </w:r>
      <w:r>
        <w:softHyphen/>
        <w:t xml:space="preserve">bungen, also analytische Formen (beim Futur: </w:t>
      </w:r>
      <w:r>
        <w:rPr>
          <w:rStyle w:val="Bodytext2Italic0"/>
        </w:rPr>
        <w:t>tha</w:t>
      </w:r>
      <w:r>
        <w:t xml:space="preserve"> + Konjunktiv, beim Perfekt: </w:t>
      </w:r>
      <w:r>
        <w:rPr>
          <w:rStyle w:val="Bodytext2Italic0"/>
        </w:rPr>
        <w:t>echö</w:t>
      </w:r>
      <w:r>
        <w:t xml:space="preserve"> („haben") mit Partiz</w:t>
      </w:r>
      <w:r>
        <w:t xml:space="preserve">ip (z.B. </w:t>
      </w:r>
      <w:r>
        <w:rPr>
          <w:rStyle w:val="Bodytext2Italic0"/>
        </w:rPr>
        <w:t>echö demeneo</w:t>
      </w:r>
      <w:r>
        <w:t xml:space="preserve"> = „ich habe gebunden") oder mit Infinitiv </w:t>
      </w:r>
      <w:r>
        <w:rPr>
          <w:rStyle w:val="Bodytext2Italic0"/>
        </w:rPr>
        <w:t>(echö desei).</w:t>
      </w:r>
      <w:r>
        <w:t xml:space="preserve"> Auffällig ist die Beseitigung des Infinitivs in seiner Funktion als Infinitiv. Das gleiche Phänomen findet sich auch in andern Balkansprachen, nämlich im Bulgarischen, Rumänische</w:t>
      </w:r>
      <w:r>
        <w:t>n und Albanischen, wovon an früherer Stelle schon einmal die Rede war.</w:t>
      </w:r>
    </w:p>
    <w:p w:rsidR="00BB7EDA" w:rsidRDefault="007D72B3">
      <w:pPr>
        <w:pStyle w:val="Bodytext20"/>
        <w:shd w:val="clear" w:color="auto" w:fill="auto"/>
        <w:spacing w:before="0" w:after="340"/>
        <w:ind w:firstLine="320"/>
      </w:pPr>
      <w:r>
        <w:t>Auch im Bereich des Nomens gab es keine Evolution. Es entstan</w:t>
      </w:r>
      <w:r>
        <w:softHyphen/>
        <w:t>den z.B. keine neuen Fälle. Bemerkenswert ist aber das völlige Verschwinden des Dativs.</w:t>
      </w:r>
    </w:p>
    <w:p w:rsidR="00BB7EDA" w:rsidRDefault="007D72B3">
      <w:pPr>
        <w:pStyle w:val="Heading50"/>
        <w:keepNext/>
        <w:keepLines/>
        <w:numPr>
          <w:ilvl w:val="2"/>
          <w:numId w:val="168"/>
        </w:numPr>
        <w:shd w:val="clear" w:color="auto" w:fill="auto"/>
        <w:tabs>
          <w:tab w:val="left" w:pos="495"/>
        </w:tabs>
        <w:spacing w:after="98" w:line="180" w:lineRule="exact"/>
      </w:pPr>
      <w:bookmarkStart w:id="114" w:name="bookmark113"/>
      <w:r>
        <w:t>Latein und die romanischen Sprachen</w:t>
      </w:r>
      <w:bookmarkEnd w:id="114"/>
    </w:p>
    <w:p w:rsidR="00BB7EDA" w:rsidRDefault="007D72B3">
      <w:pPr>
        <w:pStyle w:val="Bodytext20"/>
        <w:shd w:val="clear" w:color="auto" w:fill="auto"/>
        <w:spacing w:before="0" w:line="226" w:lineRule="exact"/>
      </w:pPr>
      <w:r>
        <w:t>Bekanntlich sind aus dem Latein zahlreiche moderne Sprachen entstanden. Die wichtigsten sind folgende: Italienisch, Französisch, Spanisch, Portugiesisch und Rumänisch.</w:t>
      </w:r>
    </w:p>
    <w:p w:rsidR="00BB7EDA" w:rsidRDefault="007D72B3">
      <w:pPr>
        <w:pStyle w:val="Bodytext20"/>
        <w:shd w:val="clear" w:color="auto" w:fill="auto"/>
        <w:spacing w:before="0" w:after="56" w:line="226" w:lineRule="exact"/>
        <w:ind w:firstLine="320"/>
      </w:pPr>
      <w:r>
        <w:t>Das Latein besaß einen umfassenden Formenreichtum.</w:t>
      </w:r>
      <w:r>
        <w:rPr>
          <w:vertAlign w:val="superscript"/>
        </w:rPr>
        <w:footnoteReference w:id="357"/>
      </w:r>
      <w:r>
        <w:t xml:space="preserve"> Die weitere Sprachgeschichte ließ d</w:t>
      </w:r>
      <w:r>
        <w:t>iesen Reichtum auf drastische Weise zusammenbrechen.</w:t>
      </w:r>
      <w:r>
        <w:rPr>
          <w:vertAlign w:val="superscript"/>
        </w:rPr>
        <w:footnoteReference w:id="358"/>
      </w:r>
      <w:r>
        <w:t xml:space="preserve"> Auch hier bewahrheitete sich, was z.B. Frederick </w:t>
      </w:r>
      <w:r>
        <w:rPr>
          <w:rStyle w:val="Bodytext28ptBoldSmallCaps"/>
        </w:rPr>
        <w:t xml:space="preserve">Bodmer, </w:t>
      </w:r>
      <w:r>
        <w:t>der Autor des Buches „Die Sprachen der Welt" allgemein im Zusammenhang mit den indogermanischen Sprachen zum Ausdruck gebracht hat:</w:t>
      </w:r>
    </w:p>
    <w:p w:rsidR="00BB7EDA" w:rsidRDefault="007D72B3">
      <w:pPr>
        <w:pStyle w:val="Bodytext20"/>
        <w:shd w:val="clear" w:color="auto" w:fill="auto"/>
        <w:spacing w:before="0" w:after="180"/>
        <w:ind w:left="320" w:right="320"/>
      </w:pPr>
      <w:r>
        <w:t xml:space="preserve">„Während der </w:t>
      </w:r>
      <w:r>
        <w:t>letzten 2.000 Jahre haben sich alle indogerma</w:t>
      </w:r>
      <w:r>
        <w:softHyphen/>
        <w:t>nischen Sprachen auf Vereinfachung und Vereinheitlichung des Flexionssystems zubewegt. Diese Tendenz auf Sparsam</w:t>
      </w:r>
      <w:r>
        <w:softHyphen/>
        <w:t>keit hin ist bei den östlichen Sprachen so augenscheinlich wie bei den westlichen und zeichnet si</w:t>
      </w:r>
      <w:r>
        <w:t>ch in keiner Sprache schär</w:t>
      </w:r>
      <w:r>
        <w:softHyphen/>
        <w:t>fer ab als im Neupersischen und Hindustani."</w:t>
      </w:r>
      <w:r>
        <w:rPr>
          <w:vertAlign w:val="superscript"/>
        </w:rPr>
        <w:footnoteReference w:id="359"/>
      </w:r>
    </w:p>
    <w:p w:rsidR="00BB7EDA" w:rsidRDefault="007D72B3">
      <w:pPr>
        <w:pStyle w:val="Bodytext100"/>
        <w:numPr>
          <w:ilvl w:val="3"/>
          <w:numId w:val="168"/>
        </w:numPr>
        <w:shd w:val="clear" w:color="auto" w:fill="auto"/>
        <w:tabs>
          <w:tab w:val="left" w:pos="649"/>
        </w:tabs>
        <w:spacing w:before="0" w:line="230" w:lineRule="exact"/>
        <w:ind w:firstLine="0"/>
      </w:pPr>
      <w:r>
        <w:t>Zum lateinischen Nominalsystem</w:t>
      </w:r>
    </w:p>
    <w:p w:rsidR="00BB7EDA" w:rsidRDefault="007D72B3">
      <w:pPr>
        <w:pStyle w:val="Bodytext20"/>
        <w:shd w:val="clear" w:color="auto" w:fill="auto"/>
        <w:spacing w:before="0"/>
        <w:sectPr w:rsidR="00BB7EDA">
          <w:footerReference w:type="even" r:id="rId118"/>
          <w:footerReference w:type="default" r:id="rId119"/>
          <w:headerReference w:type="first" r:id="rId120"/>
          <w:footerReference w:type="first" r:id="rId121"/>
          <w:pgSz w:w="7266" w:h="11422"/>
          <w:pgMar w:top="759" w:right="705" w:bottom="1183" w:left="897" w:header="0" w:footer="3" w:gutter="0"/>
          <w:cols w:space="720"/>
          <w:noEndnote/>
          <w:titlePg/>
          <w:docGrid w:linePitch="360"/>
        </w:sectPr>
      </w:pPr>
      <w:r>
        <w:t>Das Lateinische kannte im Singular und im Plural je sechs Kasus</w:t>
      </w:r>
      <w:r>
        <w:softHyphen/>
      </w:r>
      <w:r>
        <w:t xml:space="preserve">formen. Das Wort </w:t>
      </w:r>
      <w:r>
        <w:rPr>
          <w:rStyle w:val="Bodytext2Italic0"/>
        </w:rPr>
        <w:t>amicus</w:t>
      </w:r>
      <w:r>
        <w:t xml:space="preserve"> („Freund") diene uns als Illustrationsbeispiel:</w:t>
      </w:r>
    </w:p>
    <w:p w:rsidR="00BB7EDA" w:rsidRDefault="007D72B3">
      <w:pPr>
        <w:spacing w:line="541" w:lineRule="exact"/>
      </w:pPr>
      <w:r>
        <w:pict>
          <v:shape id="_x0000_s1159" type="#_x0000_t202" style="position:absolute;margin-left:25.95pt;margin-top:.1pt;width:47.75pt;height:11.4pt;z-index:251657744;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Nominativ</w:t>
                  </w:r>
                </w:p>
              </w:txbxContent>
            </v:textbox>
            <w10:wrap anchorx="margin"/>
          </v:shape>
        </w:pict>
      </w:r>
      <w:r>
        <w:pict>
          <v:shape id="_x0000_s1160" type="#_x0000_t202" style="position:absolute;margin-left:82.6pt;margin-top:.1pt;width:31.7pt;height:11.65pt;z-index:251657745;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amicus</w:t>
                  </w:r>
                </w:p>
              </w:txbxContent>
            </v:textbox>
            <w10:wrap anchorx="margin"/>
          </v:shape>
        </w:pict>
      </w:r>
      <w:r>
        <w:pict>
          <v:shape id="_x0000_s1161" type="#_x0000_t202" style="position:absolute;margin-left:139pt;margin-top:.1pt;width:24.7pt;height:11.4pt;z-index:251657746;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amici</w:t>
                  </w:r>
                </w:p>
              </w:txbxContent>
            </v:textbox>
            <w10:wrap anchorx="margin"/>
          </v:shape>
        </w:pict>
      </w:r>
      <w:r>
        <w:pict>
          <v:shape id="_x0000_s1162" type="#_x0000_t202" style="position:absolute;margin-left:25.7pt;margin-top:10.8pt;width:33.35pt;height:23.4pt;z-index:251657747;mso-wrap-distance-left:5pt;mso-wrap-distance-right:5pt;mso-position-horizontal-relative:margin" filled="f" stroked="f">
            <v:textbox style="mso-fit-shape-to-text:t" inset="0,0,0,0">
              <w:txbxContent>
                <w:p w:rsidR="00BB7EDA" w:rsidRDefault="007D72B3">
                  <w:pPr>
                    <w:pStyle w:val="Bodytext20"/>
                    <w:shd w:val="clear" w:color="auto" w:fill="auto"/>
                    <w:spacing w:before="0" w:after="14" w:line="180" w:lineRule="exact"/>
                    <w:jc w:val="left"/>
                  </w:pPr>
                  <w:r>
                    <w:rPr>
                      <w:rStyle w:val="Bodytext2Exact"/>
                    </w:rPr>
                    <w:t>Genitiv</w:t>
                  </w:r>
                </w:p>
                <w:p w:rsidR="00BB7EDA" w:rsidRDefault="007D72B3">
                  <w:pPr>
                    <w:pStyle w:val="Bodytext20"/>
                    <w:shd w:val="clear" w:color="auto" w:fill="auto"/>
                    <w:spacing w:before="0" w:line="180" w:lineRule="exact"/>
                    <w:jc w:val="left"/>
                  </w:pPr>
                  <w:r>
                    <w:rPr>
                      <w:rStyle w:val="Bodytext2Exact"/>
                    </w:rPr>
                    <w:t>Dativ</w:t>
                  </w:r>
                </w:p>
              </w:txbxContent>
            </v:textbox>
            <w10:wrap anchorx="margin"/>
          </v:shape>
        </w:pict>
      </w:r>
      <w:r>
        <w:pict>
          <v:shape id="_x0000_s1163" type="#_x0000_t202" style="position:absolute;margin-left:82.6pt;margin-top:11.05pt;width:24.7pt;height:11.65pt;z-index:251657748;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amici</w:t>
                  </w:r>
                </w:p>
              </w:txbxContent>
            </v:textbox>
            <w10:wrap anchorx="margin"/>
          </v:shape>
        </w:pict>
      </w:r>
      <w:r>
        <w:pict>
          <v:shape id="_x0000_s1164" type="#_x0000_t202" style="position:absolute;margin-left:139pt;margin-top:10.8pt;width:44.65pt;height:11.9pt;z-index:251657749;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amicorum</w:t>
                  </w:r>
                </w:p>
              </w:txbxContent>
            </v:textbox>
            <w10:wrap anchorx="margin"/>
          </v:shape>
        </w:pict>
      </w:r>
      <w:r>
        <w:pict>
          <v:shape id="_x0000_s1165" type="#_x0000_t202" style="position:absolute;margin-left:82.6pt;margin-top:22.55pt;width:27.1pt;height:11.9pt;z-index:251657750;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amico</w:t>
                  </w:r>
                </w:p>
              </w:txbxContent>
            </v:textbox>
            <w10:wrap anchorx="margin"/>
          </v:shape>
        </w:pict>
      </w:r>
      <w:r>
        <w:pict>
          <v:shape id="_x0000_s1166" type="#_x0000_t202" style="position:absolute;margin-left:138.75pt;margin-top:22.55pt;width:29.05pt;height:11.9pt;z-index:251657751;mso-wrap-distance-left:5pt;mso-wrap-distance-right: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amicis</w:t>
                  </w:r>
                </w:p>
              </w:txbxContent>
            </v:textbox>
            <w10:wrap anchorx="margin"/>
          </v:shape>
        </w:pict>
      </w:r>
    </w:p>
    <w:p w:rsidR="00BB7EDA" w:rsidRDefault="00BB7EDA">
      <w:pPr>
        <w:rPr>
          <w:sz w:val="2"/>
          <w:szCs w:val="2"/>
        </w:rPr>
        <w:sectPr w:rsidR="00BB7EDA">
          <w:footerReference w:type="even" r:id="rId122"/>
          <w:footerReference w:type="default" r:id="rId123"/>
          <w:headerReference w:type="first" r:id="rId124"/>
          <w:footerReference w:type="first" r:id="rId125"/>
          <w:pgSz w:w="7266" w:h="11422"/>
          <w:pgMar w:top="1099" w:right="436" w:bottom="974" w:left="1170" w:header="0" w:footer="3" w:gutter="0"/>
          <w:cols w:space="720"/>
          <w:noEndnote/>
          <w:titlePg/>
          <w:docGrid w:linePitch="360"/>
        </w:sectPr>
      </w:pPr>
    </w:p>
    <w:p w:rsidR="00BB7EDA" w:rsidRDefault="007D72B3">
      <w:pPr>
        <w:rPr>
          <w:sz w:val="2"/>
          <w:szCs w:val="2"/>
        </w:rPr>
      </w:pPr>
      <w:r>
        <w:pict>
          <v:shape id="_x0000_s1171" type="#_x0000_t202" style="position:absolute;margin-left:-60.45pt;margin-top:.1pt;width:45.85pt;height:11.4pt;z-index:-125829347;mso-wrap-distance-left:5pt;mso-wrap-distance-right:11.05pt;mso-position-horizontal-relative:margin" filled="f" stroked="f">
            <v:textbox style="mso-fit-shape-to-text:t" inset="0,0,0,0">
              <w:txbxContent>
                <w:p w:rsidR="00BB7EDA" w:rsidRDefault="007D72B3">
                  <w:pPr>
                    <w:pStyle w:val="Bodytext20"/>
                    <w:shd w:val="clear" w:color="auto" w:fill="auto"/>
                    <w:spacing w:before="0" w:line="180" w:lineRule="exact"/>
                    <w:jc w:val="left"/>
                  </w:pPr>
                  <w:r>
                    <w:rPr>
                      <w:rStyle w:val="Bodytext2Exact"/>
                    </w:rPr>
                    <w:t>Akkusativ</w:t>
                  </w:r>
                </w:p>
              </w:txbxContent>
            </v:textbox>
            <w10:wrap type="square" side="right" anchorx="margin"/>
          </v:shape>
        </w:pict>
      </w:r>
    </w:p>
    <w:p w:rsidR="00BB7EDA" w:rsidRDefault="007D72B3">
      <w:pPr>
        <w:pStyle w:val="Bodytext20"/>
        <w:shd w:val="clear" w:color="auto" w:fill="auto"/>
        <w:spacing w:before="0" w:line="180" w:lineRule="exact"/>
        <w:jc w:val="left"/>
      </w:pPr>
      <w:r>
        <w:t>arrucum</w:t>
      </w:r>
    </w:p>
    <w:p w:rsidR="00BB7EDA" w:rsidRDefault="007D72B3">
      <w:pPr>
        <w:pStyle w:val="Bodytext20"/>
        <w:shd w:val="clear" w:color="auto" w:fill="auto"/>
        <w:spacing w:before="0" w:line="180" w:lineRule="exact"/>
        <w:jc w:val="left"/>
        <w:sectPr w:rsidR="00BB7EDA">
          <w:type w:val="continuous"/>
          <w:pgSz w:w="7266" w:h="11422"/>
          <w:pgMar w:top="1781" w:right="2625" w:bottom="1119" w:left="2894" w:header="0" w:footer="3" w:gutter="0"/>
          <w:cols w:num="2" w:space="377"/>
          <w:noEndnote/>
          <w:docGrid w:linePitch="360"/>
        </w:sectPr>
      </w:pPr>
      <w:r>
        <w:br w:type="column"/>
      </w:r>
      <w:r>
        <w:t>amicos</w:t>
      </w:r>
    </w:p>
    <w:p w:rsidR="00BB7EDA" w:rsidRDefault="007D72B3">
      <w:pPr>
        <w:rPr>
          <w:sz w:val="2"/>
          <w:szCs w:val="2"/>
        </w:rPr>
      </w:pPr>
      <w:r>
        <w:pict>
          <v:shape id="_x0000_s1172" type="#_x0000_t202" style="position:absolute;margin-left:-60.45pt;margin-top:.1pt;width:35.3pt;height:22.9pt;z-index:-125829346;mso-wrap-distance-left:5pt;mso-wrap-distance-right:21.6pt;mso-position-horizontal-relative:margin" filled="f" stroked="f">
            <v:textbox style="mso-fit-shape-to-text:t" inset="0,0,0,0">
              <w:txbxContent>
                <w:p w:rsidR="00BB7EDA" w:rsidRDefault="007D72B3">
                  <w:pPr>
                    <w:pStyle w:val="Bodytext20"/>
                    <w:shd w:val="clear" w:color="auto" w:fill="auto"/>
                    <w:spacing w:before="0" w:after="14" w:line="180" w:lineRule="exact"/>
                    <w:jc w:val="left"/>
                  </w:pPr>
                  <w:r>
                    <w:rPr>
                      <w:rStyle w:val="Bodytext2Exact"/>
                    </w:rPr>
                    <w:t>Vokativ</w:t>
                  </w:r>
                </w:p>
                <w:p w:rsidR="00BB7EDA" w:rsidRDefault="007D72B3">
                  <w:pPr>
                    <w:pStyle w:val="Bodytext20"/>
                    <w:shd w:val="clear" w:color="auto" w:fill="auto"/>
                    <w:spacing w:before="0" w:line="180" w:lineRule="exact"/>
                    <w:jc w:val="left"/>
                  </w:pPr>
                  <w:r>
                    <w:rPr>
                      <w:rStyle w:val="Bodytext2Exact"/>
                    </w:rPr>
                    <w:t>Ablativ</w:t>
                  </w:r>
                </w:p>
              </w:txbxContent>
            </v:textbox>
            <w10:wrap type="square" side="right" anchorx="margin"/>
          </v:shape>
        </w:pict>
      </w:r>
    </w:p>
    <w:p w:rsidR="00BB7EDA" w:rsidRDefault="007D72B3">
      <w:pPr>
        <w:pStyle w:val="Bodytext20"/>
        <w:shd w:val="clear" w:color="auto" w:fill="auto"/>
        <w:spacing w:before="0" w:line="180" w:lineRule="exact"/>
        <w:jc w:val="left"/>
      </w:pPr>
      <w:r>
        <w:t>amice</w:t>
      </w:r>
    </w:p>
    <w:p w:rsidR="00BB7EDA" w:rsidRDefault="007D72B3">
      <w:pPr>
        <w:pStyle w:val="Bodytext20"/>
        <w:shd w:val="clear" w:color="auto" w:fill="auto"/>
        <w:spacing w:before="0" w:line="180" w:lineRule="exact"/>
        <w:jc w:val="left"/>
        <w:sectPr w:rsidR="00BB7EDA">
          <w:type w:val="continuous"/>
          <w:pgSz w:w="7266" w:h="11422"/>
          <w:pgMar w:top="1781" w:right="2673" w:bottom="1119" w:left="2894" w:header="0" w:footer="3" w:gutter="0"/>
          <w:cols w:num="2" w:space="547"/>
          <w:noEndnote/>
          <w:docGrid w:linePitch="360"/>
        </w:sectPr>
      </w:pPr>
      <w:r>
        <w:t>amico</w:t>
      </w:r>
      <w:r>
        <w:br w:type="column"/>
        <w:t>amici amicis</w:t>
      </w:r>
    </w:p>
    <w:p w:rsidR="00BB7EDA" w:rsidRDefault="00BB7EDA">
      <w:pPr>
        <w:spacing w:line="179" w:lineRule="exact"/>
        <w:rPr>
          <w:sz w:val="14"/>
          <w:szCs w:val="14"/>
        </w:rPr>
      </w:pPr>
    </w:p>
    <w:p w:rsidR="00BB7EDA" w:rsidRDefault="00BB7EDA">
      <w:pPr>
        <w:rPr>
          <w:sz w:val="2"/>
          <w:szCs w:val="2"/>
        </w:rPr>
        <w:sectPr w:rsidR="00BB7EDA">
          <w:type w:val="continuous"/>
          <w:pgSz w:w="7266" w:h="11422"/>
          <w:pgMar w:top="1796" w:right="0" w:bottom="1134" w:left="0" w:header="0" w:footer="3" w:gutter="0"/>
          <w:cols w:space="720"/>
          <w:noEndnote/>
          <w:docGrid w:linePitch="360"/>
        </w:sectPr>
      </w:pPr>
    </w:p>
    <w:p w:rsidR="00BB7EDA" w:rsidRDefault="007D72B3">
      <w:pPr>
        <w:pStyle w:val="Bodytext20"/>
        <w:shd w:val="clear" w:color="auto" w:fill="auto"/>
        <w:spacing w:before="0" w:after="184"/>
        <w:ind w:firstLine="320"/>
      </w:pPr>
      <w:r>
        <w:t>Einige erklärende Bemerkungen dazu: Der Vokativ ist die An</w:t>
      </w:r>
      <w:r>
        <w:softHyphen/>
        <w:t xml:space="preserve">redeform </w:t>
      </w:r>
      <w:r>
        <w:rPr>
          <w:rStyle w:val="Bodytext2Italic0"/>
        </w:rPr>
        <w:t>(amice =</w:t>
      </w:r>
      <w:r>
        <w:t xml:space="preserve"> „o Freund"). Der Ablativ hat diverse Funktionen, u.a. die eines Instrumentals. In diesem Sinne könnte man </w:t>
      </w:r>
      <w:r>
        <w:rPr>
          <w:rStyle w:val="Bodytext2Italic0"/>
        </w:rPr>
        <w:t>amico</w:t>
      </w:r>
      <w:r>
        <w:t xml:space="preserve"> mit „durch den Freund" übersetzen.</w:t>
      </w:r>
    </w:p>
    <w:p w:rsidR="00BB7EDA" w:rsidRDefault="007D72B3">
      <w:pPr>
        <w:pStyle w:val="Bodytext100"/>
        <w:numPr>
          <w:ilvl w:val="3"/>
          <w:numId w:val="168"/>
        </w:numPr>
        <w:shd w:val="clear" w:color="auto" w:fill="auto"/>
        <w:tabs>
          <w:tab w:val="left" w:pos="658"/>
        </w:tabs>
        <w:spacing w:before="0"/>
        <w:ind w:firstLine="0"/>
        <w:jc w:val="left"/>
      </w:pPr>
      <w:r>
        <w:t>Der Zusammenbruch des Kasussystems in den romani</w:t>
      </w:r>
      <w:r>
        <w:softHyphen/>
        <w:t>schen Sprachen</w:t>
      </w:r>
    </w:p>
    <w:p w:rsidR="00BB7EDA" w:rsidRDefault="007D72B3">
      <w:pPr>
        <w:pStyle w:val="Bodytext20"/>
        <w:shd w:val="clear" w:color="auto" w:fill="auto"/>
        <w:spacing w:before="0" w:line="226" w:lineRule="exact"/>
      </w:pPr>
      <w:r>
        <w:t xml:space="preserve">Das lateinische </w:t>
      </w:r>
      <w:r>
        <w:t>Nominalsystem hat in den Nachfolge-Sprachen ei</w:t>
      </w:r>
      <w:r>
        <w:softHyphen/>
        <w:t xml:space="preserve">nen drastischen Schwund erlitten. Was ist z.B. im Französischen davon übrig geblieben? Es gibt nur noch die Singularform </w:t>
      </w:r>
      <w:r>
        <w:rPr>
          <w:rStyle w:val="Bodytext2Italic0"/>
        </w:rPr>
        <w:t>ami</w:t>
      </w:r>
      <w:r>
        <w:t xml:space="preserve"> und den gleich lautenden, nur noch in der Schrift zu unterscheidenden Plural </w:t>
      </w:r>
      <w:r>
        <w:rPr>
          <w:rStyle w:val="Bodytext2Italic0"/>
        </w:rPr>
        <w:t>arnis.</w:t>
      </w:r>
      <w:r>
        <w:t xml:space="preserve"> </w:t>
      </w:r>
      <w:r>
        <w:t>Im Übrigen ist sonst alles verloren gegangen. Auch im Italienischen, Spanischen und Portugiesischen, um die Beispiele zu mehren, konnten nicht mehr Kasusformen überleben. Im Italieni</w:t>
      </w:r>
      <w:r>
        <w:softHyphen/>
        <w:t xml:space="preserve">schen z.B. lautet der Singular </w:t>
      </w:r>
      <w:r>
        <w:rPr>
          <w:rStyle w:val="Bodytext2Italic0"/>
        </w:rPr>
        <w:t>amico</w:t>
      </w:r>
      <w:r>
        <w:t xml:space="preserve"> und der Plural </w:t>
      </w:r>
      <w:r>
        <w:rPr>
          <w:rStyle w:val="Bodytext2Italic0"/>
        </w:rPr>
        <w:t>amici</w:t>
      </w:r>
      <w:r>
        <w:t xml:space="preserve"> und damit bewen</w:t>
      </w:r>
      <w:r>
        <w:t>det sich die Morphologie des Nomens.</w:t>
      </w:r>
    </w:p>
    <w:p w:rsidR="00BB7EDA" w:rsidRDefault="007D72B3">
      <w:pPr>
        <w:pStyle w:val="Bodytext20"/>
        <w:shd w:val="clear" w:color="auto" w:fill="auto"/>
        <w:spacing w:before="0" w:after="180" w:line="226" w:lineRule="exact"/>
        <w:ind w:firstLine="320"/>
      </w:pPr>
      <w:r>
        <w:t>Im Rumänischen ging der Zerfall langsamer vor sich. Hier konn</w:t>
      </w:r>
      <w:r>
        <w:softHyphen/>
        <w:t>ten sich noch drei Fälle halten.</w:t>
      </w:r>
    </w:p>
    <w:p w:rsidR="00BB7EDA" w:rsidRDefault="007D72B3">
      <w:pPr>
        <w:pStyle w:val="Bodytext100"/>
        <w:numPr>
          <w:ilvl w:val="3"/>
          <w:numId w:val="168"/>
        </w:numPr>
        <w:shd w:val="clear" w:color="auto" w:fill="auto"/>
        <w:tabs>
          <w:tab w:val="left" w:pos="658"/>
        </w:tabs>
        <w:spacing w:before="0"/>
        <w:ind w:firstLine="0"/>
      </w:pPr>
      <w:r>
        <w:t>Der Zusammenbruch im Bereich der Verbalformen</w:t>
      </w:r>
    </w:p>
    <w:p w:rsidR="00BB7EDA" w:rsidRDefault="007D72B3">
      <w:pPr>
        <w:pStyle w:val="Bodytext20"/>
        <w:shd w:val="clear" w:color="auto" w:fill="auto"/>
        <w:spacing w:before="0" w:line="226" w:lineRule="exact"/>
      </w:pPr>
      <w:r>
        <w:t>Wenn es um das Verbalsystem geht, so sieht man auch hier, wie das Zerfallgeset</w:t>
      </w:r>
      <w:r>
        <w:t>z gewütet hat. Von den so zahlreichen synthetischen Formen im Latein (über 170) ist in den romanischen Sprachen vieles von dem einstigen sprachlichen Flexionsreichtum der alten Römer verlustig gegangen. Überall lässt sich die sehr ausgeprägte Entwick</w:t>
      </w:r>
      <w:r>
        <w:softHyphen/>
        <w:t xml:space="preserve">lung </w:t>
      </w:r>
      <w:r>
        <w:t>feststellen, dass synthetische Formen durch analytische ersetzt werden, d.h. durch syntaktische Umschreibungen mit Hilfsverben wie „sein" und „haben" etc.</w:t>
      </w:r>
    </w:p>
    <w:p w:rsidR="00BB7EDA" w:rsidRDefault="007D72B3">
      <w:pPr>
        <w:pStyle w:val="Bodytext20"/>
        <w:shd w:val="clear" w:color="auto" w:fill="auto"/>
        <w:spacing w:before="0" w:line="226" w:lineRule="exact"/>
        <w:ind w:firstLine="320"/>
        <w:sectPr w:rsidR="00BB7EDA">
          <w:type w:val="continuous"/>
          <w:pgSz w:w="7266" w:h="11422"/>
          <w:pgMar w:top="1796" w:right="436" w:bottom="1134" w:left="1170" w:header="0" w:footer="3" w:gutter="0"/>
          <w:cols w:space="720"/>
          <w:noEndnote/>
          <w:docGrid w:linePitch="360"/>
        </w:sectPr>
      </w:pPr>
      <w:r>
        <w:t>Nehmen wir das moderne Französisch, um anhand eines Bei</w:t>
      </w:r>
      <w:r>
        <w:softHyphen/>
        <w:t xml:space="preserve">spiels den Formenzerfall </w:t>
      </w:r>
      <w:r>
        <w:t>quantitativ zu beschreiben: Man verwen</w:t>
      </w:r>
      <w:r>
        <w:softHyphen/>
        <w:t>det heute im Französischen noch ca. 40 synthetische Verbalformen. Im Latein kannte man aber, wie gesagt, über 170. So sind u.a. sämtliche Passivformen verloren gegangen, aber auch die Formen</w:t>
      </w:r>
    </w:p>
    <w:p w:rsidR="00BB7EDA" w:rsidRDefault="007D72B3">
      <w:pPr>
        <w:pStyle w:val="Bodytext20"/>
        <w:shd w:val="clear" w:color="auto" w:fill="auto"/>
        <w:spacing w:before="0" w:after="397" w:line="226" w:lineRule="exact"/>
      </w:pPr>
      <w:r>
        <w:t xml:space="preserve">des Plusquamperfekts, des </w:t>
      </w:r>
      <w:r>
        <w:t>Futur II etc. Sind diese Einbußen an Flexionen nicht äußerst eindrucksvoll?</w:t>
      </w:r>
    </w:p>
    <w:p w:rsidR="00BB7EDA" w:rsidRDefault="007D72B3">
      <w:pPr>
        <w:pStyle w:val="Bodytext90"/>
        <w:numPr>
          <w:ilvl w:val="2"/>
          <w:numId w:val="168"/>
        </w:numPr>
        <w:shd w:val="clear" w:color="auto" w:fill="auto"/>
        <w:tabs>
          <w:tab w:val="left" w:pos="500"/>
        </w:tabs>
        <w:spacing w:after="163" w:line="180" w:lineRule="exact"/>
      </w:pPr>
      <w:r>
        <w:t>Deutsch</w:t>
      </w:r>
    </w:p>
    <w:p w:rsidR="00BB7EDA" w:rsidRDefault="007D72B3">
      <w:pPr>
        <w:pStyle w:val="Bodytext20"/>
        <w:shd w:val="clear" w:color="auto" w:fill="auto"/>
        <w:spacing w:before="0" w:line="226" w:lineRule="exact"/>
      </w:pPr>
      <w:r>
        <w:t>Kommen wir nun auf einige Beispiele zu sprechen, die zur Familie der germanischen Sprachen gehören, und daher den meisten Lesern wohl am nächsten stehen.</w:t>
      </w:r>
    </w:p>
    <w:p w:rsidR="00BB7EDA" w:rsidRDefault="007D72B3">
      <w:pPr>
        <w:pStyle w:val="Bodytext20"/>
        <w:shd w:val="clear" w:color="auto" w:fill="auto"/>
        <w:spacing w:before="0" w:line="226" w:lineRule="exact"/>
        <w:ind w:firstLine="320"/>
      </w:pPr>
      <w:r>
        <w:t>Zunächst einige Be</w:t>
      </w:r>
      <w:r>
        <w:t>merkungen zum Deutschen. Wir haben be</w:t>
      </w:r>
      <w:r>
        <w:softHyphen/>
        <w:t>reits festgestellt, dass das Deutsche des 21. Jahrhunderts, verglichen mit formenreichen alten Sprachen, kein besonders großes Formen</w:t>
      </w:r>
      <w:r>
        <w:softHyphen/>
        <w:t>inventar besitzt. Früher sah die Situation aber noch etwas anders aus. Das Althochde</w:t>
      </w:r>
      <w:r>
        <w:t>utsche besaß einen größeren morphologischen Reichtum in der Formenlehre als die heutige Sprachstufe.</w:t>
      </w:r>
      <w:r>
        <w:rPr>
          <w:vertAlign w:val="superscript"/>
        </w:rPr>
        <w:t>436</w:t>
      </w:r>
      <w:r>
        <w:t xml:space="preserve"> Ver</w:t>
      </w:r>
      <w:r>
        <w:softHyphen/>
        <w:t>gleicht man das Kasussystem des Althochdeutschen mit dem mo</w:t>
      </w:r>
      <w:r>
        <w:softHyphen/>
        <w:t xml:space="preserve">dernen Hochdeutsch, so ist dies augenfällig. Als Beispiel verwenden wir das Wort </w:t>
      </w:r>
      <w:r>
        <w:rPr>
          <w:rStyle w:val="Bodytext2Italic0"/>
        </w:rPr>
        <w:t>Tag.</w:t>
      </w:r>
      <w:r>
        <w:t xml:space="preserve"> Wä</w:t>
      </w:r>
      <w:r>
        <w:t>hrend heute morphologisch nur noch vier verschiedene Formen unterschieden werden können, was im Ver</w:t>
      </w:r>
      <w:r>
        <w:softHyphen/>
        <w:t>gleich mit manchen anderen modernen Sprachen eigentlich noch relativ viele sind, konnten im Althochdeutschen noch deren sieben dieserart differenziert werde</w:t>
      </w:r>
      <w:r>
        <w:t>n.</w:t>
      </w:r>
      <w:r>
        <w:rPr>
          <w:vertAlign w:val="superscript"/>
        </w:rPr>
        <w:t>437</w:t>
      </w:r>
      <w:r>
        <w:t xml:space="preserve"> Der im Althochdeutschen noch verwendete Instrumental ist für die moderne Sprache völlig verlo</w:t>
      </w:r>
      <w:r>
        <w:softHyphen/>
        <w:t>ren gegangen.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1"/>
        <w:gridCol w:w="1786"/>
        <w:gridCol w:w="1526"/>
      </w:tblGrid>
      <w:tr w:rsidR="00BB7EDA">
        <w:tblPrEx>
          <w:tblCellMar>
            <w:top w:w="0" w:type="dxa"/>
            <w:bottom w:w="0" w:type="dxa"/>
          </w:tblCellMar>
        </w:tblPrEx>
        <w:trPr>
          <w:trHeight w:hRule="exact" w:val="259"/>
          <w:jc w:val="center"/>
        </w:trPr>
        <w:tc>
          <w:tcPr>
            <w:tcW w:w="1291"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Singular</w:t>
            </w:r>
          </w:p>
        </w:tc>
        <w:tc>
          <w:tcPr>
            <w:tcW w:w="1786"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mod. Hochdeutsch</w:t>
            </w:r>
          </w:p>
        </w:tc>
        <w:tc>
          <w:tcPr>
            <w:tcW w:w="1526" w:type="dxa"/>
            <w:shd w:val="clear" w:color="auto" w:fill="FFFFFF"/>
          </w:tcPr>
          <w:p w:rsidR="00BB7EDA" w:rsidRDefault="007D72B3">
            <w:pPr>
              <w:pStyle w:val="Bodytext20"/>
              <w:framePr w:w="4603" w:wrap="notBeside" w:vAnchor="text" w:hAnchor="text" w:xAlign="center" w:y="1"/>
              <w:shd w:val="clear" w:color="auto" w:fill="auto"/>
              <w:spacing w:before="0" w:line="180" w:lineRule="exact"/>
              <w:ind w:left="180"/>
              <w:jc w:val="left"/>
            </w:pPr>
            <w:r>
              <w:t>Althochdeutsch</w:t>
            </w:r>
          </w:p>
        </w:tc>
      </w:tr>
      <w:tr w:rsidR="00BB7EDA">
        <w:tblPrEx>
          <w:tblCellMar>
            <w:top w:w="0" w:type="dxa"/>
            <w:bottom w:w="0" w:type="dxa"/>
          </w:tblCellMar>
        </w:tblPrEx>
        <w:trPr>
          <w:trHeight w:hRule="exact" w:val="283"/>
          <w:jc w:val="center"/>
        </w:trPr>
        <w:tc>
          <w:tcPr>
            <w:tcW w:w="1291"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Nominativ</w:t>
            </w:r>
          </w:p>
        </w:tc>
        <w:tc>
          <w:tcPr>
            <w:tcW w:w="178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Tag</w:t>
            </w:r>
          </w:p>
        </w:tc>
        <w:tc>
          <w:tcPr>
            <w:tcW w:w="152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ind w:left="180"/>
              <w:jc w:val="left"/>
            </w:pPr>
            <w:r>
              <w:t>tag</w:t>
            </w:r>
          </w:p>
        </w:tc>
      </w:tr>
      <w:tr w:rsidR="00BB7EDA">
        <w:tblPrEx>
          <w:tblCellMar>
            <w:top w:w="0" w:type="dxa"/>
            <w:bottom w:w="0" w:type="dxa"/>
          </w:tblCellMar>
        </w:tblPrEx>
        <w:trPr>
          <w:trHeight w:hRule="exact" w:val="226"/>
          <w:jc w:val="center"/>
        </w:trPr>
        <w:tc>
          <w:tcPr>
            <w:tcW w:w="1291"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Genitiv</w:t>
            </w:r>
          </w:p>
        </w:tc>
        <w:tc>
          <w:tcPr>
            <w:tcW w:w="178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Tag-es</w:t>
            </w:r>
          </w:p>
        </w:tc>
        <w:tc>
          <w:tcPr>
            <w:tcW w:w="152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ind w:left="180"/>
              <w:jc w:val="left"/>
            </w:pPr>
            <w:r>
              <w:t>tag-es</w:t>
            </w:r>
          </w:p>
        </w:tc>
      </w:tr>
      <w:tr w:rsidR="00BB7EDA">
        <w:tblPrEx>
          <w:tblCellMar>
            <w:top w:w="0" w:type="dxa"/>
            <w:bottom w:w="0" w:type="dxa"/>
          </w:tblCellMar>
        </w:tblPrEx>
        <w:trPr>
          <w:trHeight w:hRule="exact" w:val="235"/>
          <w:jc w:val="center"/>
        </w:trPr>
        <w:tc>
          <w:tcPr>
            <w:tcW w:w="1291"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Dativ</w:t>
            </w:r>
          </w:p>
        </w:tc>
        <w:tc>
          <w:tcPr>
            <w:tcW w:w="178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Tag</w:t>
            </w:r>
          </w:p>
        </w:tc>
        <w:tc>
          <w:tcPr>
            <w:tcW w:w="152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ind w:left="180"/>
              <w:jc w:val="left"/>
            </w:pPr>
            <w:r>
              <w:t>tag-e</w:t>
            </w:r>
          </w:p>
        </w:tc>
      </w:tr>
      <w:tr w:rsidR="00BB7EDA">
        <w:tblPrEx>
          <w:tblCellMar>
            <w:top w:w="0" w:type="dxa"/>
            <w:bottom w:w="0" w:type="dxa"/>
          </w:tblCellMar>
        </w:tblPrEx>
        <w:trPr>
          <w:trHeight w:hRule="exact" w:val="226"/>
          <w:jc w:val="center"/>
        </w:trPr>
        <w:tc>
          <w:tcPr>
            <w:tcW w:w="1291"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Akkusativ</w:t>
            </w:r>
          </w:p>
        </w:tc>
        <w:tc>
          <w:tcPr>
            <w:tcW w:w="1786"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Tag</w:t>
            </w:r>
          </w:p>
        </w:tc>
        <w:tc>
          <w:tcPr>
            <w:tcW w:w="1526" w:type="dxa"/>
            <w:shd w:val="clear" w:color="auto" w:fill="FFFFFF"/>
          </w:tcPr>
          <w:p w:rsidR="00BB7EDA" w:rsidRDefault="007D72B3">
            <w:pPr>
              <w:pStyle w:val="Bodytext20"/>
              <w:framePr w:w="4603" w:wrap="notBeside" w:vAnchor="text" w:hAnchor="text" w:xAlign="center" w:y="1"/>
              <w:shd w:val="clear" w:color="auto" w:fill="auto"/>
              <w:spacing w:before="0" w:line="180" w:lineRule="exact"/>
              <w:ind w:left="180"/>
              <w:jc w:val="left"/>
            </w:pPr>
            <w:r>
              <w:t>tag</w:t>
            </w:r>
          </w:p>
        </w:tc>
      </w:tr>
      <w:tr w:rsidR="00BB7EDA">
        <w:tblPrEx>
          <w:tblCellMar>
            <w:top w:w="0" w:type="dxa"/>
            <w:bottom w:w="0" w:type="dxa"/>
          </w:tblCellMar>
        </w:tblPrEx>
        <w:trPr>
          <w:trHeight w:hRule="exact" w:val="331"/>
          <w:jc w:val="center"/>
        </w:trPr>
        <w:tc>
          <w:tcPr>
            <w:tcW w:w="1291"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Instrumental (!</w:t>
            </w:r>
          </w:p>
        </w:tc>
        <w:tc>
          <w:tcPr>
            <w:tcW w:w="1786"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w:t>
            </w:r>
          </w:p>
        </w:tc>
        <w:tc>
          <w:tcPr>
            <w:tcW w:w="1526" w:type="dxa"/>
            <w:shd w:val="clear" w:color="auto" w:fill="FFFFFF"/>
          </w:tcPr>
          <w:p w:rsidR="00BB7EDA" w:rsidRDefault="007D72B3">
            <w:pPr>
              <w:pStyle w:val="Bodytext20"/>
              <w:framePr w:w="4603" w:wrap="notBeside" w:vAnchor="text" w:hAnchor="text" w:xAlign="center" w:y="1"/>
              <w:shd w:val="clear" w:color="auto" w:fill="auto"/>
              <w:spacing w:before="0" w:line="180" w:lineRule="exact"/>
              <w:ind w:left="180"/>
              <w:jc w:val="left"/>
            </w:pPr>
            <w:r>
              <w:t>tag-u</w:t>
            </w:r>
          </w:p>
        </w:tc>
      </w:tr>
      <w:tr w:rsidR="00BB7EDA">
        <w:tblPrEx>
          <w:tblCellMar>
            <w:top w:w="0" w:type="dxa"/>
            <w:bottom w:w="0" w:type="dxa"/>
          </w:tblCellMar>
        </w:tblPrEx>
        <w:trPr>
          <w:trHeight w:hRule="exact" w:val="384"/>
          <w:jc w:val="center"/>
        </w:trPr>
        <w:tc>
          <w:tcPr>
            <w:tcW w:w="4603" w:type="dxa"/>
            <w:gridSpan w:val="3"/>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Plural mod. Hochdeutsch Althochdeutsch</w:t>
            </w:r>
          </w:p>
        </w:tc>
      </w:tr>
      <w:tr w:rsidR="00BB7EDA">
        <w:tblPrEx>
          <w:tblCellMar>
            <w:top w:w="0" w:type="dxa"/>
            <w:bottom w:w="0" w:type="dxa"/>
          </w:tblCellMar>
        </w:tblPrEx>
        <w:trPr>
          <w:trHeight w:hRule="exact" w:val="288"/>
          <w:jc w:val="center"/>
        </w:trPr>
        <w:tc>
          <w:tcPr>
            <w:tcW w:w="1291"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Nominativ</w:t>
            </w:r>
          </w:p>
        </w:tc>
        <w:tc>
          <w:tcPr>
            <w:tcW w:w="178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Tag-e</w:t>
            </w:r>
          </w:p>
        </w:tc>
        <w:tc>
          <w:tcPr>
            <w:tcW w:w="152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ind w:left="180"/>
              <w:jc w:val="left"/>
            </w:pPr>
            <w:r>
              <w:t>tag-a</w:t>
            </w:r>
          </w:p>
        </w:tc>
      </w:tr>
      <w:tr w:rsidR="00BB7EDA">
        <w:tblPrEx>
          <w:tblCellMar>
            <w:top w:w="0" w:type="dxa"/>
            <w:bottom w:w="0" w:type="dxa"/>
          </w:tblCellMar>
        </w:tblPrEx>
        <w:trPr>
          <w:trHeight w:hRule="exact" w:val="240"/>
          <w:jc w:val="center"/>
        </w:trPr>
        <w:tc>
          <w:tcPr>
            <w:tcW w:w="1291"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Genitiv</w:t>
            </w:r>
          </w:p>
        </w:tc>
        <w:tc>
          <w:tcPr>
            <w:tcW w:w="1786"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Tag-e</w:t>
            </w:r>
          </w:p>
        </w:tc>
        <w:tc>
          <w:tcPr>
            <w:tcW w:w="1526" w:type="dxa"/>
            <w:shd w:val="clear" w:color="auto" w:fill="FFFFFF"/>
          </w:tcPr>
          <w:p w:rsidR="00BB7EDA" w:rsidRDefault="007D72B3">
            <w:pPr>
              <w:pStyle w:val="Bodytext20"/>
              <w:framePr w:w="4603" w:wrap="notBeside" w:vAnchor="text" w:hAnchor="text" w:xAlign="center" w:y="1"/>
              <w:shd w:val="clear" w:color="auto" w:fill="auto"/>
              <w:spacing w:before="0" w:line="180" w:lineRule="exact"/>
              <w:ind w:left="180"/>
              <w:jc w:val="left"/>
            </w:pPr>
            <w:r>
              <w:t>tag-o</w:t>
            </w:r>
          </w:p>
        </w:tc>
      </w:tr>
      <w:tr w:rsidR="00BB7EDA">
        <w:tblPrEx>
          <w:tblCellMar>
            <w:top w:w="0" w:type="dxa"/>
            <w:bottom w:w="0" w:type="dxa"/>
          </w:tblCellMar>
        </w:tblPrEx>
        <w:trPr>
          <w:trHeight w:hRule="exact" w:val="221"/>
          <w:jc w:val="center"/>
        </w:trPr>
        <w:tc>
          <w:tcPr>
            <w:tcW w:w="1291"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Dativ</w:t>
            </w:r>
          </w:p>
        </w:tc>
        <w:tc>
          <w:tcPr>
            <w:tcW w:w="1786"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Tag-en</w:t>
            </w:r>
          </w:p>
        </w:tc>
        <w:tc>
          <w:tcPr>
            <w:tcW w:w="1526" w:type="dxa"/>
            <w:shd w:val="clear" w:color="auto" w:fill="FFFFFF"/>
          </w:tcPr>
          <w:p w:rsidR="00BB7EDA" w:rsidRDefault="007D72B3">
            <w:pPr>
              <w:pStyle w:val="Bodytext20"/>
              <w:framePr w:w="4603" w:wrap="notBeside" w:vAnchor="text" w:hAnchor="text" w:xAlign="center" w:y="1"/>
              <w:shd w:val="clear" w:color="auto" w:fill="auto"/>
              <w:spacing w:before="0" w:line="180" w:lineRule="exact"/>
              <w:ind w:left="180"/>
              <w:jc w:val="left"/>
            </w:pPr>
            <w:r>
              <w:t>tag-um</w:t>
            </w:r>
          </w:p>
        </w:tc>
      </w:tr>
      <w:tr w:rsidR="00BB7EDA">
        <w:tblPrEx>
          <w:tblCellMar>
            <w:top w:w="0" w:type="dxa"/>
            <w:bottom w:w="0" w:type="dxa"/>
          </w:tblCellMar>
        </w:tblPrEx>
        <w:trPr>
          <w:trHeight w:hRule="exact" w:val="226"/>
          <w:jc w:val="center"/>
        </w:trPr>
        <w:tc>
          <w:tcPr>
            <w:tcW w:w="1291"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Akkusativ</w:t>
            </w:r>
          </w:p>
        </w:tc>
        <w:tc>
          <w:tcPr>
            <w:tcW w:w="178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jc w:val="left"/>
            </w:pPr>
            <w:r>
              <w:t>Tag-en</w:t>
            </w:r>
          </w:p>
        </w:tc>
        <w:tc>
          <w:tcPr>
            <w:tcW w:w="1526" w:type="dxa"/>
            <w:shd w:val="clear" w:color="auto" w:fill="FFFFFF"/>
            <w:vAlign w:val="bottom"/>
          </w:tcPr>
          <w:p w:rsidR="00BB7EDA" w:rsidRDefault="007D72B3">
            <w:pPr>
              <w:pStyle w:val="Bodytext20"/>
              <w:framePr w:w="4603" w:wrap="notBeside" w:vAnchor="text" w:hAnchor="text" w:xAlign="center" w:y="1"/>
              <w:shd w:val="clear" w:color="auto" w:fill="auto"/>
              <w:spacing w:before="0" w:line="180" w:lineRule="exact"/>
              <w:ind w:left="180"/>
              <w:jc w:val="left"/>
            </w:pPr>
            <w:r>
              <w:t>tag-a</w:t>
            </w:r>
          </w:p>
        </w:tc>
      </w:tr>
      <w:tr w:rsidR="00BB7EDA">
        <w:tblPrEx>
          <w:tblCellMar>
            <w:top w:w="0" w:type="dxa"/>
            <w:bottom w:w="0" w:type="dxa"/>
          </w:tblCellMar>
        </w:tblPrEx>
        <w:trPr>
          <w:trHeight w:hRule="exact" w:val="197"/>
          <w:jc w:val="center"/>
        </w:trPr>
        <w:tc>
          <w:tcPr>
            <w:tcW w:w="1291" w:type="dxa"/>
            <w:shd w:val="clear" w:color="auto" w:fill="FFFFFF"/>
          </w:tcPr>
          <w:p w:rsidR="00BB7EDA" w:rsidRDefault="007D72B3">
            <w:pPr>
              <w:pStyle w:val="Bodytext20"/>
              <w:framePr w:w="4603" w:wrap="notBeside" w:vAnchor="text" w:hAnchor="text" w:xAlign="center" w:y="1"/>
              <w:shd w:val="clear" w:color="auto" w:fill="auto"/>
              <w:spacing w:before="0" w:line="180" w:lineRule="exact"/>
              <w:jc w:val="left"/>
            </w:pPr>
            <w:r>
              <w:t>Instrumental</w:t>
            </w:r>
          </w:p>
        </w:tc>
        <w:tc>
          <w:tcPr>
            <w:tcW w:w="1786" w:type="dxa"/>
            <w:shd w:val="clear" w:color="auto" w:fill="FFFFFF"/>
          </w:tcPr>
          <w:p w:rsidR="00BB7EDA" w:rsidRDefault="00BB7EDA">
            <w:pPr>
              <w:framePr w:w="4603" w:wrap="notBeside" w:vAnchor="text" w:hAnchor="text" w:xAlign="center" w:y="1"/>
              <w:rPr>
                <w:sz w:val="10"/>
                <w:szCs w:val="10"/>
              </w:rPr>
            </w:pPr>
          </w:p>
        </w:tc>
        <w:tc>
          <w:tcPr>
            <w:tcW w:w="1526" w:type="dxa"/>
            <w:shd w:val="clear" w:color="auto" w:fill="FFFFFF"/>
          </w:tcPr>
          <w:p w:rsidR="00BB7EDA" w:rsidRDefault="00BB7EDA">
            <w:pPr>
              <w:framePr w:w="4603" w:wrap="notBeside" w:vAnchor="text" w:hAnchor="text" w:xAlign="center" w:y="1"/>
              <w:rPr>
                <w:sz w:val="10"/>
                <w:szCs w:val="10"/>
              </w:rPr>
            </w:pPr>
          </w:p>
        </w:tc>
      </w:tr>
    </w:tbl>
    <w:p w:rsidR="00BB7EDA" w:rsidRDefault="007D72B3">
      <w:pPr>
        <w:pStyle w:val="Tablecaption30"/>
        <w:framePr w:w="4603" w:wrap="notBeside" w:vAnchor="text" w:hAnchor="text" w:xAlign="center" w:y="1"/>
        <w:numPr>
          <w:ilvl w:val="0"/>
          <w:numId w:val="178"/>
        </w:numPr>
        <w:shd w:val="clear" w:color="auto" w:fill="auto"/>
        <w:tabs>
          <w:tab w:val="left" w:pos="283"/>
        </w:tabs>
        <w:spacing w:line="160" w:lineRule="exact"/>
      </w:pPr>
      <w:r>
        <w:rPr>
          <w:rStyle w:val="Tablecaption37ptSmallCaps"/>
        </w:rPr>
        <w:t xml:space="preserve">Hawkins: </w:t>
      </w:r>
      <w:r>
        <w:t>Germanic Languages.</w:t>
      </w:r>
    </w:p>
    <w:p w:rsidR="00BB7EDA" w:rsidRDefault="007D72B3">
      <w:pPr>
        <w:pStyle w:val="Tablecaption30"/>
        <w:framePr w:w="4603" w:wrap="notBeside" w:vAnchor="text" w:hAnchor="text" w:xAlign="center" w:y="1"/>
        <w:numPr>
          <w:ilvl w:val="0"/>
          <w:numId w:val="178"/>
        </w:numPr>
        <w:shd w:val="clear" w:color="auto" w:fill="auto"/>
        <w:tabs>
          <w:tab w:val="left" w:pos="283"/>
        </w:tabs>
        <w:spacing w:line="160" w:lineRule="exact"/>
      </w:pPr>
      <w:r>
        <w:rPr>
          <w:rStyle w:val="Tablecaption37ptSmallCaps"/>
        </w:rPr>
        <w:t xml:space="preserve">Hawkins: </w:t>
      </w:r>
      <w:r>
        <w:t xml:space="preserve">Germanic Languages, S. </w:t>
      </w:r>
      <w:r>
        <w:rPr>
          <w:rStyle w:val="Tablecaption37pt"/>
        </w:rPr>
        <w:t>73.</w:t>
      </w:r>
    </w:p>
    <w:p w:rsidR="00BB7EDA" w:rsidRDefault="00BB7EDA">
      <w:pPr>
        <w:framePr w:w="4603" w:wrap="notBeside" w:vAnchor="text" w:hAnchor="text" w:xAlign="center" w:y="1"/>
        <w:rPr>
          <w:sz w:val="2"/>
          <w:szCs w:val="2"/>
        </w:rPr>
      </w:pPr>
    </w:p>
    <w:p w:rsidR="00BB7EDA" w:rsidRDefault="007D72B3">
      <w:pPr>
        <w:rPr>
          <w:sz w:val="2"/>
          <w:szCs w:val="2"/>
        </w:rPr>
      </w:pPr>
      <w:r>
        <w:br w:type="page"/>
      </w:r>
    </w:p>
    <w:p w:rsidR="00BB7EDA" w:rsidRDefault="007D72B3">
      <w:pPr>
        <w:pStyle w:val="Bodytext20"/>
        <w:shd w:val="clear" w:color="auto" w:fill="auto"/>
        <w:spacing w:before="0" w:after="217" w:line="226" w:lineRule="exact"/>
        <w:ind w:firstLine="340"/>
      </w:pPr>
      <w:r>
        <w:t xml:space="preserve">Auch im Verbalsystem ist manches </w:t>
      </w:r>
      <w:r>
        <w:t>verloren gegangen. Als Bei</w:t>
      </w:r>
      <w:r>
        <w:softHyphen/>
        <w:t xml:space="preserve">spiel diene das Präsens des Wortes </w:t>
      </w:r>
      <w:r>
        <w:rPr>
          <w:rStyle w:val="Bodytext2Italic0"/>
        </w:rPr>
        <w:t>geben.™</w:t>
      </w:r>
      <w:r>
        <w:t xml:space="preserve"> Man beachte, dass das Althochdeutsche in der Konjugation keine selbstständ igen Pronomen brauchte, weil die Verbformen für sich schon genügend klar waren.</w:t>
      </w:r>
    </w:p>
    <w:p w:rsidR="00BB7EDA" w:rsidRDefault="007D72B3">
      <w:pPr>
        <w:pStyle w:val="Bodytext20"/>
        <w:shd w:val="clear" w:color="auto" w:fill="auto"/>
        <w:spacing w:before="0" w:after="94" w:line="180" w:lineRule="exact"/>
        <w:ind w:left="620"/>
        <w:jc w:val="left"/>
      </w:pPr>
      <w:r>
        <w:pict>
          <v:shape id="_x0000_s1173" type="#_x0000_t202" style="position:absolute;left:0;text-align:left;margin-left:140.4pt;margin-top:-.5pt;width:68.4pt;height:86.4pt;z-index:-125829345;mso-wrap-distance-left:32.4pt;mso-wrap-distance-right:5pt;mso-position-horizontal-relative:margin" filled="f" stroked="f">
            <v:textbox style="mso-fit-shape-to-text:t" inset="0,0,0,0">
              <w:txbxContent>
                <w:p w:rsidR="00BB7EDA" w:rsidRDefault="007D72B3">
                  <w:pPr>
                    <w:pStyle w:val="Bodytext20"/>
                    <w:shd w:val="clear" w:color="auto" w:fill="auto"/>
                    <w:spacing w:before="0" w:after="34" w:line="180" w:lineRule="exact"/>
                    <w:jc w:val="left"/>
                  </w:pPr>
                  <w:r>
                    <w:rPr>
                      <w:rStyle w:val="Bodytext2Exact"/>
                    </w:rPr>
                    <w:t>Althochdeutsch</w:t>
                  </w:r>
                </w:p>
                <w:p w:rsidR="00BB7EDA" w:rsidRDefault="007D72B3">
                  <w:pPr>
                    <w:pStyle w:val="Bodytext20"/>
                    <w:shd w:val="clear" w:color="auto" w:fill="auto"/>
                    <w:spacing w:before="0"/>
                    <w:jc w:val="left"/>
                  </w:pPr>
                  <w:r>
                    <w:rPr>
                      <w:rStyle w:val="Bodytext2Exact"/>
                    </w:rPr>
                    <w:t>gibu</w:t>
                  </w:r>
                </w:p>
                <w:p w:rsidR="00BB7EDA" w:rsidRDefault="007D72B3">
                  <w:pPr>
                    <w:pStyle w:val="Bodytext20"/>
                    <w:shd w:val="clear" w:color="auto" w:fill="auto"/>
                    <w:spacing w:before="0"/>
                    <w:jc w:val="left"/>
                  </w:pPr>
                  <w:r>
                    <w:rPr>
                      <w:rStyle w:val="Bodytext2Exact"/>
                    </w:rPr>
                    <w:t>gibis</w:t>
                  </w:r>
                </w:p>
                <w:p w:rsidR="00BB7EDA" w:rsidRDefault="007D72B3">
                  <w:pPr>
                    <w:pStyle w:val="Bodytext20"/>
                    <w:shd w:val="clear" w:color="auto" w:fill="auto"/>
                    <w:spacing w:before="0"/>
                    <w:jc w:val="left"/>
                  </w:pPr>
                  <w:r>
                    <w:rPr>
                      <w:rStyle w:val="Bodytext2Exact"/>
                    </w:rPr>
                    <w:t>gi</w:t>
                  </w:r>
                  <w:r>
                    <w:rPr>
                      <w:rStyle w:val="Bodytext2Exact"/>
                    </w:rPr>
                    <w:t>bit</w:t>
                  </w:r>
                </w:p>
                <w:p w:rsidR="00BB7EDA" w:rsidRDefault="007D72B3">
                  <w:pPr>
                    <w:pStyle w:val="Bodytext20"/>
                    <w:shd w:val="clear" w:color="auto" w:fill="auto"/>
                    <w:spacing w:before="0"/>
                    <w:jc w:val="left"/>
                  </w:pPr>
                  <w:r>
                    <w:rPr>
                      <w:rStyle w:val="Bodytext2Exact"/>
                    </w:rPr>
                    <w:t>gebames</w:t>
                  </w:r>
                </w:p>
                <w:p w:rsidR="00BB7EDA" w:rsidRDefault="007D72B3">
                  <w:pPr>
                    <w:pStyle w:val="Bodytext20"/>
                    <w:shd w:val="clear" w:color="auto" w:fill="auto"/>
                    <w:spacing w:before="0"/>
                    <w:jc w:val="left"/>
                  </w:pPr>
                  <w:r>
                    <w:rPr>
                      <w:rStyle w:val="Bodytext2Exact"/>
                    </w:rPr>
                    <w:t>gebet</w:t>
                  </w:r>
                </w:p>
                <w:p w:rsidR="00BB7EDA" w:rsidRDefault="007D72B3">
                  <w:pPr>
                    <w:pStyle w:val="Bodytext20"/>
                    <w:shd w:val="clear" w:color="auto" w:fill="auto"/>
                    <w:spacing w:before="0"/>
                    <w:jc w:val="left"/>
                  </w:pPr>
                  <w:r>
                    <w:rPr>
                      <w:rStyle w:val="Bodytext2Exact"/>
                    </w:rPr>
                    <w:t>gebant</w:t>
                  </w:r>
                </w:p>
              </w:txbxContent>
            </v:textbox>
            <w10:wrap type="square" side="left" anchorx="margin"/>
          </v:shape>
        </w:pict>
      </w:r>
      <w:r>
        <w:t>Mod. Hochdeutsch</w:t>
      </w:r>
    </w:p>
    <w:p w:rsidR="00BB7EDA" w:rsidRDefault="007D72B3">
      <w:pPr>
        <w:pStyle w:val="Bodytext20"/>
        <w:shd w:val="clear" w:color="auto" w:fill="auto"/>
        <w:spacing w:before="0" w:after="400"/>
        <w:ind w:left="620"/>
        <w:jc w:val="left"/>
      </w:pPr>
      <w:r>
        <w:t>ich gebe du gibst er gibt wir geben ihr gebt sie geben</w:t>
      </w:r>
    </w:p>
    <w:p w:rsidR="00BB7EDA" w:rsidRDefault="007D72B3">
      <w:pPr>
        <w:pStyle w:val="Heading50"/>
        <w:keepNext/>
        <w:keepLines/>
        <w:numPr>
          <w:ilvl w:val="2"/>
          <w:numId w:val="168"/>
        </w:numPr>
        <w:shd w:val="clear" w:color="auto" w:fill="auto"/>
        <w:tabs>
          <w:tab w:val="left" w:pos="500"/>
        </w:tabs>
        <w:spacing w:after="158" w:line="180" w:lineRule="exact"/>
      </w:pPr>
      <w:bookmarkStart w:id="115" w:name="bookmark114"/>
      <w:r>
        <w:t>Alemannische Schweizer-Dialekte</w:t>
      </w:r>
      <w:bookmarkEnd w:id="115"/>
    </w:p>
    <w:p w:rsidR="00BB7EDA" w:rsidRDefault="007D72B3">
      <w:pPr>
        <w:pStyle w:val="Bodytext20"/>
        <w:shd w:val="clear" w:color="auto" w:fill="auto"/>
        <w:spacing w:before="0" w:after="397" w:line="226" w:lineRule="exact"/>
      </w:pPr>
      <w:r>
        <w:t xml:space="preserve">Schweizerdeutsche Dialekte wie Züritüütsch, Baseltüütsch, Berntüütsch etc. zählt man zu den so genannten alemannischen </w:t>
      </w:r>
      <w:r>
        <w:t>Dialekten. Ich habe schon früher darauf hingewiesen, dass man in diesen Dialekten kein Präteritum kennt. Es gibt hier somit einzig im Präsens synthetische Verbformen. Als Entsprechung zum Hoch</w:t>
      </w:r>
      <w:r>
        <w:softHyphen/>
        <w:t>deutschen „Ich ging" verwendet man die analytische Perfekt-Um</w:t>
      </w:r>
      <w:r>
        <w:softHyphen/>
        <w:t>s</w:t>
      </w:r>
      <w:r>
        <w:t xml:space="preserve">chreibung </w:t>
      </w:r>
      <w:r>
        <w:rPr>
          <w:rStyle w:val="Bodytext2Italic0"/>
        </w:rPr>
        <w:t>i bi gange.</w:t>
      </w:r>
      <w:r>
        <w:t xml:space="preserve"> Das war aber nicht immer so. In der ersten Hälfte des 19. Jahrhunderts verwendete man z.B. im Berner Ober</w:t>
      </w:r>
      <w:r>
        <w:softHyphen/>
        <w:t>land, im so genannten Bödelidüütsch noch ein synthetisches Prä</w:t>
      </w:r>
      <w:r>
        <w:softHyphen/>
        <w:t>teritum,'</w:t>
      </w:r>
      <w:r>
        <w:rPr>
          <w:vertAlign w:val="superscript"/>
        </w:rPr>
        <w:t>13</w:t>
      </w:r>
      <w:r>
        <w:t>'</w:t>
      </w:r>
      <w:r>
        <w:rPr>
          <w:vertAlign w:val="superscript"/>
        </w:rPr>
        <w:t>5</w:t>
      </w:r>
      <w:r>
        <w:t xml:space="preserve"> z.B. </w:t>
      </w:r>
      <w:r>
        <w:rPr>
          <w:rStyle w:val="Bodytext2Italic0"/>
        </w:rPr>
        <w:t>i was</w:t>
      </w:r>
      <w:r>
        <w:t xml:space="preserve"> („ich war"), </w:t>
      </w:r>
      <w:r>
        <w:rPr>
          <w:rStyle w:val="Bodytext2Italic0"/>
        </w:rPr>
        <w:t>är giengfurt</w:t>
      </w:r>
      <w:r>
        <w:t xml:space="preserve"> („er ging fort</w:t>
      </w:r>
      <w:r>
        <w:t>").</w:t>
      </w:r>
    </w:p>
    <w:p w:rsidR="00BB7EDA" w:rsidRDefault="007D72B3">
      <w:pPr>
        <w:pStyle w:val="Heading50"/>
        <w:keepNext/>
        <w:keepLines/>
        <w:numPr>
          <w:ilvl w:val="2"/>
          <w:numId w:val="168"/>
        </w:numPr>
        <w:shd w:val="clear" w:color="auto" w:fill="auto"/>
        <w:tabs>
          <w:tab w:val="left" w:pos="500"/>
        </w:tabs>
        <w:spacing w:after="163" w:line="180" w:lineRule="exact"/>
      </w:pPr>
      <w:bookmarkStart w:id="116" w:name="bookmark115"/>
      <w:r>
        <w:t>Englisch</w:t>
      </w:r>
      <w:bookmarkEnd w:id="116"/>
    </w:p>
    <w:p w:rsidR="00BB7EDA" w:rsidRDefault="007D72B3">
      <w:pPr>
        <w:pStyle w:val="Bodytext20"/>
        <w:shd w:val="clear" w:color="auto" w:fill="auto"/>
        <w:spacing w:before="0" w:line="226" w:lineRule="exact"/>
      </w:pPr>
      <w:r>
        <w:t>Der Zerfall der Flexionsmorphologie schritt nicht in allen Sprachen gleich rasch voran, wie wir bereits festgestellt haben. Es gab z.T. riesige Unterschiede. Im Englischen ging der Zerfall im Vergleich zum Deutschen ziemlich rasant vor sich. D</w:t>
      </w:r>
      <w:r>
        <w:t>as Altenglische zur Zeit der ältesten erhaltenen schriftlichen Quellen (7./8. Jh. n. Chr.) war eine Sprache, die noch einiges an Flexionen besaß.</w:t>
      </w:r>
      <w:r>
        <w:rPr>
          <w:vertAlign w:val="superscript"/>
        </w:rPr>
        <w:footnoteReference w:id="360"/>
      </w:r>
      <w:r>
        <w:rPr>
          <w:vertAlign w:val="superscript"/>
        </w:rPr>
        <w:t xml:space="preserve"> </w:t>
      </w:r>
      <w:r>
        <w:rPr>
          <w:vertAlign w:val="superscript"/>
        </w:rPr>
        <w:footnoteReference w:id="361"/>
      </w:r>
      <w:r>
        <w:rPr>
          <w:vertAlign w:val="superscript"/>
        </w:rPr>
        <w:t xml:space="preserve"> </w:t>
      </w:r>
      <w:r>
        <w:rPr>
          <w:vertAlign w:val="superscript"/>
        </w:rPr>
        <w:footnoteReference w:id="362"/>
      </w:r>
      <w:r>
        <w:t xml:space="preserve"> Im modernen Englisch ist davon jedoch das meiste weggefallen. Der Zerfall verlief</w:t>
      </w:r>
      <w:r>
        <w:br w:type="page"/>
        <w:t>in verschiedenen andere</w:t>
      </w:r>
      <w:r>
        <w:t>n germanischen Sprachen während der gleichen Zeit merklich langsamer.</w:t>
      </w:r>
    </w:p>
    <w:p w:rsidR="00BB7EDA" w:rsidRDefault="007D72B3">
      <w:pPr>
        <w:pStyle w:val="Bodytext20"/>
        <w:shd w:val="clear" w:color="auto" w:fill="auto"/>
        <w:spacing w:before="0" w:line="226" w:lineRule="exact"/>
        <w:ind w:firstLine="320"/>
      </w:pPr>
      <w:r>
        <w:t>Betrachten wir z.B. den Verlust der Kasusendungen im Engli</w:t>
      </w:r>
      <w:r>
        <w:softHyphen/>
        <w:t>schen anhand des Wortes „Stein":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1666"/>
        <w:gridCol w:w="1229"/>
      </w:tblGrid>
      <w:tr w:rsidR="00BB7EDA">
        <w:tblPrEx>
          <w:tblCellMar>
            <w:top w:w="0" w:type="dxa"/>
            <w:bottom w:w="0" w:type="dxa"/>
          </w:tblCellMar>
        </w:tblPrEx>
        <w:trPr>
          <w:trHeight w:hRule="exact" w:val="283"/>
          <w:jc w:val="center"/>
        </w:trPr>
        <w:tc>
          <w:tcPr>
            <w:tcW w:w="93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jc w:val="left"/>
            </w:pPr>
            <w:r>
              <w:t>Singular</w:t>
            </w:r>
          </w:p>
        </w:tc>
        <w:tc>
          <w:tcPr>
            <w:tcW w:w="166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40"/>
              <w:jc w:val="left"/>
            </w:pPr>
            <w:r>
              <w:t>mod. Englisch</w:t>
            </w:r>
          </w:p>
        </w:tc>
        <w:tc>
          <w:tcPr>
            <w:tcW w:w="1229"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60"/>
              <w:jc w:val="left"/>
            </w:pPr>
            <w:r>
              <w:t>Altenglisch</w:t>
            </w:r>
          </w:p>
        </w:tc>
      </w:tr>
      <w:tr w:rsidR="00BB7EDA">
        <w:tblPrEx>
          <w:tblCellMar>
            <w:top w:w="0" w:type="dxa"/>
            <w:bottom w:w="0" w:type="dxa"/>
          </w:tblCellMar>
        </w:tblPrEx>
        <w:trPr>
          <w:trHeight w:hRule="exact" w:val="250"/>
          <w:jc w:val="center"/>
        </w:trPr>
        <w:tc>
          <w:tcPr>
            <w:tcW w:w="93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jc w:val="left"/>
            </w:pPr>
            <w:r>
              <w:t>Nom.</w:t>
            </w:r>
          </w:p>
        </w:tc>
        <w:tc>
          <w:tcPr>
            <w:tcW w:w="166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w:t>
            </w:r>
          </w:p>
        </w:tc>
        <w:tc>
          <w:tcPr>
            <w:tcW w:w="1229"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w:t>
            </w:r>
          </w:p>
        </w:tc>
      </w:tr>
      <w:tr w:rsidR="00BB7EDA">
        <w:tblPrEx>
          <w:tblCellMar>
            <w:top w:w="0" w:type="dxa"/>
            <w:bottom w:w="0" w:type="dxa"/>
          </w:tblCellMar>
        </w:tblPrEx>
        <w:trPr>
          <w:trHeight w:hRule="exact" w:val="235"/>
          <w:jc w:val="center"/>
        </w:trPr>
        <w:tc>
          <w:tcPr>
            <w:tcW w:w="93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jc w:val="left"/>
            </w:pPr>
            <w:r>
              <w:t>Gen.</w:t>
            </w:r>
          </w:p>
        </w:tc>
        <w:tc>
          <w:tcPr>
            <w:tcW w:w="166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w:t>
            </w:r>
          </w:p>
        </w:tc>
        <w:tc>
          <w:tcPr>
            <w:tcW w:w="1229"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stanes</w:t>
            </w:r>
          </w:p>
        </w:tc>
      </w:tr>
      <w:tr w:rsidR="00BB7EDA">
        <w:tblPrEx>
          <w:tblCellMar>
            <w:top w:w="0" w:type="dxa"/>
            <w:bottom w:w="0" w:type="dxa"/>
          </w:tblCellMar>
        </w:tblPrEx>
        <w:trPr>
          <w:trHeight w:hRule="exact" w:val="226"/>
          <w:jc w:val="center"/>
        </w:trPr>
        <w:tc>
          <w:tcPr>
            <w:tcW w:w="93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jc w:val="left"/>
            </w:pPr>
            <w:r>
              <w:t>Dat.</w:t>
            </w:r>
          </w:p>
        </w:tc>
        <w:tc>
          <w:tcPr>
            <w:tcW w:w="166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w:t>
            </w:r>
          </w:p>
        </w:tc>
        <w:tc>
          <w:tcPr>
            <w:tcW w:w="1229"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stane</w:t>
            </w:r>
          </w:p>
        </w:tc>
      </w:tr>
      <w:tr w:rsidR="00BB7EDA">
        <w:tblPrEx>
          <w:tblCellMar>
            <w:top w:w="0" w:type="dxa"/>
            <w:bottom w:w="0" w:type="dxa"/>
          </w:tblCellMar>
        </w:tblPrEx>
        <w:trPr>
          <w:trHeight w:hRule="exact" w:val="307"/>
          <w:jc w:val="center"/>
        </w:trPr>
        <w:tc>
          <w:tcPr>
            <w:tcW w:w="93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jc w:val="left"/>
            </w:pPr>
            <w:r>
              <w:t>Akk.</w:t>
            </w:r>
          </w:p>
        </w:tc>
        <w:tc>
          <w:tcPr>
            <w:tcW w:w="166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w:t>
            </w:r>
          </w:p>
        </w:tc>
        <w:tc>
          <w:tcPr>
            <w:tcW w:w="1229"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w:t>
            </w:r>
          </w:p>
        </w:tc>
      </w:tr>
      <w:tr w:rsidR="00BB7EDA">
        <w:tblPrEx>
          <w:tblCellMar>
            <w:top w:w="0" w:type="dxa"/>
            <w:bottom w:w="0" w:type="dxa"/>
          </w:tblCellMar>
        </w:tblPrEx>
        <w:trPr>
          <w:trHeight w:hRule="exact" w:val="384"/>
          <w:jc w:val="center"/>
        </w:trPr>
        <w:tc>
          <w:tcPr>
            <w:tcW w:w="93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jc w:val="left"/>
            </w:pPr>
            <w:r>
              <w:t>Plural</w:t>
            </w:r>
          </w:p>
        </w:tc>
        <w:tc>
          <w:tcPr>
            <w:tcW w:w="166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40"/>
              <w:jc w:val="left"/>
            </w:pPr>
            <w:r>
              <w:t>Mod. Englisch</w:t>
            </w:r>
          </w:p>
        </w:tc>
        <w:tc>
          <w:tcPr>
            <w:tcW w:w="1229"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60"/>
              <w:jc w:val="left"/>
            </w:pPr>
            <w:r>
              <w:t>Altenglisch</w:t>
            </w:r>
          </w:p>
        </w:tc>
      </w:tr>
      <w:tr w:rsidR="00BB7EDA">
        <w:tblPrEx>
          <w:tblCellMar>
            <w:top w:w="0" w:type="dxa"/>
            <w:bottom w:w="0" w:type="dxa"/>
          </w:tblCellMar>
        </w:tblPrEx>
        <w:trPr>
          <w:trHeight w:hRule="exact" w:val="250"/>
          <w:jc w:val="center"/>
        </w:trPr>
        <w:tc>
          <w:tcPr>
            <w:tcW w:w="93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jc w:val="left"/>
            </w:pPr>
            <w:r>
              <w:t>Nom.</w:t>
            </w:r>
          </w:p>
        </w:tc>
        <w:tc>
          <w:tcPr>
            <w:tcW w:w="166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stones</w:t>
            </w:r>
          </w:p>
        </w:tc>
        <w:tc>
          <w:tcPr>
            <w:tcW w:w="1229"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stanas</w:t>
            </w:r>
          </w:p>
        </w:tc>
      </w:tr>
      <w:tr w:rsidR="00BB7EDA">
        <w:tblPrEx>
          <w:tblCellMar>
            <w:top w:w="0" w:type="dxa"/>
            <w:bottom w:w="0" w:type="dxa"/>
          </w:tblCellMar>
        </w:tblPrEx>
        <w:trPr>
          <w:trHeight w:hRule="exact" w:val="230"/>
          <w:jc w:val="center"/>
        </w:trPr>
        <w:tc>
          <w:tcPr>
            <w:tcW w:w="93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jc w:val="left"/>
            </w:pPr>
            <w:r>
              <w:t>Gen.</w:t>
            </w:r>
          </w:p>
        </w:tc>
        <w:tc>
          <w:tcPr>
            <w:tcW w:w="166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stones</w:t>
            </w:r>
          </w:p>
        </w:tc>
        <w:tc>
          <w:tcPr>
            <w:tcW w:w="1229"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stana</w:t>
            </w:r>
          </w:p>
        </w:tc>
      </w:tr>
      <w:tr w:rsidR="00BB7EDA">
        <w:tblPrEx>
          <w:tblCellMar>
            <w:top w:w="0" w:type="dxa"/>
            <w:bottom w:w="0" w:type="dxa"/>
          </w:tblCellMar>
        </w:tblPrEx>
        <w:trPr>
          <w:trHeight w:hRule="exact" w:val="230"/>
          <w:jc w:val="center"/>
        </w:trPr>
        <w:tc>
          <w:tcPr>
            <w:tcW w:w="93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jc w:val="left"/>
            </w:pPr>
            <w:r>
              <w:t>Dat.</w:t>
            </w:r>
          </w:p>
        </w:tc>
        <w:tc>
          <w:tcPr>
            <w:tcW w:w="1666"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stones</w:t>
            </w:r>
          </w:p>
        </w:tc>
        <w:tc>
          <w:tcPr>
            <w:tcW w:w="1229" w:type="dxa"/>
            <w:shd w:val="clear" w:color="auto" w:fill="FFFFFF"/>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stanum</w:t>
            </w:r>
          </w:p>
        </w:tc>
      </w:tr>
      <w:tr w:rsidR="00BB7EDA">
        <w:tblPrEx>
          <w:tblCellMar>
            <w:top w:w="0" w:type="dxa"/>
            <w:bottom w:w="0" w:type="dxa"/>
          </w:tblCellMar>
        </w:tblPrEx>
        <w:trPr>
          <w:trHeight w:hRule="exact" w:val="202"/>
          <w:jc w:val="center"/>
        </w:trPr>
        <w:tc>
          <w:tcPr>
            <w:tcW w:w="93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jc w:val="left"/>
            </w:pPr>
            <w:r>
              <w:t>Akk.</w:t>
            </w:r>
          </w:p>
        </w:tc>
        <w:tc>
          <w:tcPr>
            <w:tcW w:w="1666"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40"/>
              <w:jc w:val="left"/>
            </w:pPr>
            <w:r>
              <w:t>stones</w:t>
            </w:r>
          </w:p>
        </w:tc>
        <w:tc>
          <w:tcPr>
            <w:tcW w:w="1229" w:type="dxa"/>
            <w:shd w:val="clear" w:color="auto" w:fill="FFFFFF"/>
            <w:vAlign w:val="bottom"/>
          </w:tcPr>
          <w:p w:rsidR="00BB7EDA" w:rsidRDefault="007D72B3">
            <w:pPr>
              <w:pStyle w:val="Bodytext20"/>
              <w:framePr w:w="3830" w:hSpace="566" w:wrap="notBeside" w:vAnchor="text" w:hAnchor="text" w:xAlign="center" w:y="1"/>
              <w:shd w:val="clear" w:color="auto" w:fill="auto"/>
              <w:spacing w:before="0" w:line="180" w:lineRule="exact"/>
              <w:ind w:left="260"/>
              <w:jc w:val="left"/>
            </w:pPr>
            <w:r>
              <w:t>stanas</w:t>
            </w:r>
          </w:p>
        </w:tc>
      </w:tr>
    </w:tbl>
    <w:p w:rsidR="00BB7EDA" w:rsidRDefault="00BB7EDA">
      <w:pPr>
        <w:framePr w:w="3830" w:hSpace="566" w:wrap="notBeside" w:vAnchor="text" w:hAnchor="text" w:xAlign="center" w:y="1"/>
        <w:rPr>
          <w:sz w:val="2"/>
          <w:szCs w:val="2"/>
        </w:rPr>
      </w:pPr>
    </w:p>
    <w:p w:rsidR="00BB7EDA" w:rsidRDefault="00BB7EDA">
      <w:pPr>
        <w:rPr>
          <w:sz w:val="2"/>
          <w:szCs w:val="2"/>
        </w:rPr>
      </w:pPr>
    </w:p>
    <w:p w:rsidR="00BB7EDA" w:rsidRPr="007D72B3" w:rsidRDefault="007D72B3">
      <w:pPr>
        <w:pStyle w:val="Bodytext20"/>
        <w:shd w:val="clear" w:color="auto" w:fill="auto"/>
        <w:spacing w:before="139" w:after="217" w:line="226" w:lineRule="exact"/>
        <w:ind w:firstLine="320"/>
        <w:rPr>
          <w:lang w:val="en-US"/>
        </w:rPr>
      </w:pPr>
      <w:r>
        <w:t>Im Bereich des Verbalsystems ist z.B. der Verlust praktisch aller Personalendungen sehr auffällig. Das Verbum besitzt im modern</w:t>
      </w:r>
      <w:r>
        <w:softHyphen/>
      </w:r>
      <w:r>
        <w:t xml:space="preserve">englischen Präsens nur zwei verschiedene Formen. So lautet z.B. das Verb </w:t>
      </w:r>
      <w:r>
        <w:rPr>
          <w:rStyle w:val="Bodytext2Italic0"/>
        </w:rPr>
        <w:t>to help</w:t>
      </w:r>
      <w:r>
        <w:t xml:space="preserve"> („helfen") für alle Personen, mit Ausnahme der 3. </w:t>
      </w:r>
      <w:r w:rsidRPr="007D72B3">
        <w:rPr>
          <w:lang w:val="en-US"/>
        </w:rPr>
        <w:t>Person, Singular, genau gleich:</w:t>
      </w:r>
    </w:p>
    <w:p w:rsidR="00BB7EDA" w:rsidRPr="007D72B3" w:rsidRDefault="007D72B3">
      <w:pPr>
        <w:pStyle w:val="Bodytext20"/>
        <w:shd w:val="clear" w:color="auto" w:fill="auto"/>
        <w:spacing w:before="0" w:after="139" w:line="180" w:lineRule="exact"/>
        <w:ind w:left="600"/>
        <w:rPr>
          <w:lang w:val="en-US"/>
        </w:rPr>
      </w:pPr>
      <w:r w:rsidRPr="007D72B3">
        <w:rPr>
          <w:lang w:val="en-US"/>
        </w:rPr>
        <w:t>Mod. Englisch</w:t>
      </w:r>
    </w:p>
    <w:p w:rsidR="00BB7EDA" w:rsidRPr="007D72B3" w:rsidRDefault="007D72B3">
      <w:pPr>
        <w:pStyle w:val="Bodytext20"/>
        <w:shd w:val="clear" w:color="auto" w:fill="auto"/>
        <w:tabs>
          <w:tab w:val="left" w:pos="1709"/>
        </w:tabs>
        <w:spacing w:before="0" w:after="94" w:line="180" w:lineRule="exact"/>
        <w:ind w:left="600"/>
        <w:rPr>
          <w:lang w:val="en-US"/>
        </w:rPr>
      </w:pPr>
      <w:r w:rsidRPr="007D72B3">
        <w:rPr>
          <w:lang w:val="en-US"/>
        </w:rPr>
        <w:t>Singular</w:t>
      </w:r>
      <w:r w:rsidRPr="007D72B3">
        <w:rPr>
          <w:lang w:val="en-US"/>
        </w:rPr>
        <w:tab/>
        <w:t>Plural</w:t>
      </w:r>
    </w:p>
    <w:p w:rsidR="00BB7EDA" w:rsidRPr="007D72B3" w:rsidRDefault="007D72B3">
      <w:pPr>
        <w:pStyle w:val="Bodytext20"/>
        <w:shd w:val="clear" w:color="auto" w:fill="auto"/>
        <w:tabs>
          <w:tab w:val="left" w:pos="1709"/>
        </w:tabs>
        <w:spacing w:before="0"/>
        <w:ind w:left="600"/>
        <w:rPr>
          <w:lang w:val="en-US"/>
        </w:rPr>
      </w:pPr>
      <w:r w:rsidRPr="007D72B3">
        <w:rPr>
          <w:lang w:val="en-US"/>
        </w:rPr>
        <w:t>I help</w:t>
      </w:r>
      <w:r w:rsidRPr="007D72B3">
        <w:rPr>
          <w:lang w:val="en-US"/>
        </w:rPr>
        <w:tab/>
        <w:t>we help</w:t>
      </w:r>
    </w:p>
    <w:p w:rsidR="00BB7EDA" w:rsidRPr="007D72B3" w:rsidRDefault="007D72B3">
      <w:pPr>
        <w:pStyle w:val="Bodytext20"/>
        <w:shd w:val="clear" w:color="auto" w:fill="auto"/>
        <w:tabs>
          <w:tab w:val="left" w:pos="1709"/>
        </w:tabs>
        <w:spacing w:before="0"/>
        <w:ind w:left="600"/>
        <w:rPr>
          <w:lang w:val="en-US"/>
        </w:rPr>
      </w:pPr>
      <w:r w:rsidRPr="007D72B3">
        <w:rPr>
          <w:lang w:val="en-US"/>
        </w:rPr>
        <w:t>you help</w:t>
      </w:r>
      <w:r w:rsidRPr="007D72B3">
        <w:rPr>
          <w:lang w:val="en-US"/>
        </w:rPr>
        <w:tab/>
        <w:t>you help</w:t>
      </w:r>
    </w:p>
    <w:p w:rsidR="00BB7EDA" w:rsidRPr="007D72B3" w:rsidRDefault="007D72B3">
      <w:pPr>
        <w:pStyle w:val="Bodytext20"/>
        <w:shd w:val="clear" w:color="auto" w:fill="auto"/>
        <w:tabs>
          <w:tab w:val="left" w:pos="1709"/>
        </w:tabs>
        <w:spacing w:before="0" w:after="220"/>
        <w:ind w:left="600"/>
        <w:rPr>
          <w:lang w:val="en-US"/>
        </w:rPr>
      </w:pPr>
      <w:r w:rsidRPr="007D72B3">
        <w:rPr>
          <w:lang w:val="en-US"/>
        </w:rPr>
        <w:t>he helps</w:t>
      </w:r>
      <w:r w:rsidRPr="007D72B3">
        <w:rPr>
          <w:lang w:val="en-US"/>
        </w:rPr>
        <w:tab/>
        <w:t>they help</w:t>
      </w:r>
    </w:p>
    <w:p w:rsidR="00BB7EDA" w:rsidRDefault="007D72B3">
      <w:pPr>
        <w:pStyle w:val="Bodytext20"/>
        <w:shd w:val="clear" w:color="auto" w:fill="auto"/>
        <w:spacing w:before="0" w:after="134" w:line="180" w:lineRule="exact"/>
        <w:ind w:firstLine="320"/>
      </w:pPr>
      <w:r>
        <w:t xml:space="preserve">Im </w:t>
      </w:r>
      <w:r>
        <w:t>Altenglischen wurde das Verb reichhaltiger flektiert:</w:t>
      </w:r>
    </w:p>
    <w:p w:rsidR="00BB7EDA" w:rsidRDefault="007D72B3">
      <w:pPr>
        <w:pStyle w:val="Bodytext20"/>
        <w:shd w:val="clear" w:color="auto" w:fill="auto"/>
        <w:spacing w:before="0" w:line="180" w:lineRule="exact"/>
        <w:ind w:left="600"/>
        <w:sectPr w:rsidR="00BB7EDA">
          <w:pgSz w:w="7266" w:h="11422"/>
          <w:pgMar w:top="767" w:right="672" w:bottom="1089" w:left="926" w:header="0" w:footer="3" w:gutter="0"/>
          <w:cols w:space="720"/>
          <w:noEndnote/>
          <w:docGrid w:linePitch="360"/>
        </w:sectPr>
      </w:pPr>
      <w:r>
        <w:pict>
          <v:shape id="_x0000_s1174" type="#_x0000_t202" style="position:absolute;left:0;text-align:left;margin-left:26.9pt;margin-top:16.8pt;width:43.2pt;height:51.15pt;z-index:-125829344;mso-wrap-distance-left:28.55pt;mso-wrap-distance-right:211.2pt;mso-position-horizontal-relative:margin" filled="f" stroked="f">
            <v:textbox style="mso-fit-shape-to-text:t" inset="0,0,0,0">
              <w:txbxContent>
                <w:p w:rsidR="00BB7EDA" w:rsidRPr="007D72B3" w:rsidRDefault="007D72B3">
                  <w:pPr>
                    <w:pStyle w:val="Bodytext20"/>
                    <w:shd w:val="clear" w:color="auto" w:fill="auto"/>
                    <w:spacing w:before="0" w:after="38" w:line="180" w:lineRule="exact"/>
                    <w:jc w:val="left"/>
                    <w:rPr>
                      <w:lang w:val="en-US"/>
                    </w:rPr>
                  </w:pPr>
                  <w:r w:rsidRPr="007D72B3">
                    <w:rPr>
                      <w:rStyle w:val="Bodytext2Exact"/>
                      <w:lang w:val="en-US"/>
                    </w:rPr>
                    <w:t>Singular</w:t>
                  </w:r>
                </w:p>
                <w:p w:rsidR="00BB7EDA" w:rsidRPr="007D72B3" w:rsidRDefault="007D72B3">
                  <w:pPr>
                    <w:pStyle w:val="Bodytext20"/>
                    <w:shd w:val="clear" w:color="auto" w:fill="auto"/>
                    <w:spacing w:before="0" w:line="226" w:lineRule="exact"/>
                    <w:jc w:val="left"/>
                    <w:rPr>
                      <w:lang w:val="en-US"/>
                    </w:rPr>
                  </w:pPr>
                  <w:r w:rsidRPr="007D72B3">
                    <w:rPr>
                      <w:rStyle w:val="Bodytext2Exact"/>
                      <w:lang w:val="en-US"/>
                    </w:rPr>
                    <w:t>ic helpe thu hilpst he hilpth</w:t>
                  </w:r>
                </w:p>
              </w:txbxContent>
            </v:textbox>
            <w10:wrap type="topAndBottom" anchorx="margin"/>
          </v:shape>
        </w:pict>
      </w:r>
      <w:r>
        <w:pict>
          <v:shape id="_x0000_s1175" type="#_x0000_t202" style="position:absolute;left:0;text-align:left;margin-left:84pt;margin-top:16.8pt;width:48.95pt;height:51.15pt;z-index:-125829343;mso-wrap-distance-left:85.7pt;mso-wrap-distance-right:148.3pt;mso-position-horizontal-relative:margin" filled="f" stroked="f">
            <v:textbox style="mso-fit-shape-to-text:t" inset="0,0,0,0">
              <w:txbxContent>
                <w:p w:rsidR="00BB7EDA" w:rsidRPr="007D72B3" w:rsidRDefault="007D72B3">
                  <w:pPr>
                    <w:pStyle w:val="Bodytext20"/>
                    <w:shd w:val="clear" w:color="auto" w:fill="auto"/>
                    <w:spacing w:before="0" w:after="38" w:line="180" w:lineRule="exact"/>
                    <w:rPr>
                      <w:lang w:val="en-US"/>
                    </w:rPr>
                  </w:pPr>
                  <w:r w:rsidRPr="007D72B3">
                    <w:rPr>
                      <w:rStyle w:val="Bodytext2Exact"/>
                      <w:lang w:val="en-US"/>
                    </w:rPr>
                    <w:t>Plural</w:t>
                  </w:r>
                </w:p>
                <w:p w:rsidR="00BB7EDA" w:rsidRPr="007D72B3" w:rsidRDefault="007D72B3">
                  <w:pPr>
                    <w:pStyle w:val="Bodytext20"/>
                    <w:shd w:val="clear" w:color="auto" w:fill="auto"/>
                    <w:spacing w:before="0" w:line="226" w:lineRule="exact"/>
                    <w:rPr>
                      <w:lang w:val="en-US"/>
                    </w:rPr>
                  </w:pPr>
                  <w:r w:rsidRPr="007D72B3">
                    <w:rPr>
                      <w:rStyle w:val="Bodytext2Exact"/>
                      <w:lang w:val="en-US"/>
                    </w:rPr>
                    <w:t>we helpath ge helpath hie helpath</w:t>
                  </w:r>
                </w:p>
              </w:txbxContent>
            </v:textbox>
            <w10:wrap type="topAndBottom" anchorx="margin"/>
          </v:shape>
        </w:pict>
      </w:r>
      <w:r>
        <w:t>Altenglisch</w:t>
      </w:r>
    </w:p>
    <w:p w:rsidR="00BB7EDA" w:rsidRDefault="00BB7EDA">
      <w:pPr>
        <w:spacing w:line="154" w:lineRule="exact"/>
        <w:rPr>
          <w:sz w:val="12"/>
          <w:szCs w:val="12"/>
        </w:rPr>
      </w:pPr>
    </w:p>
    <w:p w:rsidR="00BB7EDA" w:rsidRDefault="00BB7EDA">
      <w:pPr>
        <w:rPr>
          <w:sz w:val="2"/>
          <w:szCs w:val="2"/>
        </w:rPr>
        <w:sectPr w:rsidR="00BB7EDA">
          <w:type w:val="continuous"/>
          <w:pgSz w:w="7266" w:h="11422"/>
          <w:pgMar w:top="801" w:right="0" w:bottom="1124" w:left="0" w:header="0" w:footer="3" w:gutter="0"/>
          <w:cols w:space="720"/>
          <w:noEndnote/>
          <w:docGrid w:linePitch="360"/>
        </w:sectPr>
      </w:pPr>
    </w:p>
    <w:p w:rsidR="00BB7EDA" w:rsidRDefault="007D72B3">
      <w:pPr>
        <w:pStyle w:val="Bodytext20"/>
        <w:shd w:val="clear" w:color="auto" w:fill="auto"/>
        <w:spacing w:before="0" w:line="226" w:lineRule="exact"/>
        <w:ind w:firstLine="320"/>
      </w:pPr>
      <w:r>
        <w:t xml:space="preserve">Im Präteritum lauten im modernen Englisch alle Verbformen </w:t>
      </w:r>
      <w:r>
        <w:t>exakt gleich, während das Altenglische wiederum mehrere ver</w:t>
      </w:r>
      <w:r>
        <w:softHyphen/>
        <w:t>schiedene Formen kannte.</w:t>
      </w:r>
      <w:r>
        <w:br w:type="page"/>
      </w:r>
    </w:p>
    <w:p w:rsidR="00BB7EDA" w:rsidRDefault="007D72B3">
      <w:pPr>
        <w:pStyle w:val="Bodytext20"/>
        <w:shd w:val="clear" w:color="auto" w:fill="auto"/>
        <w:spacing w:before="0"/>
        <w:ind w:firstLine="320"/>
      </w:pPr>
      <w:r>
        <w:t>Erwähnenswert ist des Weiteren, dass das Altenglische noch weitere synthetische Formen besaß, die aber im modernen Englisch völlig ausgestorben sind.</w:t>
      </w:r>
    </w:p>
    <w:p w:rsidR="00BB7EDA" w:rsidRDefault="007D72B3">
      <w:pPr>
        <w:pStyle w:val="Bodytext20"/>
        <w:shd w:val="clear" w:color="auto" w:fill="auto"/>
        <w:spacing w:before="0"/>
        <w:ind w:firstLine="320"/>
      </w:pPr>
      <w:r>
        <w:t>Während das Altengli</w:t>
      </w:r>
      <w:r>
        <w:t>sche noch deutlich eine flektierende Spra</w:t>
      </w:r>
      <w:r>
        <w:softHyphen/>
        <w:t>che war, hat sich das moderne Englisch immer mehr durch Flexions</w:t>
      </w:r>
      <w:r>
        <w:softHyphen/>
        <w:t>zerfall dem Typus der isolierenden Sprachen angenähert. Hierin liegt auch der Grund für den überaus hohen Prozentsatz an einsilbi</w:t>
      </w:r>
      <w:r>
        <w:softHyphen/>
        <w:t>gen Wörtern im heut</w:t>
      </w:r>
      <w:r>
        <w:t>igen Englischen.</w:t>
      </w:r>
    </w:p>
    <w:p w:rsidR="00BB7EDA" w:rsidRDefault="007D72B3">
      <w:pPr>
        <w:pStyle w:val="Bodytext20"/>
        <w:shd w:val="clear" w:color="auto" w:fill="auto"/>
        <w:spacing w:before="0" w:after="180"/>
        <w:ind w:firstLine="320"/>
      </w:pPr>
      <w:r>
        <w:t>Im englischen Bibeltext von Joh 1,1-10 sind ca. 90% der Wörter einsilbig. Damit man eine Vergleichsgrundlage hat, sei nachfolgend der prozentuale Anteil an einsilbigen Wörtern in derselben Textstel</w:t>
      </w:r>
      <w:r>
        <w:softHyphen/>
        <w:t>le für einige andere Sprachen angegeben:</w:t>
      </w:r>
      <w:r>
        <w:rPr>
          <w:vertAlign w:val="superscript"/>
        </w:rPr>
        <w:footnoteReference w:id="363"/>
      </w:r>
    </w:p>
    <w:p w:rsidR="00BB7EDA" w:rsidRDefault="007D72B3">
      <w:pPr>
        <w:pStyle w:val="Bodytext20"/>
        <w:shd w:val="clear" w:color="auto" w:fill="auto"/>
        <w:tabs>
          <w:tab w:val="left" w:pos="1070"/>
        </w:tabs>
        <w:spacing w:before="0"/>
      </w:pPr>
      <w:r>
        <w:t>Englisch</w:t>
      </w:r>
      <w:r>
        <w:tab/>
        <w:t>90%</w:t>
      </w:r>
    </w:p>
    <w:p w:rsidR="00BB7EDA" w:rsidRDefault="007D72B3">
      <w:pPr>
        <w:pStyle w:val="Bodytext20"/>
        <w:shd w:val="clear" w:color="auto" w:fill="auto"/>
        <w:tabs>
          <w:tab w:val="left" w:pos="1070"/>
        </w:tabs>
        <w:spacing w:before="0"/>
      </w:pPr>
      <w:r>
        <w:t>Isländisch</w:t>
      </w:r>
      <w:r>
        <w:tab/>
        <w:t>73%</w:t>
      </w:r>
    </w:p>
    <w:p w:rsidR="00BB7EDA" w:rsidRDefault="007D72B3">
      <w:pPr>
        <w:pStyle w:val="Bodytext20"/>
        <w:shd w:val="clear" w:color="auto" w:fill="auto"/>
        <w:tabs>
          <w:tab w:val="left" w:pos="1070"/>
        </w:tabs>
        <w:spacing w:before="0"/>
      </w:pPr>
      <w:r>
        <w:t>Deutsch</w:t>
      </w:r>
      <w:r>
        <w:tab/>
        <w:t>74%</w:t>
      </w:r>
    </w:p>
    <w:p w:rsidR="00BB7EDA" w:rsidRDefault="007D72B3">
      <w:pPr>
        <w:pStyle w:val="Bodytext20"/>
        <w:shd w:val="clear" w:color="auto" w:fill="auto"/>
        <w:tabs>
          <w:tab w:val="left" w:pos="1114"/>
        </w:tabs>
        <w:spacing w:before="0"/>
      </w:pPr>
      <w:r>
        <w:t>Französisch</w:t>
      </w:r>
      <w:r>
        <w:tab/>
        <w:t>64,5%</w:t>
      </w:r>
    </w:p>
    <w:p w:rsidR="00BB7EDA" w:rsidRDefault="007D72B3">
      <w:pPr>
        <w:pStyle w:val="Bodytext20"/>
        <w:shd w:val="clear" w:color="auto" w:fill="auto"/>
        <w:tabs>
          <w:tab w:val="left" w:pos="1070"/>
        </w:tabs>
        <w:spacing w:before="0" w:after="436"/>
      </w:pPr>
      <w:r>
        <w:t>Latein</w:t>
      </w:r>
      <w:r>
        <w:tab/>
        <w:t>28%</w:t>
      </w:r>
    </w:p>
    <w:p w:rsidR="00BB7EDA" w:rsidRDefault="007D72B3">
      <w:pPr>
        <w:pStyle w:val="Heading40"/>
        <w:keepNext/>
        <w:keepLines/>
        <w:numPr>
          <w:ilvl w:val="1"/>
          <w:numId w:val="168"/>
        </w:numPr>
        <w:shd w:val="clear" w:color="auto" w:fill="auto"/>
        <w:tabs>
          <w:tab w:val="left" w:pos="394"/>
        </w:tabs>
        <w:spacing w:after="217" w:line="210" w:lineRule="exact"/>
      </w:pPr>
      <w:bookmarkStart w:id="117" w:name="bookmark116"/>
      <w:r>
        <w:t>Weitere Sprachstämme</w:t>
      </w:r>
      <w:bookmarkEnd w:id="117"/>
    </w:p>
    <w:p w:rsidR="00BB7EDA" w:rsidRDefault="007D72B3">
      <w:pPr>
        <w:pStyle w:val="Bodytext20"/>
        <w:shd w:val="clear" w:color="auto" w:fill="auto"/>
        <w:spacing w:before="0" w:after="457" w:line="226" w:lineRule="exact"/>
      </w:pPr>
      <w:r>
        <w:t>Wir haben uns in diesem Kapitel bislang ausschließlich mit indoger</w:t>
      </w:r>
      <w:r>
        <w:softHyphen/>
        <w:t xml:space="preserve">manischen und hamito-semitischen Sprachen beschäftigt, dies nicht ohne Grund, denn in diesen </w:t>
      </w:r>
      <w:r>
        <w:t>Stämmen finden sich die meisten Spra</w:t>
      </w:r>
      <w:r>
        <w:softHyphen/>
        <w:t>chen, die über lange Zeiträume hinweg auf der Grundlage von schriftlichen Dokumenten erforscht werden können. Glücklicher</w:t>
      </w:r>
      <w:r>
        <w:softHyphen/>
        <w:t>weise gibt es aber auch einige Sprachen aus anderen Sprachstäm- men, die uns für unsere zweite Un</w:t>
      </w:r>
      <w:r>
        <w:t>tersuchung etwas Aufschluss geben können, so z.B. das Chinesische.</w:t>
      </w:r>
      <w:r>
        <w:rPr>
          <w:vertAlign w:val="superscript"/>
        </w:rPr>
        <w:footnoteReference w:id="364"/>
      </w:r>
    </w:p>
    <w:p w:rsidR="00BB7EDA" w:rsidRDefault="007D72B3">
      <w:pPr>
        <w:pStyle w:val="Bodytext90"/>
        <w:numPr>
          <w:ilvl w:val="2"/>
          <w:numId w:val="168"/>
        </w:numPr>
        <w:shd w:val="clear" w:color="auto" w:fill="auto"/>
        <w:tabs>
          <w:tab w:val="left" w:pos="490"/>
        </w:tabs>
        <w:spacing w:after="214" w:line="180" w:lineRule="exact"/>
      </w:pPr>
      <w:r>
        <w:t>Chinesisch</w:t>
      </w:r>
    </w:p>
    <w:p w:rsidR="00BB7EDA" w:rsidRDefault="007D72B3">
      <w:pPr>
        <w:pStyle w:val="Bodytext20"/>
        <w:shd w:val="clear" w:color="auto" w:fill="auto"/>
        <w:spacing w:before="0"/>
      </w:pPr>
      <w:r>
        <w:t>Der Ausdruck „Chinesisch" ist eigentlich ein Sammelbegriff für zahlreiche verschiedene Dialekte, oder vielleicht besser gesagt, ver</w:t>
      </w:r>
      <w:r>
        <w:softHyphen/>
        <w:t>schiedene Sprachen. Sie gehören typologisch z</w:t>
      </w:r>
      <w:r>
        <w:t>u den isolierenden</w:t>
      </w:r>
      <w:r>
        <w:br w:type="page"/>
      </w:r>
    </w:p>
    <w:p w:rsidR="00BB7EDA" w:rsidRDefault="007D72B3">
      <w:pPr>
        <w:pStyle w:val="Bodytext120"/>
        <w:shd w:val="clear" w:color="auto" w:fill="auto"/>
        <w:spacing w:before="0" w:after="0"/>
        <w:jc w:val="left"/>
      </w:pPr>
      <w:r>
        <w:t>Abb. 18 Chinesischer Text, Umgangssprache von Schanghai (Inhalt: Johannes evangelium 3,16; The British and Foreign Bible Society,</w:t>
      </w:r>
    </w:p>
    <w:p w:rsidR="00BB7EDA" w:rsidRDefault="007D72B3">
      <w:pPr>
        <w:pStyle w:val="Bodytext120"/>
        <w:shd w:val="clear" w:color="auto" w:fill="auto"/>
        <w:spacing w:before="0" w:after="393"/>
        <w:ind w:left="320" w:hanging="320"/>
        <w:jc w:val="left"/>
      </w:pPr>
      <w:r>
        <w:pict>
          <v:shape id="_x0000_s1176" type="#_x0000_t202" style="position:absolute;left:0;text-align:left;margin-left:3.65pt;margin-top:-100.55pt;width:149.3pt;height:.05pt;z-index:-125829342;mso-wrap-distance-left:5pt;mso-wrap-distance-right:18.5pt;mso-wrap-distance-bottom:4.4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79"/>
                    <w:gridCol w:w="480"/>
                    <w:gridCol w:w="422"/>
                    <w:gridCol w:w="437"/>
                    <w:gridCol w:w="437"/>
                    <w:gridCol w:w="446"/>
                    <w:gridCol w:w="384"/>
                  </w:tblGrid>
                  <w:tr w:rsidR="00BB7EDA">
                    <w:tblPrEx>
                      <w:tblCellMar>
                        <w:top w:w="0" w:type="dxa"/>
                        <w:bottom w:w="0" w:type="dxa"/>
                      </w:tblCellMar>
                    </w:tblPrEx>
                    <w:trPr>
                      <w:trHeight w:hRule="exact" w:val="326"/>
                      <w:jc w:val="center"/>
                    </w:trPr>
                    <w:tc>
                      <w:tcPr>
                        <w:tcW w:w="379" w:type="dxa"/>
                        <w:shd w:val="clear" w:color="auto" w:fill="FFFFFF"/>
                      </w:tcPr>
                      <w:p w:rsidR="00BB7EDA" w:rsidRDefault="00BB7EDA">
                        <w:pPr>
                          <w:rPr>
                            <w:sz w:val="10"/>
                            <w:szCs w:val="10"/>
                          </w:rPr>
                        </w:pPr>
                      </w:p>
                    </w:tc>
                    <w:tc>
                      <w:tcPr>
                        <w:tcW w:w="480" w:type="dxa"/>
                        <w:shd w:val="clear" w:color="auto" w:fill="FFFFFF"/>
                      </w:tcPr>
                      <w:p w:rsidR="00BB7EDA" w:rsidRDefault="007D72B3">
                        <w:pPr>
                          <w:pStyle w:val="Bodytext20"/>
                          <w:shd w:val="clear" w:color="auto" w:fill="auto"/>
                          <w:spacing w:before="0" w:line="300" w:lineRule="exact"/>
                          <w:jc w:val="left"/>
                        </w:pPr>
                        <w:r>
                          <w:rPr>
                            <w:rStyle w:val="Bodytext215ptBold"/>
                          </w:rPr>
                          <w:t>A.</w:t>
                        </w:r>
                      </w:p>
                    </w:tc>
                    <w:tc>
                      <w:tcPr>
                        <w:tcW w:w="422" w:type="dxa"/>
                        <w:shd w:val="clear" w:color="auto" w:fill="FFFFFF"/>
                      </w:tcPr>
                      <w:p w:rsidR="00BB7EDA" w:rsidRDefault="007D72B3">
                        <w:pPr>
                          <w:pStyle w:val="Bodytext20"/>
                          <w:shd w:val="clear" w:color="auto" w:fill="auto"/>
                          <w:spacing w:before="0" w:line="340" w:lineRule="exact"/>
                          <w:jc w:val="left"/>
                        </w:pPr>
                        <w:r>
                          <w:rPr>
                            <w:rStyle w:val="Bodytext217ptItalicSpacing-1pt"/>
                          </w:rPr>
                          <w:t>Ji</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P</w:t>
                        </w:r>
                      </w:p>
                    </w:tc>
                    <w:tc>
                      <w:tcPr>
                        <w:tcW w:w="437" w:type="dxa"/>
                        <w:shd w:val="clear" w:color="auto" w:fill="FFFFFF"/>
                      </w:tcPr>
                      <w:p w:rsidR="00BB7EDA" w:rsidRDefault="007D72B3">
                        <w:pPr>
                          <w:pStyle w:val="Bodytext20"/>
                          <w:shd w:val="clear" w:color="auto" w:fill="auto"/>
                          <w:spacing w:before="0" w:line="150" w:lineRule="exact"/>
                          <w:jc w:val="left"/>
                        </w:pPr>
                        <w:r>
                          <w:rPr>
                            <w:rStyle w:val="Bodytext275ptItalicSpacing-1pt"/>
                          </w:rPr>
                          <w:t>Jot.</w:t>
                        </w:r>
                      </w:p>
                    </w:tc>
                    <w:tc>
                      <w:tcPr>
                        <w:tcW w:w="446" w:type="dxa"/>
                        <w:shd w:val="clear" w:color="auto" w:fill="FFFFFF"/>
                      </w:tcPr>
                      <w:p w:rsidR="00BB7EDA" w:rsidRDefault="007D72B3">
                        <w:pPr>
                          <w:pStyle w:val="Bodytext20"/>
                          <w:shd w:val="clear" w:color="auto" w:fill="auto"/>
                          <w:spacing w:before="0" w:line="200" w:lineRule="exact"/>
                          <w:jc w:val="left"/>
                        </w:pPr>
                        <w:r>
                          <w:rPr>
                            <w:rStyle w:val="Bodytext210ptItalic0"/>
                          </w:rPr>
                          <w:t>ft</w:t>
                        </w:r>
                      </w:p>
                    </w:tc>
                    <w:tc>
                      <w:tcPr>
                        <w:tcW w:w="384" w:type="dxa"/>
                        <w:shd w:val="clear" w:color="auto" w:fill="FFFFFF"/>
                      </w:tcPr>
                      <w:p w:rsidR="00BB7EDA" w:rsidRDefault="007D72B3">
                        <w:pPr>
                          <w:pStyle w:val="Bodytext20"/>
                          <w:shd w:val="clear" w:color="auto" w:fill="auto"/>
                          <w:spacing w:before="0" w:line="340" w:lineRule="exact"/>
                          <w:jc w:val="left"/>
                        </w:pPr>
                        <w:r>
                          <w:rPr>
                            <w:rStyle w:val="Bodytext217ptItalicSpacing-1pt"/>
                          </w:rPr>
                          <w:t>m</w:t>
                        </w:r>
                      </w:p>
                    </w:tc>
                  </w:tr>
                  <w:tr w:rsidR="00BB7EDA">
                    <w:tblPrEx>
                      <w:tblCellMar>
                        <w:top w:w="0" w:type="dxa"/>
                        <w:bottom w:w="0" w:type="dxa"/>
                      </w:tblCellMar>
                    </w:tblPrEx>
                    <w:trPr>
                      <w:trHeight w:hRule="exact" w:val="341"/>
                      <w:jc w:val="center"/>
                    </w:trPr>
                    <w:tc>
                      <w:tcPr>
                        <w:tcW w:w="379" w:type="dxa"/>
                        <w:shd w:val="clear" w:color="auto" w:fill="FFFFFF"/>
                      </w:tcPr>
                      <w:p w:rsidR="00BB7EDA" w:rsidRDefault="00BB7EDA">
                        <w:pPr>
                          <w:rPr>
                            <w:sz w:val="10"/>
                            <w:szCs w:val="10"/>
                          </w:rPr>
                        </w:pPr>
                      </w:p>
                    </w:tc>
                    <w:tc>
                      <w:tcPr>
                        <w:tcW w:w="480" w:type="dxa"/>
                        <w:shd w:val="clear" w:color="auto" w:fill="FFFFFF"/>
                      </w:tcPr>
                      <w:p w:rsidR="00BB7EDA" w:rsidRDefault="007D72B3">
                        <w:pPr>
                          <w:pStyle w:val="Bodytext20"/>
                          <w:shd w:val="clear" w:color="auto" w:fill="auto"/>
                          <w:spacing w:before="0" w:line="340" w:lineRule="exact"/>
                          <w:jc w:val="left"/>
                        </w:pPr>
                        <w:r>
                          <w:rPr>
                            <w:rStyle w:val="Bodytext217ptItalicSpacing-1pt"/>
                          </w:rPr>
                          <w:t>%</w:t>
                        </w:r>
                      </w:p>
                    </w:tc>
                    <w:tc>
                      <w:tcPr>
                        <w:tcW w:w="422" w:type="dxa"/>
                        <w:shd w:val="clear" w:color="auto" w:fill="FFFFFF"/>
                      </w:tcPr>
                      <w:p w:rsidR="00BB7EDA" w:rsidRDefault="007D72B3">
                        <w:pPr>
                          <w:pStyle w:val="Bodytext20"/>
                          <w:shd w:val="clear" w:color="auto" w:fill="auto"/>
                          <w:spacing w:before="0" w:line="340" w:lineRule="exact"/>
                          <w:jc w:val="left"/>
                        </w:pPr>
                        <w:r>
                          <w:rPr>
                            <w:rStyle w:val="Bodytext217ptItalicSpacing-1pt"/>
                          </w:rPr>
                          <w:t>n</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m</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P</w:t>
                        </w:r>
                      </w:p>
                    </w:tc>
                    <w:tc>
                      <w:tcPr>
                        <w:tcW w:w="446" w:type="dxa"/>
                        <w:shd w:val="clear" w:color="auto" w:fill="FFFFFF"/>
                      </w:tcPr>
                      <w:p w:rsidR="00BB7EDA" w:rsidRDefault="007D72B3">
                        <w:pPr>
                          <w:pStyle w:val="Bodytext20"/>
                          <w:shd w:val="clear" w:color="auto" w:fill="auto"/>
                          <w:spacing w:before="0" w:line="300" w:lineRule="exact"/>
                          <w:jc w:val="left"/>
                        </w:pPr>
                        <w:r>
                          <w:rPr>
                            <w:rStyle w:val="Bodytext215ptBold"/>
                          </w:rPr>
                          <w:t>±</w:t>
                        </w:r>
                      </w:p>
                    </w:tc>
                    <w:tc>
                      <w:tcPr>
                        <w:tcW w:w="384" w:type="dxa"/>
                        <w:shd w:val="clear" w:color="auto" w:fill="FFFFFF"/>
                      </w:tcPr>
                      <w:p w:rsidR="00BB7EDA" w:rsidRDefault="007D72B3">
                        <w:pPr>
                          <w:pStyle w:val="Bodytext20"/>
                          <w:shd w:val="clear" w:color="auto" w:fill="auto"/>
                          <w:spacing w:before="0" w:line="340" w:lineRule="exact"/>
                          <w:jc w:val="left"/>
                        </w:pPr>
                        <w:r>
                          <w:rPr>
                            <w:rStyle w:val="Bodytext217ptItalicSpacing-1pt"/>
                          </w:rPr>
                          <w:t>1%</w:t>
                        </w:r>
                      </w:p>
                    </w:tc>
                  </w:tr>
                  <w:tr w:rsidR="00BB7EDA">
                    <w:tblPrEx>
                      <w:tblCellMar>
                        <w:top w:w="0" w:type="dxa"/>
                        <w:bottom w:w="0" w:type="dxa"/>
                      </w:tblCellMar>
                    </w:tblPrEx>
                    <w:trPr>
                      <w:trHeight w:hRule="exact" w:val="346"/>
                      <w:jc w:val="center"/>
                    </w:trPr>
                    <w:tc>
                      <w:tcPr>
                        <w:tcW w:w="379"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sh</w:t>
                        </w:r>
                      </w:p>
                    </w:tc>
                    <w:tc>
                      <w:tcPr>
                        <w:tcW w:w="480"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m</w:t>
                        </w:r>
                      </w:p>
                    </w:tc>
                    <w:tc>
                      <w:tcPr>
                        <w:tcW w:w="422"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M</w:t>
                        </w:r>
                      </w:p>
                    </w:tc>
                    <w:tc>
                      <w:tcPr>
                        <w:tcW w:w="437"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p</w:t>
                        </w:r>
                      </w:p>
                    </w:tc>
                    <w:tc>
                      <w:tcPr>
                        <w:tcW w:w="437"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P</w:t>
                        </w:r>
                      </w:p>
                    </w:tc>
                    <w:tc>
                      <w:tcPr>
                        <w:tcW w:w="446" w:type="dxa"/>
                        <w:shd w:val="clear" w:color="auto" w:fill="FFFFFF"/>
                        <w:vAlign w:val="bottom"/>
                      </w:tcPr>
                      <w:p w:rsidR="00BB7EDA" w:rsidRDefault="007D72B3">
                        <w:pPr>
                          <w:pStyle w:val="Bodytext20"/>
                          <w:shd w:val="clear" w:color="auto" w:fill="auto"/>
                          <w:spacing w:before="0" w:line="300" w:lineRule="exact"/>
                          <w:jc w:val="left"/>
                        </w:pPr>
                        <w:r>
                          <w:rPr>
                            <w:rStyle w:val="Bodytext215ptBold"/>
                          </w:rPr>
                          <w:t>A.</w:t>
                        </w:r>
                      </w:p>
                    </w:tc>
                    <w:tc>
                      <w:tcPr>
                        <w:tcW w:w="384" w:type="dxa"/>
                        <w:shd w:val="clear" w:color="auto" w:fill="FFFFFF"/>
                      </w:tcPr>
                      <w:p w:rsidR="00BB7EDA" w:rsidRDefault="00BB7EDA">
                        <w:pPr>
                          <w:rPr>
                            <w:sz w:val="10"/>
                            <w:szCs w:val="10"/>
                          </w:rPr>
                        </w:pPr>
                      </w:p>
                    </w:tc>
                  </w:tr>
                  <w:tr w:rsidR="00BB7EDA">
                    <w:tblPrEx>
                      <w:tblCellMar>
                        <w:top w:w="0" w:type="dxa"/>
                        <w:bottom w:w="0" w:type="dxa"/>
                      </w:tblCellMar>
                    </w:tblPrEx>
                    <w:trPr>
                      <w:trHeight w:hRule="exact" w:val="350"/>
                      <w:jc w:val="center"/>
                    </w:trPr>
                    <w:tc>
                      <w:tcPr>
                        <w:tcW w:w="379" w:type="dxa"/>
                        <w:shd w:val="clear" w:color="auto" w:fill="FFFFFF"/>
                      </w:tcPr>
                      <w:p w:rsidR="00BB7EDA" w:rsidRDefault="00BB7EDA">
                        <w:pPr>
                          <w:rPr>
                            <w:sz w:val="10"/>
                            <w:szCs w:val="10"/>
                          </w:rPr>
                        </w:pPr>
                      </w:p>
                    </w:tc>
                    <w:tc>
                      <w:tcPr>
                        <w:tcW w:w="480" w:type="dxa"/>
                        <w:shd w:val="clear" w:color="auto" w:fill="FFFFFF"/>
                      </w:tcPr>
                      <w:p w:rsidR="00BB7EDA" w:rsidRDefault="007D72B3">
                        <w:pPr>
                          <w:pStyle w:val="Bodytext20"/>
                          <w:shd w:val="clear" w:color="auto" w:fill="auto"/>
                          <w:spacing w:before="0" w:line="340" w:lineRule="exact"/>
                          <w:jc w:val="left"/>
                        </w:pPr>
                        <w:r>
                          <w:rPr>
                            <w:rStyle w:val="Bodytext217ptItalicSpacing-1pt"/>
                          </w:rPr>
                          <w:t>Ul</w:t>
                        </w:r>
                      </w:p>
                    </w:tc>
                    <w:tc>
                      <w:tcPr>
                        <w:tcW w:w="422" w:type="dxa"/>
                        <w:shd w:val="clear" w:color="auto" w:fill="FFFFFF"/>
                      </w:tcPr>
                      <w:p w:rsidR="00BB7EDA" w:rsidRDefault="007D72B3">
                        <w:pPr>
                          <w:pStyle w:val="Bodytext20"/>
                          <w:shd w:val="clear" w:color="auto" w:fill="auto"/>
                          <w:spacing w:before="0" w:line="340" w:lineRule="exact"/>
                          <w:jc w:val="left"/>
                        </w:pPr>
                        <w:r>
                          <w:rPr>
                            <w:rStyle w:val="Bodytext217ptItalicSpacing-1pt"/>
                          </w:rPr>
                          <w:t>P,</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u,</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n</w:t>
                        </w:r>
                      </w:p>
                    </w:tc>
                    <w:tc>
                      <w:tcPr>
                        <w:tcW w:w="446" w:type="dxa"/>
                        <w:shd w:val="clear" w:color="auto" w:fill="FFFFFF"/>
                      </w:tcPr>
                      <w:p w:rsidR="00BB7EDA" w:rsidRDefault="00BB7EDA">
                        <w:pPr>
                          <w:rPr>
                            <w:sz w:val="10"/>
                            <w:szCs w:val="10"/>
                          </w:rPr>
                        </w:pPr>
                      </w:p>
                    </w:tc>
                    <w:tc>
                      <w:tcPr>
                        <w:tcW w:w="384" w:type="dxa"/>
                        <w:shd w:val="clear" w:color="auto" w:fill="FFFFFF"/>
                      </w:tcPr>
                      <w:p w:rsidR="00BB7EDA" w:rsidRDefault="007D72B3">
                        <w:pPr>
                          <w:pStyle w:val="Bodytext20"/>
                          <w:shd w:val="clear" w:color="auto" w:fill="auto"/>
                          <w:spacing w:before="0" w:line="300" w:lineRule="exact"/>
                          <w:jc w:val="left"/>
                        </w:pPr>
                        <w:r>
                          <w:rPr>
                            <w:rStyle w:val="Bodytext215ptBold"/>
                          </w:rPr>
                          <w:t>ftp</w:t>
                        </w:r>
                      </w:p>
                    </w:tc>
                  </w:tr>
                  <w:tr w:rsidR="00BB7EDA">
                    <w:tblPrEx>
                      <w:tblCellMar>
                        <w:top w:w="0" w:type="dxa"/>
                        <w:bottom w:w="0" w:type="dxa"/>
                      </w:tblCellMar>
                    </w:tblPrEx>
                    <w:trPr>
                      <w:trHeight w:hRule="exact" w:val="326"/>
                      <w:jc w:val="center"/>
                    </w:trPr>
                    <w:tc>
                      <w:tcPr>
                        <w:tcW w:w="379" w:type="dxa"/>
                        <w:shd w:val="clear" w:color="auto" w:fill="FFFFFF"/>
                      </w:tcPr>
                      <w:p w:rsidR="00BB7EDA" w:rsidRDefault="00BB7EDA">
                        <w:pPr>
                          <w:rPr>
                            <w:sz w:val="10"/>
                            <w:szCs w:val="10"/>
                          </w:rPr>
                        </w:pPr>
                      </w:p>
                    </w:tc>
                    <w:tc>
                      <w:tcPr>
                        <w:tcW w:w="480" w:type="dxa"/>
                        <w:shd w:val="clear" w:color="auto" w:fill="FFFFFF"/>
                      </w:tcPr>
                      <w:p w:rsidR="00BB7EDA" w:rsidRDefault="007D72B3">
                        <w:pPr>
                          <w:pStyle w:val="Bodytext20"/>
                          <w:shd w:val="clear" w:color="auto" w:fill="auto"/>
                          <w:spacing w:before="0" w:line="300" w:lineRule="exact"/>
                          <w:jc w:val="left"/>
                        </w:pPr>
                        <w:r>
                          <w:rPr>
                            <w:rStyle w:val="Bodytext215ptBold"/>
                          </w:rPr>
                          <w:t>tr</w:t>
                        </w:r>
                      </w:p>
                    </w:tc>
                    <w:tc>
                      <w:tcPr>
                        <w:tcW w:w="422" w:type="dxa"/>
                        <w:shd w:val="clear" w:color="auto" w:fill="FFFFFF"/>
                      </w:tcPr>
                      <w:p w:rsidR="00BB7EDA" w:rsidRDefault="007D72B3">
                        <w:pPr>
                          <w:pStyle w:val="Bodytext20"/>
                          <w:shd w:val="clear" w:color="auto" w:fill="auto"/>
                          <w:spacing w:before="0" w:line="340" w:lineRule="exact"/>
                          <w:jc w:val="left"/>
                        </w:pPr>
                        <w:r>
                          <w:rPr>
                            <w:rStyle w:val="Bodytext217ptItalicSpacing-1pt"/>
                          </w:rPr>
                          <w:t>P</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B</w:t>
                        </w:r>
                      </w:p>
                    </w:tc>
                    <w:tc>
                      <w:tcPr>
                        <w:tcW w:w="437" w:type="dxa"/>
                        <w:shd w:val="clear" w:color="auto" w:fill="FFFFFF"/>
                      </w:tcPr>
                      <w:p w:rsidR="00BB7EDA" w:rsidRDefault="007D72B3">
                        <w:pPr>
                          <w:pStyle w:val="Bodytext20"/>
                          <w:shd w:val="clear" w:color="auto" w:fill="auto"/>
                          <w:spacing w:before="0" w:line="340" w:lineRule="exact"/>
                          <w:jc w:val="left"/>
                        </w:pPr>
                        <w:r>
                          <w:rPr>
                            <w:rStyle w:val="Bodytext217ptItalicSpacing-1pt"/>
                          </w:rPr>
                          <w:t>%</w:t>
                        </w:r>
                      </w:p>
                    </w:tc>
                    <w:tc>
                      <w:tcPr>
                        <w:tcW w:w="446" w:type="dxa"/>
                        <w:shd w:val="clear" w:color="auto" w:fill="FFFFFF"/>
                      </w:tcPr>
                      <w:p w:rsidR="00BB7EDA" w:rsidRDefault="007D72B3">
                        <w:pPr>
                          <w:pStyle w:val="Bodytext20"/>
                          <w:shd w:val="clear" w:color="auto" w:fill="auto"/>
                          <w:spacing w:before="0" w:line="340" w:lineRule="exact"/>
                          <w:jc w:val="left"/>
                        </w:pPr>
                        <w:r>
                          <w:rPr>
                            <w:rStyle w:val="Bodytext217ptItalicSpacing-1pt"/>
                          </w:rPr>
                          <w:t>m</w:t>
                        </w:r>
                      </w:p>
                    </w:tc>
                    <w:tc>
                      <w:tcPr>
                        <w:tcW w:w="384" w:type="dxa"/>
                        <w:shd w:val="clear" w:color="auto" w:fill="FFFFFF"/>
                      </w:tcPr>
                      <w:p w:rsidR="00BB7EDA" w:rsidRDefault="00BB7EDA">
                        <w:pPr>
                          <w:rPr>
                            <w:sz w:val="10"/>
                            <w:szCs w:val="10"/>
                          </w:rPr>
                        </w:pPr>
                      </w:p>
                    </w:tc>
                  </w:tr>
                  <w:tr w:rsidR="00BB7EDA">
                    <w:tblPrEx>
                      <w:tblCellMar>
                        <w:top w:w="0" w:type="dxa"/>
                        <w:bottom w:w="0" w:type="dxa"/>
                      </w:tblCellMar>
                    </w:tblPrEx>
                    <w:trPr>
                      <w:trHeight w:hRule="exact" w:val="336"/>
                      <w:jc w:val="center"/>
                    </w:trPr>
                    <w:tc>
                      <w:tcPr>
                        <w:tcW w:w="379" w:type="dxa"/>
                        <w:shd w:val="clear" w:color="auto" w:fill="FFFFFF"/>
                      </w:tcPr>
                      <w:p w:rsidR="00BB7EDA" w:rsidRDefault="00BB7EDA">
                        <w:pPr>
                          <w:rPr>
                            <w:sz w:val="10"/>
                            <w:szCs w:val="10"/>
                          </w:rPr>
                        </w:pPr>
                      </w:p>
                    </w:tc>
                    <w:tc>
                      <w:tcPr>
                        <w:tcW w:w="480"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&amp;</w:t>
                        </w:r>
                      </w:p>
                    </w:tc>
                    <w:tc>
                      <w:tcPr>
                        <w:tcW w:w="422"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P</w:t>
                        </w:r>
                      </w:p>
                    </w:tc>
                    <w:tc>
                      <w:tcPr>
                        <w:tcW w:w="437" w:type="dxa"/>
                        <w:shd w:val="clear" w:color="auto" w:fill="FFFFFF"/>
                        <w:vAlign w:val="bottom"/>
                      </w:tcPr>
                      <w:p w:rsidR="00BB7EDA" w:rsidRDefault="007D72B3">
                        <w:pPr>
                          <w:pStyle w:val="Bodytext20"/>
                          <w:shd w:val="clear" w:color="auto" w:fill="auto"/>
                          <w:spacing w:before="0" w:line="340" w:lineRule="exact"/>
                          <w:jc w:val="left"/>
                        </w:pPr>
                        <w:r>
                          <w:rPr>
                            <w:rStyle w:val="Bodytext217ptItalicSpacing-1pt"/>
                          </w:rPr>
                          <w:t>&amp;</w:t>
                        </w:r>
                      </w:p>
                    </w:tc>
                    <w:tc>
                      <w:tcPr>
                        <w:tcW w:w="437" w:type="dxa"/>
                        <w:shd w:val="clear" w:color="auto" w:fill="FFFFFF"/>
                      </w:tcPr>
                      <w:p w:rsidR="00BB7EDA" w:rsidRDefault="00BB7EDA">
                        <w:pPr>
                          <w:rPr>
                            <w:sz w:val="10"/>
                            <w:szCs w:val="10"/>
                          </w:rPr>
                        </w:pPr>
                      </w:p>
                    </w:tc>
                    <w:tc>
                      <w:tcPr>
                        <w:tcW w:w="446" w:type="dxa"/>
                        <w:shd w:val="clear" w:color="auto" w:fill="FFFFFF"/>
                      </w:tcPr>
                      <w:p w:rsidR="00BB7EDA" w:rsidRDefault="00BB7EDA">
                        <w:pPr>
                          <w:rPr>
                            <w:sz w:val="10"/>
                            <w:szCs w:val="10"/>
                          </w:rPr>
                        </w:pPr>
                      </w:p>
                    </w:tc>
                    <w:tc>
                      <w:tcPr>
                        <w:tcW w:w="384" w:type="dxa"/>
                        <w:shd w:val="clear" w:color="auto" w:fill="FFFFFF"/>
                        <w:vAlign w:val="bottom"/>
                      </w:tcPr>
                      <w:p w:rsidR="00BB7EDA" w:rsidRDefault="007D72B3">
                        <w:pPr>
                          <w:pStyle w:val="Bodytext20"/>
                          <w:shd w:val="clear" w:color="auto" w:fill="auto"/>
                          <w:spacing w:before="0" w:line="200" w:lineRule="exact"/>
                          <w:jc w:val="left"/>
                        </w:pPr>
                        <w:r>
                          <w:rPr>
                            <w:rStyle w:val="Bodytext210pt1"/>
                          </w:rPr>
                          <w:t>flfc</w:t>
                        </w:r>
                      </w:p>
                    </w:tc>
                  </w:tr>
                </w:tbl>
                <w:p w:rsidR="00BB7EDA" w:rsidRDefault="00BB7EDA">
                  <w:pPr>
                    <w:rPr>
                      <w:sz w:val="2"/>
                      <w:szCs w:val="2"/>
                    </w:rPr>
                  </w:pPr>
                </w:p>
              </w:txbxContent>
            </v:textbox>
            <w10:wrap type="square" side="right" anchorx="margin"/>
          </v:shape>
        </w:pict>
      </w:r>
      <w:r>
        <w:t xml:space="preserve">S. </w:t>
      </w:r>
      <w:r>
        <w:t>139).</w:t>
      </w:r>
    </w:p>
    <w:p w:rsidR="00BB7EDA" w:rsidRDefault="007D72B3">
      <w:pPr>
        <w:pStyle w:val="Bodytext20"/>
        <w:shd w:val="clear" w:color="auto" w:fill="auto"/>
        <w:spacing w:before="0" w:after="180" w:line="226" w:lineRule="exact"/>
      </w:pPr>
      <w:r>
        <w:t>Sprachen. Die chinesischen Wörter können nämlich ihre Form nicht verändern und sind wie starre Blöcke. Es gibt keine Flexionen, um Geschlecht, Zahl, Person, Zeitform, Modus etc. auszudrücken. Die Struktur der Wörter ist auffällig einfach. Die meisten</w:t>
      </w:r>
      <w:r>
        <w:t xml:space="preserve"> von ihnen sind ein- oder zweisilbig.</w:t>
      </w:r>
    </w:p>
    <w:p w:rsidR="00BB7EDA" w:rsidRDefault="007D72B3">
      <w:pPr>
        <w:pStyle w:val="Bodytext100"/>
        <w:numPr>
          <w:ilvl w:val="3"/>
          <w:numId w:val="168"/>
        </w:numPr>
        <w:shd w:val="clear" w:color="auto" w:fill="auto"/>
        <w:tabs>
          <w:tab w:val="left" w:pos="639"/>
        </w:tabs>
        <w:spacing w:before="0"/>
        <w:ind w:firstLine="0"/>
      </w:pPr>
      <w:r>
        <w:t>Chinesisch</w:t>
      </w:r>
      <w:r>
        <w:rPr>
          <w:rStyle w:val="Bodytext109ptNotItalic"/>
          <w:b/>
          <w:bCs/>
        </w:rPr>
        <w:t xml:space="preserve"> - </w:t>
      </w:r>
      <w:r>
        <w:t>eine primitive Sprache?</w:t>
      </w:r>
    </w:p>
    <w:p w:rsidR="00BB7EDA" w:rsidRDefault="007D72B3">
      <w:pPr>
        <w:pStyle w:val="Bodytext20"/>
        <w:shd w:val="clear" w:color="auto" w:fill="auto"/>
        <w:spacing w:before="0" w:after="180" w:line="226" w:lineRule="exact"/>
      </w:pPr>
      <w:r>
        <w:t xml:space="preserve">In Kapitel </w:t>
      </w:r>
      <w:r>
        <w:rPr>
          <w:rStyle w:val="Bodytext28ptBold"/>
        </w:rPr>
        <w:t xml:space="preserve">3, </w:t>
      </w:r>
      <w:r>
        <w:t xml:space="preserve">unter </w:t>
      </w:r>
      <w:r>
        <w:rPr>
          <w:rStyle w:val="Bodytext28ptBold"/>
        </w:rPr>
        <w:t xml:space="preserve">2.1 </w:t>
      </w:r>
      <w:r>
        <w:t xml:space="preserve">haben wir gesehen, dass Leute wie z.B. </w:t>
      </w:r>
      <w:r>
        <w:rPr>
          <w:rStyle w:val="Bodytext28ptBoldSmallCaps"/>
        </w:rPr>
        <w:t xml:space="preserve">Herder, Humboldt, </w:t>
      </w:r>
      <w:r>
        <w:t xml:space="preserve">die Gebrüder </w:t>
      </w:r>
      <w:r>
        <w:rPr>
          <w:rStyle w:val="Bodytext28ptBoldSmallCaps"/>
        </w:rPr>
        <w:t xml:space="preserve">Schlegel </w:t>
      </w:r>
      <w:r>
        <w:t xml:space="preserve">oder </w:t>
      </w:r>
      <w:r>
        <w:rPr>
          <w:rStyle w:val="Bodytext28ptBoldSmallCaps"/>
        </w:rPr>
        <w:t xml:space="preserve">Adelung </w:t>
      </w:r>
      <w:r>
        <w:t>davon ausgingen, dass am Anfang der Sprachentwicklung ein primiti</w:t>
      </w:r>
      <w:r>
        <w:t>ver Typus bestan</w:t>
      </w:r>
      <w:r>
        <w:softHyphen/>
        <w:t>den hat, der angeblich durch Einsilbigkeit und Formlosigkeit ge</w:t>
      </w:r>
      <w:r>
        <w:softHyphen/>
        <w:t>kennzeichnet war. Diese Auffassung führte in der Folge viele euro</w:t>
      </w:r>
      <w:r>
        <w:softHyphen/>
        <w:t>päische Gelehrte dahin, zu glauben, dass sich im Chinesischen eine besonders primitive Stufe der menschlichen</w:t>
      </w:r>
      <w:r>
        <w:t xml:space="preserve"> Sprache erhalten habe.</w:t>
      </w:r>
    </w:p>
    <w:p w:rsidR="00BB7EDA" w:rsidRDefault="007D72B3">
      <w:pPr>
        <w:pStyle w:val="Bodytext20"/>
        <w:numPr>
          <w:ilvl w:val="3"/>
          <w:numId w:val="168"/>
        </w:numPr>
        <w:shd w:val="clear" w:color="auto" w:fill="auto"/>
        <w:tabs>
          <w:tab w:val="left" w:pos="649"/>
        </w:tabs>
        <w:spacing w:before="0" w:after="180" w:line="226" w:lineRule="exact"/>
      </w:pPr>
      <w:r>
        <w:rPr>
          <w:rStyle w:val="Bodytext285ptBoldItalic"/>
        </w:rPr>
        <w:t xml:space="preserve">Zum evolutionistischen Sprachstufenplan von </w:t>
      </w:r>
      <w:r>
        <w:rPr>
          <w:rStyle w:val="Bodytext285ptItalicSmallCaps"/>
        </w:rPr>
        <w:t xml:space="preserve">Schlegel </w:t>
      </w:r>
      <w:r>
        <w:t>Unter dem Einfluss der in evolutionistischen Sichtweisen befange</w:t>
      </w:r>
      <w:r>
        <w:softHyphen/>
        <w:t xml:space="preserve">nen Aufklärung stellte W. v. </w:t>
      </w:r>
      <w:r>
        <w:rPr>
          <w:rStyle w:val="Bodytext28ptBoldSmallCaps"/>
        </w:rPr>
        <w:t xml:space="preserve">Schlegel </w:t>
      </w:r>
      <w:r>
        <w:t>einen entwicklungsgeschicht</w:t>
      </w:r>
      <w:r>
        <w:softHyphen/>
        <w:t>lichen „Sprachstufenplan" auf. In diesem Konzept</w:t>
      </w:r>
      <w:r>
        <w:t xml:space="preserve"> aus dem frühen 19. Jahrhundert zog er als Erster in Erwägung, dass die Entwicklung der Sprachen im Lauf der Zeit verschiedene sprachtypologische Stadien in folgender Reihenfolge durchlaufen haben soll:</w:t>
      </w:r>
      <w:r>
        <w:rPr>
          <w:vertAlign w:val="superscript"/>
        </w:rPr>
        <w:t>443</w:t>
      </w:r>
    </w:p>
    <w:p w:rsidR="00BB7EDA" w:rsidRDefault="007D72B3">
      <w:pPr>
        <w:pStyle w:val="Bodytext20"/>
        <w:numPr>
          <w:ilvl w:val="0"/>
          <w:numId w:val="179"/>
        </w:numPr>
        <w:shd w:val="clear" w:color="auto" w:fill="auto"/>
        <w:tabs>
          <w:tab w:val="left" w:pos="278"/>
        </w:tabs>
        <w:spacing w:before="0" w:line="226" w:lineRule="exact"/>
      </w:pPr>
      <w:r>
        <w:t>Periode der isolierenden Sprachen</w:t>
      </w:r>
    </w:p>
    <w:p w:rsidR="00BB7EDA" w:rsidRDefault="007D72B3">
      <w:pPr>
        <w:pStyle w:val="Bodytext20"/>
        <w:numPr>
          <w:ilvl w:val="0"/>
          <w:numId w:val="179"/>
        </w:numPr>
        <w:shd w:val="clear" w:color="auto" w:fill="auto"/>
        <w:tabs>
          <w:tab w:val="left" w:pos="278"/>
        </w:tabs>
        <w:spacing w:before="0" w:line="226" w:lineRule="exact"/>
      </w:pPr>
      <w:r>
        <w:t xml:space="preserve">Periode der </w:t>
      </w:r>
      <w:r>
        <w:t>agglutinierenden Sprachen</w:t>
      </w:r>
    </w:p>
    <w:p w:rsidR="00BB7EDA" w:rsidRDefault="007D72B3">
      <w:pPr>
        <w:pStyle w:val="Bodytext20"/>
        <w:numPr>
          <w:ilvl w:val="0"/>
          <w:numId w:val="179"/>
        </w:numPr>
        <w:shd w:val="clear" w:color="auto" w:fill="auto"/>
        <w:tabs>
          <w:tab w:val="left" w:pos="278"/>
        </w:tabs>
        <w:spacing w:before="0" w:after="331" w:line="226" w:lineRule="exact"/>
      </w:pPr>
      <w:r>
        <w:t>Periode der flektierenden Sprachen</w:t>
      </w:r>
    </w:p>
    <w:p w:rsidR="00BB7EDA" w:rsidRDefault="007D72B3">
      <w:pPr>
        <w:pStyle w:val="Bodytext60"/>
        <w:numPr>
          <w:ilvl w:val="0"/>
          <w:numId w:val="180"/>
        </w:numPr>
        <w:shd w:val="clear" w:color="auto" w:fill="auto"/>
        <w:tabs>
          <w:tab w:val="left" w:pos="303"/>
        </w:tabs>
        <w:spacing w:line="187" w:lineRule="exact"/>
        <w:ind w:left="320" w:hanging="320"/>
      </w:pPr>
      <w:r>
        <w:rPr>
          <w:rStyle w:val="Bodytext67ptSmallCaps"/>
        </w:rPr>
        <w:t xml:space="preserve">Jungraithmayr: </w:t>
      </w:r>
      <w:r>
        <w:t>Was ist „primitiv"? Zum Stand der Sprachgeschicntsior- schung in Afrika, S. 189-191.</w:t>
      </w:r>
      <w:r>
        <w:br w:type="page"/>
      </w:r>
    </w:p>
    <w:p w:rsidR="00BB7EDA" w:rsidRDefault="007D72B3">
      <w:pPr>
        <w:pStyle w:val="Bodytext100"/>
        <w:numPr>
          <w:ilvl w:val="0"/>
          <w:numId w:val="181"/>
        </w:numPr>
        <w:shd w:val="clear" w:color="auto" w:fill="auto"/>
        <w:tabs>
          <w:tab w:val="left" w:pos="644"/>
        </w:tabs>
        <w:spacing w:before="0"/>
        <w:ind w:firstLine="0"/>
      </w:pPr>
      <w:r>
        <w:rPr>
          <w:rStyle w:val="Bodytext10NotBoldSmallCaps0"/>
          <w:i/>
          <w:iCs/>
        </w:rPr>
        <w:t xml:space="preserve">Humboldts </w:t>
      </w:r>
      <w:r>
        <w:t>Umkehrung der Verhältnisse</w:t>
      </w:r>
    </w:p>
    <w:p w:rsidR="00BB7EDA" w:rsidRDefault="007D72B3">
      <w:pPr>
        <w:pStyle w:val="Bodytext20"/>
        <w:shd w:val="clear" w:color="auto" w:fill="auto"/>
        <w:spacing w:before="0" w:line="226" w:lineRule="exact"/>
      </w:pPr>
      <w:r>
        <w:rPr>
          <w:rStyle w:val="Bodytext28ptBoldSmallCaps"/>
        </w:rPr>
        <w:t xml:space="preserve">Schlegel </w:t>
      </w:r>
      <w:r>
        <w:t xml:space="preserve">war sich damals aber noch nicht der Tatsache </w:t>
      </w:r>
      <w:r>
        <w:t>bewusst, dass alle flektierenden Sprachen, und darin sind ja gerade auch die indogermanischen Sprachen Europas mit eingeschlossen, allgemein von Flexionszerfall gekennzeichnet sind und dadurch letztlich dem Typus entgegenstreben, der nach seiner Meinung ge</w:t>
      </w:r>
      <w:r>
        <w:t>rade sehr primi</w:t>
      </w:r>
      <w:r>
        <w:softHyphen/>
        <w:t>tiv sein soll.</w:t>
      </w:r>
    </w:p>
    <w:p w:rsidR="00BB7EDA" w:rsidRDefault="007D72B3">
      <w:pPr>
        <w:pStyle w:val="Bodytext20"/>
        <w:shd w:val="clear" w:color="auto" w:fill="auto"/>
        <w:spacing w:before="0" w:after="225" w:line="226" w:lineRule="exact"/>
        <w:ind w:firstLine="320"/>
      </w:pPr>
      <w:r>
        <w:rPr>
          <w:rStyle w:val="Bodytext28ptBoldSmallCaps"/>
        </w:rPr>
        <w:t xml:space="preserve">Humboldt </w:t>
      </w:r>
      <w:r>
        <w:t>realisierte das Problem und versuchte die Verhält</w:t>
      </w:r>
      <w:r>
        <w:softHyphen/>
        <w:t>nisse zu drehen, nachdem er sich intensiv mit Chinesisch auseinan</w:t>
      </w:r>
      <w:r>
        <w:softHyphen/>
        <w:t>dergesetzt hatte. Das, was eigentlich primitiv sein sollte, wurde bei ihm plötzlich als späte, den m</w:t>
      </w:r>
      <w:r>
        <w:t>enschlichen Geist von der Last der Formenfülle befreiende Einfachheit. Im Blick auf die hohe chinesi</w:t>
      </w:r>
      <w:r>
        <w:softHyphen/>
        <w:t>sche Kultur wurde der „Erstling" in einen „Spätling" uminterpre</w:t>
      </w:r>
      <w:r>
        <w:softHyphen/>
        <w:t>tiert.</w:t>
      </w:r>
      <w:r>
        <w:rPr>
          <w:vertAlign w:val="superscript"/>
        </w:rPr>
        <w:footnoteReference w:id="365"/>
      </w:r>
      <w:r>
        <w:t xml:space="preserve"> Hier wird offenbar, wie in diesem Denken mit gravierenden Vorurteilen operiert wird</w:t>
      </w:r>
      <w:r>
        <w:t xml:space="preserve">. Trifft man ein Volk mit isolierender Sprache an, das in einer Steinzeitkultur lebt, so betrachtet man deren Sprache als primitiv und barbarisch. Handelt es sich aber um ein Volk auf hochentwickeltem Kulturniveau, so bezeichnet man ihre Sprache, falls es </w:t>
      </w:r>
      <w:r>
        <w:t>sich um eine isolierende handelt, als späte differenzierte Entwicklung auf hoher Rangstufe.</w:t>
      </w:r>
    </w:p>
    <w:p w:rsidR="00BB7EDA" w:rsidRDefault="007D72B3">
      <w:pPr>
        <w:pStyle w:val="Bodytext100"/>
        <w:numPr>
          <w:ilvl w:val="0"/>
          <w:numId w:val="182"/>
        </w:numPr>
        <w:shd w:val="clear" w:color="auto" w:fill="auto"/>
        <w:tabs>
          <w:tab w:val="left" w:pos="649"/>
        </w:tabs>
        <w:spacing w:before="0" w:line="170" w:lineRule="exact"/>
        <w:ind w:firstLine="0"/>
      </w:pPr>
      <w:r>
        <w:rPr>
          <w:rStyle w:val="Bodytext10NotBoldSmallCaps0"/>
          <w:i/>
          <w:iCs/>
        </w:rPr>
        <w:t xml:space="preserve">Schleichers </w:t>
      </w:r>
      <w:r>
        <w:t>mogelnde Dialektik</w:t>
      </w:r>
    </w:p>
    <w:p w:rsidR="00BB7EDA" w:rsidRDefault="007D72B3">
      <w:pPr>
        <w:pStyle w:val="Bodytext20"/>
        <w:shd w:val="clear" w:color="auto" w:fill="auto"/>
        <w:spacing w:before="0" w:after="180" w:line="226" w:lineRule="exact"/>
      </w:pPr>
      <w:r>
        <w:rPr>
          <w:rStyle w:val="Bodytext28ptBoldSmallCaps"/>
        </w:rPr>
        <w:t xml:space="preserve">Schleicher, </w:t>
      </w:r>
      <w:r>
        <w:t xml:space="preserve">der es ja in einem bedeutenden Maße zu verantworten hat, dass die Linguistik in den Sechzigerjahren des 19. Jahrhunderts </w:t>
      </w:r>
      <w:r>
        <w:t>von der Evolutionslehre erobert worden ist, stellte in frühdialektischer Weise ein Konzept mit zwei entgegengesetzten Entwicklungs</w:t>
      </w:r>
      <w:r>
        <w:softHyphen/>
        <w:t>richtungen auf:</w:t>
      </w:r>
    </w:p>
    <w:p w:rsidR="00BB7EDA" w:rsidRDefault="007D72B3">
      <w:pPr>
        <w:pStyle w:val="Bodytext20"/>
        <w:numPr>
          <w:ilvl w:val="0"/>
          <w:numId w:val="183"/>
        </w:numPr>
        <w:shd w:val="clear" w:color="auto" w:fill="auto"/>
        <w:tabs>
          <w:tab w:val="left" w:pos="274"/>
        </w:tabs>
        <w:spacing w:before="0" w:after="56" w:line="226" w:lineRule="exact"/>
        <w:ind w:left="320" w:hanging="320"/>
        <w:jc w:val="left"/>
      </w:pPr>
      <w:r>
        <w:t xml:space="preserve">eine </w:t>
      </w:r>
      <w:r>
        <w:rPr>
          <w:rStyle w:val="Bodytext2Italic0"/>
        </w:rPr>
        <w:t>Aufwärtsentwicklung</w:t>
      </w:r>
      <w:r>
        <w:t xml:space="preserve"> in der </w:t>
      </w:r>
      <w:r>
        <w:rPr>
          <w:rStyle w:val="Bodytext2Italic0"/>
        </w:rPr>
        <w:t>vorhistorischen Periode</w:t>
      </w:r>
      <w:r>
        <w:t xml:space="preserve"> nach dem Konzept: isolierende - agglutinierende - tlektierende Sprachen.</w:t>
      </w:r>
    </w:p>
    <w:p w:rsidR="00BB7EDA" w:rsidRDefault="007D72B3">
      <w:pPr>
        <w:pStyle w:val="Bodytext20"/>
        <w:numPr>
          <w:ilvl w:val="0"/>
          <w:numId w:val="183"/>
        </w:numPr>
        <w:shd w:val="clear" w:color="auto" w:fill="auto"/>
        <w:tabs>
          <w:tab w:val="left" w:pos="274"/>
        </w:tabs>
        <w:spacing w:before="0" w:after="184"/>
        <w:ind w:left="320" w:hanging="320"/>
        <w:jc w:val="left"/>
      </w:pPr>
      <w:r>
        <w:rPr>
          <w:rStyle w:val="Bodytext2Italic0"/>
        </w:rPr>
        <w:t>Zerfall</w:t>
      </w:r>
      <w:r>
        <w:t xml:space="preserve"> der Sprachen in Laut und Form während der </w:t>
      </w:r>
      <w:r>
        <w:rPr>
          <w:rStyle w:val="Bodytext2Italic0"/>
        </w:rPr>
        <w:t>historischen Periode.</w:t>
      </w:r>
    </w:p>
    <w:p w:rsidR="00BB7EDA" w:rsidRDefault="007D72B3">
      <w:pPr>
        <w:pStyle w:val="Bodytext20"/>
        <w:shd w:val="clear" w:color="auto" w:fill="auto"/>
        <w:spacing w:before="0" w:line="226" w:lineRule="exact"/>
        <w:ind w:firstLine="320"/>
      </w:pPr>
      <w:r>
        <w:t>Hier wird deutlich, wie in diesem Denkkonzept gemogelt wird: Das, was real nirgends beobachtet werden kann, nä</w:t>
      </w:r>
      <w:r>
        <w:t>mlich eine allmähliche Aufwärtsentwicklung in der Morphologie von isolie</w:t>
      </w:r>
      <w:r>
        <w:softHyphen/>
        <w:t>renden Sprachen über die agglutinierenden hin zu den flektieren</w:t>
      </w:r>
      <w:r>
        <w:softHyphen/>
        <w:t xml:space="preserve">den, wird in eine </w:t>
      </w:r>
      <w:r>
        <w:rPr>
          <w:rStyle w:val="Bodytext2Italic0"/>
        </w:rPr>
        <w:t>vorhistorische</w:t>
      </w:r>
      <w:r>
        <w:t xml:space="preserve"> Periode versetzt, die sich quasi per definitionem dem wissenschaftlichen Zugriff der F</w:t>
      </w:r>
      <w:r>
        <w:t>orschung ent</w:t>
      </w:r>
      <w:r>
        <w:softHyphen/>
        <w:t>zieht.</w:t>
      </w:r>
    </w:p>
    <w:p w:rsidR="00BB7EDA" w:rsidRDefault="007D72B3">
      <w:pPr>
        <w:pStyle w:val="Bodytext20"/>
        <w:shd w:val="clear" w:color="auto" w:fill="auto"/>
        <w:spacing w:before="0" w:line="226" w:lineRule="exact"/>
        <w:ind w:firstLine="320"/>
      </w:pPr>
      <w:r>
        <w:t>Das, was wirklich beobachtet werden kann, und eigentlich der Entwicklungslehre widerspricht, der Formenzerfall in der Sprachge</w:t>
      </w:r>
      <w:r>
        <w:softHyphen/>
        <w:t>schichte, wird in dialektischer Weise gedreht, sodass das, was ei</w:t>
      </w:r>
      <w:r>
        <w:softHyphen/>
        <w:t>gentlich Devolution ist, schließlich als Ev</w:t>
      </w:r>
      <w:r>
        <w:t>olution hingestellt wird.</w:t>
      </w:r>
    </w:p>
    <w:p w:rsidR="00BB7EDA" w:rsidRDefault="007D72B3">
      <w:pPr>
        <w:pStyle w:val="Bodytext20"/>
        <w:shd w:val="clear" w:color="auto" w:fill="auto"/>
        <w:spacing w:before="0" w:line="226" w:lineRule="exact"/>
        <w:ind w:firstLine="320"/>
      </w:pPr>
      <w:r>
        <w:t>In diesem Zusammenhang muss zudem noch darauf hingewie</w:t>
      </w:r>
      <w:r>
        <w:softHyphen/>
        <w:t xml:space="preserve">sen werden, dass man in der Archäologie der Sprachen seit </w:t>
      </w:r>
      <w:r>
        <w:rPr>
          <w:rStyle w:val="Bodytext28ptBoldSmallCaps"/>
        </w:rPr>
        <w:t>Schlei</w:t>
      </w:r>
      <w:r>
        <w:rPr>
          <w:rStyle w:val="Bodytext28ptBoldSmallCaps"/>
        </w:rPr>
        <w:softHyphen/>
        <w:t xml:space="preserve">cher </w:t>
      </w:r>
      <w:r>
        <w:t>bedeutend weiter in die Vergangenheit Vordringen konnte, nämlich durch die Entdeckung der ältesten sumeri</w:t>
      </w:r>
      <w:r>
        <w:t xml:space="preserve">schen, akkadischen und ägyptischen Texte. Somit können wir heute sehr weit in die Zeit zurückkehren, die für </w:t>
      </w:r>
      <w:r>
        <w:rPr>
          <w:rStyle w:val="Bodytext28ptBoldSmallCaps"/>
        </w:rPr>
        <w:t xml:space="preserve">Schleicher </w:t>
      </w:r>
      <w:r>
        <w:t>noch zur vorhistorischen Periode der Aufwärtsentwicklung gehörte. Doch von dieser Aufwärtsent</w:t>
      </w:r>
      <w:r>
        <w:softHyphen/>
        <w:t>wicklung im Bereich der Formenlehre konnte</w:t>
      </w:r>
      <w:r>
        <w:t xml:space="preserve"> auch dort nichts ent</w:t>
      </w:r>
      <w:r>
        <w:softHyphen/>
        <w:t xml:space="preserve">deckt werden. Diese dialektische Entwicklung existierte nur als Idee in </w:t>
      </w:r>
      <w:r>
        <w:rPr>
          <w:rStyle w:val="Bodytext28ptBoldSmallCaps"/>
        </w:rPr>
        <w:t xml:space="preserve">Schleichers </w:t>
      </w:r>
      <w:r>
        <w:t xml:space="preserve">Gehirn, aber in der Sprachgeschichte fand sie nie statt. Auch in der zu </w:t>
      </w:r>
      <w:r>
        <w:rPr>
          <w:rStyle w:val="Bodytext28ptBoldSmallCaps"/>
        </w:rPr>
        <w:t xml:space="preserve">Schleichers </w:t>
      </w:r>
      <w:r>
        <w:t>vorhistorischer Periode gehören</w:t>
      </w:r>
      <w:r>
        <w:softHyphen/>
        <w:t>den Zeit, können wir heute den kon</w:t>
      </w:r>
      <w:r>
        <w:t>tinuierlichen Formenzerfall nachweisen.</w:t>
      </w:r>
    </w:p>
    <w:p w:rsidR="00BB7EDA" w:rsidRDefault="007D72B3">
      <w:pPr>
        <w:pStyle w:val="Bodytext280"/>
        <w:shd w:val="clear" w:color="auto" w:fill="auto"/>
      </w:pPr>
      <w:r>
        <w:t>Die ScHLEiCHERsche Dialektik stellt keine logisch zwingende De</w:t>
      </w:r>
      <w:r>
        <w:softHyphen/>
        <w:t xml:space="preserve">duktion aus dem Evolutionskonzept dar. Deshalb bin ich in Kapitel </w:t>
      </w:r>
      <w:r>
        <w:rPr>
          <w:rStyle w:val="Bodytext288ptBold"/>
        </w:rPr>
        <w:t xml:space="preserve">4 </w:t>
      </w:r>
      <w:r>
        <w:t xml:space="preserve">auch gar noch nicht darauf zu sprechen gekommen. </w:t>
      </w:r>
      <w:r>
        <w:rPr>
          <w:rStyle w:val="Bodytext288ptBoldSmallCaps"/>
        </w:rPr>
        <w:t xml:space="preserve">Schleichers </w:t>
      </w:r>
      <w:r>
        <w:t>Schema ist keine logisch</w:t>
      </w:r>
      <w:r>
        <w:t>e Deduktion, sondern vielmehr der geschei</w:t>
      </w:r>
      <w:r>
        <w:softHyphen/>
        <w:t>terte Versuch, die Evolutionslehre entgegen den real beobachtbaren Fakten der Sprachgeschichte zu retten.</w:t>
      </w:r>
    </w:p>
    <w:p w:rsidR="00BB7EDA" w:rsidRDefault="007D72B3">
      <w:pPr>
        <w:pStyle w:val="Bodytext100"/>
        <w:numPr>
          <w:ilvl w:val="0"/>
          <w:numId w:val="182"/>
        </w:numPr>
        <w:shd w:val="clear" w:color="auto" w:fill="auto"/>
        <w:tabs>
          <w:tab w:val="left" w:pos="654"/>
        </w:tabs>
        <w:spacing w:before="0"/>
        <w:ind w:firstLine="0"/>
      </w:pPr>
      <w:r>
        <w:t>Chinesisch</w:t>
      </w:r>
      <w:r>
        <w:rPr>
          <w:rStyle w:val="Bodytext109ptNotItalic"/>
          <w:b/>
          <w:bCs/>
        </w:rPr>
        <w:t xml:space="preserve"> - </w:t>
      </w:r>
      <w:r>
        <w:t>kein sprachlicher „Erstling"</w:t>
      </w:r>
    </w:p>
    <w:p w:rsidR="00BB7EDA" w:rsidRDefault="007D72B3">
      <w:pPr>
        <w:pStyle w:val="Bodytext20"/>
        <w:shd w:val="clear" w:color="auto" w:fill="auto"/>
        <w:spacing w:before="0" w:line="226" w:lineRule="exact"/>
      </w:pPr>
      <w:r>
        <w:t>Neuere sprachwissenschaftliche Entdeckungen haben dazu geführt, da</w:t>
      </w:r>
      <w:r>
        <w:t>ss man die unter 4.1.1 aufgeführte Meinung, Chinesischstelle eine konservierte Ursprache dar, allgemein aufgeben musste. Mitunter hat die inzwischen weit fortgeschrittene Erforschung des Chinesi</w:t>
      </w:r>
      <w:r>
        <w:softHyphen/>
        <w:t>schen hierzu einen Beitrag geliefert.</w:t>
      </w:r>
      <w:r>
        <w:rPr>
          <w:vertAlign w:val="superscript"/>
        </w:rPr>
        <w:footnoteReference w:id="366"/>
      </w:r>
    </w:p>
    <w:p w:rsidR="00BB7EDA" w:rsidRDefault="007D72B3">
      <w:pPr>
        <w:pStyle w:val="Bodytext20"/>
        <w:shd w:val="clear" w:color="auto" w:fill="auto"/>
        <w:spacing w:before="0" w:line="226" w:lineRule="exact"/>
        <w:ind w:firstLine="320"/>
      </w:pPr>
      <w:r>
        <w:t>Obwohl die in logograp</w:t>
      </w:r>
      <w:r>
        <w:t>hischer Schrift abgefasste chinesische Literatur Jahrtausende alt ist, kann ihr leider nur schwerlich Auf</w:t>
      </w:r>
      <w:r>
        <w:softHyphen/>
        <w:t>schlüsse über den Lautstand des Chinesischen in früheren Zeiten entnommen werden. Nichtsdestotrotz gibt es diverse Hinweise, dass das Chinesische früh</w:t>
      </w:r>
      <w:r>
        <w:t>er eine gewisse Formenbildung gekannt hat!</w:t>
      </w:r>
      <w:r>
        <w:rPr>
          <w:vertAlign w:val="superscript"/>
        </w:rPr>
        <w:footnoteReference w:id="367"/>
      </w:r>
    </w:p>
    <w:p w:rsidR="00BB7EDA" w:rsidRDefault="007D72B3">
      <w:pPr>
        <w:pStyle w:val="Bodytext20"/>
        <w:shd w:val="clear" w:color="auto" w:fill="auto"/>
        <w:spacing w:before="0" w:after="460"/>
        <w:ind w:firstLine="340"/>
      </w:pPr>
      <w:r>
        <w:t>Zu diesem Schluss führte u.a. die Erforschung diverser moderner chinesischer Dialekte. Hinweise ergaben sich auch aus Reimen der alten chinesischen Poesie. Ferner lieferten die verwandten tibeto- burmanischen Spr</w:t>
      </w:r>
      <w:r>
        <w:t>achen nützliche Aufschlüsse.</w:t>
      </w:r>
      <w:r>
        <w:rPr>
          <w:vertAlign w:val="superscript"/>
        </w:rPr>
        <w:footnoteReference w:id="368"/>
      </w:r>
      <w:r>
        <w:t xml:space="preserve"> Obwohl nämlich diese Sprachen, wie das Chinesische, zu dem großen Sprachstamm der sino-tibetanischen Sprachen gehören, sind sie nicht etwa isolie</w:t>
      </w:r>
      <w:r>
        <w:softHyphen/>
        <w:t>rende, sondern agglutinierende Sprachen. Hinzu kommt der glück</w:t>
      </w:r>
      <w:r>
        <w:softHyphen/>
        <w:t>liche Umstand, da</w:t>
      </w:r>
      <w:r>
        <w:t>ss das Tibetanische, dank der Überlieferung in einer indischen Alphabet-Schrift, über Jahrhunderte hinweg (bis ins 7. Jh. n. Chr. zurück) auch bezüglich der Aussprache erforscht werden konnte.</w:t>
      </w:r>
    </w:p>
    <w:p w:rsidR="00BB7EDA" w:rsidRDefault="007D72B3">
      <w:pPr>
        <w:pStyle w:val="Heading50"/>
        <w:keepNext/>
        <w:keepLines/>
        <w:numPr>
          <w:ilvl w:val="2"/>
          <w:numId w:val="168"/>
        </w:numPr>
        <w:shd w:val="clear" w:color="auto" w:fill="auto"/>
        <w:tabs>
          <w:tab w:val="left" w:pos="505"/>
        </w:tabs>
        <w:spacing w:after="223" w:line="180" w:lineRule="exact"/>
      </w:pPr>
      <w:bookmarkStart w:id="118" w:name="bookmark117"/>
      <w:r>
        <w:t>Bantu-Sprachen Afrikas</w:t>
      </w:r>
      <w:bookmarkEnd w:id="118"/>
    </w:p>
    <w:p w:rsidR="00BB7EDA" w:rsidRDefault="007D72B3">
      <w:pPr>
        <w:pStyle w:val="Bodytext20"/>
        <w:shd w:val="clear" w:color="auto" w:fill="auto"/>
        <w:spacing w:before="0" w:line="226" w:lineRule="exact"/>
      </w:pPr>
      <w:r>
        <w:t xml:space="preserve">Schließlich seien nun noch einige </w:t>
      </w:r>
      <w:r>
        <w:t>schwarz-afrikanische Sprachen aus der Familie der Bantu-Sprachen, die ja zum Sprachstamm der Niger-Kordofan-Sprachen gehören, zur Illustration herangezogen.</w:t>
      </w:r>
    </w:p>
    <w:p w:rsidR="00BB7EDA" w:rsidRDefault="007D72B3">
      <w:pPr>
        <w:pStyle w:val="Bodytext20"/>
        <w:shd w:val="clear" w:color="auto" w:fill="auto"/>
        <w:spacing w:before="0" w:line="226" w:lineRule="exact"/>
        <w:ind w:firstLine="340"/>
      </w:pPr>
      <w:r>
        <w:t>Die Sprachen Schwarzafrikas können, mit Ausnahme des Äthio</w:t>
      </w:r>
      <w:r>
        <w:softHyphen/>
        <w:t>pischen, leider nicht über große Zeiträu</w:t>
      </w:r>
      <w:r>
        <w:t>me hinweg verfolgt werden, weil man erst in der jüngeren Geschichte begonnen hat, solche Sprachen zu alphabetisieren (die ältesten Dokumente stammen aus dem 17. Jh.).</w:t>
      </w:r>
      <w:r>
        <w:rPr>
          <w:vertAlign w:val="superscript"/>
        </w:rPr>
        <w:footnoteReference w:id="369"/>
      </w:r>
    </w:p>
    <w:p w:rsidR="00BB7EDA" w:rsidRDefault="007D72B3">
      <w:pPr>
        <w:pStyle w:val="Bodytext20"/>
        <w:shd w:val="clear" w:color="auto" w:fill="auto"/>
        <w:spacing w:before="0" w:line="226" w:lineRule="exact"/>
        <w:ind w:firstLine="340"/>
      </w:pPr>
      <w:r>
        <w:t>Doch auch schon kürzere Zeiträume vermögen auf überzeugen</w:t>
      </w:r>
      <w:r>
        <w:softHyphen/>
        <w:t xml:space="preserve">de Weise klar zu machen, dass </w:t>
      </w:r>
      <w:r>
        <w:t>das Gesetz der Abbau- und Reduktionsprozesse weltweit gültig ist. So kann man feststellen, wie z.B. zahlreiche West-Bantu-Sprachen in ihrem morphologischen Reichtum Einbußen erfahren haben und im Interesse der Kommunikationserhaltung nach syntaktischen Ums</w:t>
      </w:r>
      <w:r>
        <w:t>chreibungen ausgewichen sind.</w:t>
      </w:r>
      <w:r>
        <w:rPr>
          <w:vertAlign w:val="superscript"/>
        </w:rPr>
        <w:footnoteReference w:id="370"/>
      </w:r>
    </w:p>
    <w:p w:rsidR="00BB7EDA" w:rsidRDefault="007D72B3">
      <w:pPr>
        <w:pStyle w:val="Heading40"/>
        <w:keepNext/>
        <w:keepLines/>
        <w:numPr>
          <w:ilvl w:val="0"/>
          <w:numId w:val="184"/>
        </w:numPr>
        <w:shd w:val="clear" w:color="auto" w:fill="auto"/>
        <w:tabs>
          <w:tab w:val="left" w:pos="394"/>
        </w:tabs>
        <w:spacing w:after="217" w:line="210" w:lineRule="exact"/>
      </w:pPr>
      <w:bookmarkStart w:id="119" w:name="bookmark118"/>
      <w:r>
        <w:t>Fazit: Sprachgeschichte contra Evolution</w:t>
      </w:r>
      <w:bookmarkEnd w:id="119"/>
    </w:p>
    <w:p w:rsidR="00BB7EDA" w:rsidRDefault="007D72B3">
      <w:pPr>
        <w:pStyle w:val="Bodytext20"/>
        <w:shd w:val="clear" w:color="auto" w:fill="auto"/>
        <w:spacing w:before="0" w:line="226" w:lineRule="exact"/>
      </w:pPr>
      <w:r>
        <w:t>Wir haben festgestellt, dass die Sprachen weltweit die Tendenz aufweisen, in ihrer morphologischen Struktur im Bereich der For</w:t>
      </w:r>
      <w:r>
        <w:softHyphen/>
        <w:t>menlehre zu zerfallen, z.T. sogar überaus drastisch. Dies</w:t>
      </w:r>
      <w:r>
        <w:t xml:space="preserve"> stimmt auffallend mit der biblischen Feststellung überein, dass die ganze Schöpfung der Vergänglichkeit unterworfen worden sei (Rom 8,20; Heb 1,10-12).</w:t>
      </w:r>
    </w:p>
    <w:p w:rsidR="00BB7EDA" w:rsidRDefault="007D72B3">
      <w:pPr>
        <w:pStyle w:val="Bodytext20"/>
        <w:shd w:val="clear" w:color="auto" w:fill="auto"/>
        <w:spacing w:before="0" w:line="226" w:lineRule="exact"/>
        <w:ind w:firstLine="320"/>
        <w:sectPr w:rsidR="00BB7EDA">
          <w:type w:val="continuous"/>
          <w:pgSz w:w="7266" w:h="11422"/>
          <w:pgMar w:top="801" w:right="617" w:bottom="1124" w:left="965" w:header="0" w:footer="3" w:gutter="0"/>
          <w:cols w:space="720"/>
          <w:noEndnote/>
          <w:docGrid w:linePitch="360"/>
        </w:sectPr>
      </w:pPr>
      <w:r>
        <w:t>Die Tatsache des weltweit feststellbaren Abbaus der in der For</w:t>
      </w:r>
      <w:r>
        <w:softHyphen/>
        <w:t>menlehre umschrieb</w:t>
      </w:r>
      <w:r>
        <w:t>enen Morphologie passt gar nicht ins Konzept der Evolutionslehre, wo man davon ausgeht, dass die Sprachen sich aus primitiven Urlauten auf allen Ebenen immer höher entwickelt hätten, bis äußerst komplexe morphologische Strukturen entstan</w:t>
      </w:r>
      <w:r>
        <w:softHyphen/>
        <w:t>den seien. Wäre di</w:t>
      </w:r>
      <w:r>
        <w:t>ese Sicht richtig, so müsste man in der erforschba</w:t>
      </w:r>
      <w:r>
        <w:softHyphen/>
        <w:t>ren Geschichte der Sprachen eine solche Entwicklung feststellen. Nicht einmal die Tendenz zu einer solchen Evolution ist nachvoll</w:t>
      </w:r>
      <w:r>
        <w:softHyphen/>
        <w:t>ziehbar. Es fehlt auch offensichtlich an einem Mechanismus, der eine solche</w:t>
      </w:r>
      <w:r>
        <w:t xml:space="preserve"> Entwicklung hätte verursachen können. Wenn man sich mit Sprachgeschichte beschäftigt, so zeigt sich hier gerade das Gegenteil dessen, was vom Standpunkt des Darwinismus zu erwarten wäre: Komplexe morphologische Strukturen in den Bereichen, wo der Mensch s</w:t>
      </w:r>
      <w:r>
        <w:t>ich nicht sprachkreativ entfalten kann, zerfallen. Überall sieht man eine Entwicklung vom Komplizierten hin zum Einfache</w:t>
      </w:r>
      <w:r>
        <w:softHyphen/>
        <w:t>ren. Das Beobachtbare widerspricht dem Postulat der Evolution, es deckt sich jedoch genau mit den biblischen Aussagen.</w:t>
      </w:r>
      <w:r>
        <w:br w:type="page"/>
      </w:r>
    </w:p>
    <w:p w:rsidR="00BB7EDA" w:rsidRDefault="007D72B3">
      <w:pPr>
        <w:pStyle w:val="Heading30"/>
        <w:keepNext/>
        <w:keepLines/>
        <w:numPr>
          <w:ilvl w:val="0"/>
          <w:numId w:val="185"/>
        </w:numPr>
        <w:shd w:val="clear" w:color="auto" w:fill="auto"/>
        <w:tabs>
          <w:tab w:val="left" w:pos="370"/>
        </w:tabs>
        <w:spacing w:after="383" w:line="260" w:lineRule="exact"/>
      </w:pPr>
      <w:bookmarkStart w:id="120" w:name="bookmark119"/>
      <w:r>
        <w:t>Diskussion</w:t>
      </w:r>
      <w:bookmarkEnd w:id="120"/>
    </w:p>
    <w:p w:rsidR="00BB7EDA" w:rsidRDefault="007D72B3">
      <w:pPr>
        <w:pStyle w:val="Bodytext20"/>
        <w:shd w:val="clear" w:color="auto" w:fill="auto"/>
        <w:spacing w:before="0" w:after="376"/>
      </w:pPr>
      <w:r>
        <w:t>Nach</w:t>
      </w:r>
      <w:r>
        <w:t>folgend sollen einige denkbare Einwände sowohl gegen die biblischen Aussagen bezüglich des Ursprungs der Sprachen, als auch gegen diverse bisher gemachte Überlegungen zusammen mit einer jeweils angebrachten Entgegnung zur Sprache kommen. Da</w:t>
      </w:r>
      <w:r>
        <w:softHyphen/>
        <w:t>nach bringe ich</w:t>
      </w:r>
      <w:r>
        <w:t xml:space="preserve"> noch diverse, bisher noch nicht ausgeführte, schwer</w:t>
      </w:r>
      <w:r>
        <w:softHyphen/>
        <w:t>wiegende Anfragen gegen die evolutionistischen Sprachentstehungs- Ideen vor.</w:t>
      </w:r>
    </w:p>
    <w:p w:rsidR="00BB7EDA" w:rsidRDefault="007D72B3">
      <w:pPr>
        <w:pStyle w:val="Heading40"/>
        <w:keepNext/>
        <w:keepLines/>
        <w:numPr>
          <w:ilvl w:val="1"/>
          <w:numId w:val="185"/>
        </w:numPr>
        <w:shd w:val="clear" w:color="auto" w:fill="auto"/>
        <w:tabs>
          <w:tab w:val="left" w:pos="394"/>
        </w:tabs>
        <w:spacing w:after="193" w:line="210" w:lineRule="exact"/>
      </w:pPr>
      <w:bookmarkStart w:id="121" w:name="bookmark120"/>
      <w:r>
        <w:t>Große Zeiträume in der Sprachgeschichte</w:t>
      </w:r>
      <w:bookmarkEnd w:id="121"/>
    </w:p>
    <w:p w:rsidR="00BB7EDA" w:rsidRDefault="007D72B3">
      <w:pPr>
        <w:pStyle w:val="Heading50"/>
        <w:keepNext/>
        <w:keepLines/>
        <w:numPr>
          <w:ilvl w:val="2"/>
          <w:numId w:val="185"/>
        </w:numPr>
        <w:shd w:val="clear" w:color="auto" w:fill="auto"/>
        <w:tabs>
          <w:tab w:val="left" w:pos="500"/>
        </w:tabs>
        <w:spacing w:after="163" w:line="180" w:lineRule="exact"/>
      </w:pPr>
      <w:bookmarkStart w:id="122" w:name="bookmark121"/>
      <w:r>
        <w:t>Einwand</w:t>
      </w:r>
      <w:bookmarkEnd w:id="122"/>
    </w:p>
    <w:p w:rsidR="00BB7EDA" w:rsidRDefault="007D72B3">
      <w:pPr>
        <w:pStyle w:val="Bodytext20"/>
        <w:shd w:val="clear" w:color="auto" w:fill="auto"/>
        <w:spacing w:before="0" w:after="397" w:line="226" w:lineRule="exact"/>
      </w:pPr>
      <w:r>
        <w:t xml:space="preserve">Die vorangegangenen Untersuchungen beziehen sich lediglich auf die </w:t>
      </w:r>
      <w:r>
        <w:t>Sprachgeschichte der letzten 5.000 Jahre. Dieser Zeitraum ist allerdings nur ein Bruchteil der im Rahmen des Evolutionskonzeptes angesetzten Dauer der Sprachgeschichte in prähistorischer Zeit von 35.000 bis 250.000 Jahren.</w:t>
      </w:r>
      <w:r>
        <w:rPr>
          <w:vertAlign w:val="superscript"/>
        </w:rPr>
        <w:footnoteReference w:id="371"/>
      </w:r>
      <w:r>
        <w:t xml:space="preserve"> Unter Berücksichtigung dieser Ze</w:t>
      </w:r>
      <w:r>
        <w:t>itspan</w:t>
      </w:r>
      <w:r>
        <w:softHyphen/>
        <w:t>ne würde das Evolutionsmodell im Zusammenhang mit der Frage nach der Entstehung der Sprachen in einem ganz anderen Licht erscheinen.</w:t>
      </w:r>
    </w:p>
    <w:p w:rsidR="00BB7EDA" w:rsidRDefault="007D72B3">
      <w:pPr>
        <w:pStyle w:val="Heading50"/>
        <w:keepNext/>
        <w:keepLines/>
        <w:numPr>
          <w:ilvl w:val="2"/>
          <w:numId w:val="185"/>
        </w:numPr>
        <w:shd w:val="clear" w:color="auto" w:fill="auto"/>
        <w:tabs>
          <w:tab w:val="left" w:pos="505"/>
        </w:tabs>
        <w:spacing w:after="163" w:line="180" w:lineRule="exact"/>
      </w:pPr>
      <w:bookmarkStart w:id="123" w:name="bookmark122"/>
      <w:r>
        <w:t>Entgegnung</w:t>
      </w:r>
      <w:bookmarkEnd w:id="123"/>
    </w:p>
    <w:p w:rsidR="00BB7EDA" w:rsidRDefault="007D72B3">
      <w:pPr>
        <w:pStyle w:val="Bodytext100"/>
        <w:numPr>
          <w:ilvl w:val="3"/>
          <w:numId w:val="185"/>
        </w:numPr>
        <w:shd w:val="clear" w:color="auto" w:fill="auto"/>
        <w:tabs>
          <w:tab w:val="left" w:pos="649"/>
        </w:tabs>
        <w:spacing w:before="0"/>
        <w:ind w:firstLine="0"/>
      </w:pPr>
      <w:r>
        <w:t>Vermeidung von Spekulation</w:t>
      </w:r>
    </w:p>
    <w:p w:rsidR="00BB7EDA" w:rsidRDefault="007D72B3">
      <w:pPr>
        <w:pStyle w:val="Bodytext20"/>
        <w:shd w:val="clear" w:color="auto" w:fill="auto"/>
        <w:spacing w:before="0" w:after="180" w:line="226" w:lineRule="exact"/>
      </w:pPr>
      <w:r>
        <w:t>Im Rahmen dieser Arbeit bin ich bewusst nur auf den Bereich der Sprachgeschich</w:t>
      </w:r>
      <w:r>
        <w:t xml:space="preserve">te eingegangen, der </w:t>
      </w:r>
      <w:r>
        <w:rPr>
          <w:rStyle w:val="Bodytext2Italic0"/>
        </w:rPr>
        <w:t>durch Dokumente belegt ist und daher, ohne auf Mutmaßungen zu basieren, real erforschbar ist.</w:t>
      </w:r>
      <w:r>
        <w:t xml:space="preserve"> Alles, was den Zeitraum von ca. 5.000 Jahren sprengt, ist rein spekulativ.</w:t>
      </w:r>
    </w:p>
    <w:p w:rsidR="00BB7EDA" w:rsidRDefault="007D72B3">
      <w:pPr>
        <w:pStyle w:val="Bodytext100"/>
        <w:numPr>
          <w:ilvl w:val="3"/>
          <w:numId w:val="185"/>
        </w:numPr>
        <w:shd w:val="clear" w:color="auto" w:fill="auto"/>
        <w:tabs>
          <w:tab w:val="left" w:pos="654"/>
        </w:tabs>
        <w:spacing w:before="0"/>
        <w:ind w:firstLine="0"/>
      </w:pPr>
      <w:r>
        <w:t>Rezente Entstehung der Proto-Sprachen</w:t>
      </w:r>
    </w:p>
    <w:p w:rsidR="00BB7EDA" w:rsidRDefault="007D72B3">
      <w:pPr>
        <w:pStyle w:val="Bodytext20"/>
        <w:shd w:val="clear" w:color="auto" w:fill="auto"/>
        <w:spacing w:before="0" w:after="180" w:line="226" w:lineRule="exact"/>
      </w:pPr>
      <w:r>
        <w:t>Aus evolutionistischer Sicht,</w:t>
      </w:r>
      <w:r>
        <w:t xml:space="preserve"> soll die erste menschliche Lautsprache zwar irgendwann zu einem Zeitpunkt, der sehr vage zwischen 35.000 und 250.000 Jahren vor unserer Zeit angesetzt wird, entstan</w:t>
      </w:r>
      <w:r>
        <w:softHyphen/>
        <w:t>den sein. Doch wird im Evolutionskonzept die Entstehung von Sprache im Vollsinn des Wortes</w:t>
      </w:r>
      <w:r>
        <w:t xml:space="preserve"> im Allgemeinen sehr spät angesetzt. Die Entstehung der Ursprachen der großen Sprachstämme wird erst in die Zeit zwischen 4.000 und 23.000 v. Chr. angesiedelt.</w:t>
      </w:r>
      <w:r>
        <w:rPr>
          <w:vertAlign w:val="superscript"/>
        </w:rPr>
        <w:t>451</w:t>
      </w:r>
      <w:r>
        <w:t xml:space="preserve"> Der Ursprung des indogermanischen Sprachstammesz.B. wird auf etwa 7.000-8.000 Jahre v. Chr. g</w:t>
      </w:r>
      <w:r>
        <w:t>eschätzt.</w:t>
      </w:r>
      <w:r>
        <w:rPr>
          <w:vertAlign w:val="superscript"/>
        </w:rPr>
        <w:t>452</w:t>
      </w:r>
      <w:r>
        <w:t xml:space="preserve"> Unter Berücksichtigung all dieser Zahlen sind 5.000 Jahre schriftlich dokumentierte Sprachge</w:t>
      </w:r>
      <w:r>
        <w:softHyphen/>
        <w:t xml:space="preserve">schichte gar nicht mehr eine so kurze Periode. Diese Zeit müsste ausreichen, um klar und deutlich </w:t>
      </w:r>
      <w:r>
        <w:rPr>
          <w:rStyle w:val="Bodytext2Italic0"/>
        </w:rPr>
        <w:t>Mechanismen und Tendenzen</w:t>
      </w:r>
      <w:r>
        <w:t xml:space="preserve"> der Entwicklung zu entdeck</w:t>
      </w:r>
      <w:r>
        <w:t>en, die Aufschlüsse über die Entstehung der Sprachen liefern könnten.</w:t>
      </w:r>
    </w:p>
    <w:p w:rsidR="00BB7EDA" w:rsidRDefault="007D72B3">
      <w:pPr>
        <w:pStyle w:val="Bodytext100"/>
        <w:numPr>
          <w:ilvl w:val="3"/>
          <w:numId w:val="185"/>
        </w:numPr>
        <w:shd w:val="clear" w:color="auto" w:fill="auto"/>
        <w:tabs>
          <w:tab w:val="left" w:pos="654"/>
        </w:tabs>
        <w:spacing w:before="0"/>
        <w:ind w:firstLine="0"/>
      </w:pPr>
      <w:r>
        <w:t>Hohe Geschwindigkeit der Sprachveränderungen</w:t>
      </w:r>
    </w:p>
    <w:p w:rsidR="00BB7EDA" w:rsidRDefault="007D72B3">
      <w:pPr>
        <w:pStyle w:val="Bodytext20"/>
        <w:shd w:val="clear" w:color="auto" w:fill="auto"/>
        <w:spacing w:before="0" w:after="180" w:line="226" w:lineRule="exact"/>
      </w:pPr>
      <w:r>
        <w:t>Wenn man bedenkt, dass real beobachtbare sprachgeschichtliche Veränderungen z.T. mit einer überaus großen Geschwindigkeit statt</w:t>
      </w:r>
      <w:r>
        <w:softHyphen/>
        <w:t xml:space="preserve">fanden, sind </w:t>
      </w:r>
      <w:r>
        <w:t>die vergangenen ca. 5.000 Jahre in Wirklichkeit eine Zeitspanne, in der enorm viel abgelaufen ist. Dieser Zeitraum vermag nämlich in weit ausgedehntem Maße Sprachentwicklungen aller Art vor Augen zu führen. Wir haben uns deutlich Mechanismen, Ten</w:t>
      </w:r>
      <w:r>
        <w:softHyphen/>
        <w:t>denzen so</w:t>
      </w:r>
      <w:r>
        <w:t>wie Grenzen und Möglichkeiten der Sprachveränderungen vergegenwärtigen können. Diese Entwicklungen stehen aber, wie wir gesehen haben, in jeder Hinsicht deutlich im Widerspruch zur Evolutionslehre und den in ihr verwurzelten Erwartungen.</w:t>
      </w:r>
    </w:p>
    <w:p w:rsidR="00BB7EDA" w:rsidRDefault="007D72B3">
      <w:pPr>
        <w:pStyle w:val="Bodytext100"/>
        <w:numPr>
          <w:ilvl w:val="3"/>
          <w:numId w:val="185"/>
        </w:numPr>
        <w:shd w:val="clear" w:color="auto" w:fill="auto"/>
        <w:tabs>
          <w:tab w:val="left" w:pos="658"/>
        </w:tabs>
        <w:spacing w:before="0"/>
        <w:ind w:firstLine="0"/>
      </w:pPr>
      <w:r>
        <w:t xml:space="preserve">Prähistorische </w:t>
      </w:r>
      <w:r>
        <w:t>Evolution</w:t>
      </w:r>
      <w:r>
        <w:rPr>
          <w:rStyle w:val="Bodytext109ptNotItalic"/>
          <w:b/>
          <w:bCs/>
        </w:rPr>
        <w:t xml:space="preserve"> - </w:t>
      </w:r>
      <w:r>
        <w:t>historischer Zerfall?</w:t>
      </w:r>
    </w:p>
    <w:p w:rsidR="00BB7EDA" w:rsidRDefault="007D72B3">
      <w:pPr>
        <w:pStyle w:val="Bodytext20"/>
        <w:shd w:val="clear" w:color="auto" w:fill="auto"/>
        <w:spacing w:before="0" w:after="233" w:line="226" w:lineRule="exact"/>
      </w:pPr>
      <w:r>
        <w:t>Folgendes sollte man sich in diesem Zusammenhang nochmals vor Augen führen: Die vergangenen 5.000 Jahre Sprachgeschichte sind von ständigem morphologischem Zerfall im Bereich der Formen</w:t>
      </w:r>
      <w:r>
        <w:softHyphen/>
        <w:t>lehre gekennzeichnet. Vom evolutioni</w:t>
      </w:r>
      <w:r>
        <w:t>stischen Standpunkt aus müsste daher das Unglaubliche postuliert werden, nämlich, dass die komplexen morphologischen Strukturen der Formenlehre in „prähistorischer" Zeit entwickelt worden seien, also zu einer Zeit, wo die Menschen nach evolutionistischer L</w:t>
      </w:r>
      <w:r>
        <w:t xml:space="preserve">ehre noch durch und durch „primitiv" gewesen sein sollen. Während der gesamten auf eine Länge von 2 </w:t>
      </w:r>
      <w:r>
        <w:rPr>
          <w:rStyle w:val="Bodytext2Italic0"/>
        </w:rPr>
        <w:t>Vi</w:t>
      </w:r>
      <w:r>
        <w:t xml:space="preserve"> Millionen Jahre angesetzten Steinzeit soll die menschliche Kultur ja völlig flach verlaufen sein, dauernd auf geringster Sparflamme, indem die Hominiden </w:t>
      </w:r>
      <w:r>
        <w:t>die Perioden des Paläolithikum, Mesolithikum und Neolithikum hindurch fortdau-</w:t>
      </w:r>
    </w:p>
    <w:p w:rsidR="00BB7EDA" w:rsidRDefault="007D72B3">
      <w:pPr>
        <w:pStyle w:val="Bodytext60"/>
        <w:shd w:val="clear" w:color="auto" w:fill="auto"/>
        <w:spacing w:line="160" w:lineRule="exact"/>
        <w:jc w:val="both"/>
      </w:pPr>
      <w:r>
        <w:rPr>
          <w:rStyle w:val="Bodytext67ptSmallCaps"/>
          <w:vertAlign w:val="superscript"/>
        </w:rPr>
        <w:t>431</w:t>
      </w:r>
      <w:r>
        <w:rPr>
          <w:rStyle w:val="Bodytext67ptSmallCaps"/>
        </w:rPr>
        <w:t xml:space="preserve"> Cavalli-Sforza: </w:t>
      </w:r>
      <w:r>
        <w:t>Gene, Völker und Sprachen, S. 162.</w:t>
      </w:r>
    </w:p>
    <w:p w:rsidR="00BB7EDA" w:rsidRDefault="007D72B3">
      <w:pPr>
        <w:pStyle w:val="Bodytext60"/>
        <w:shd w:val="clear" w:color="auto" w:fill="auto"/>
        <w:spacing w:line="160" w:lineRule="exact"/>
        <w:jc w:val="both"/>
      </w:pPr>
      <w:r>
        <w:rPr>
          <w:rStyle w:val="Bodytext67ptSmallCaps"/>
          <w:vertAlign w:val="superscript"/>
        </w:rPr>
        <w:t>452</w:t>
      </w:r>
      <w:r>
        <w:rPr>
          <w:rStyle w:val="Bodytext67ptSmallCaps"/>
        </w:rPr>
        <w:t xml:space="preserve"> Cavalli-Sforza: </w:t>
      </w:r>
      <w:r>
        <w:t>Gene, Völker und Sprachen, S. 162.</w:t>
      </w:r>
    </w:p>
    <w:p w:rsidR="00BB7EDA" w:rsidRDefault="007D72B3">
      <w:pPr>
        <w:pStyle w:val="Bodytext20"/>
        <w:shd w:val="clear" w:color="auto" w:fill="auto"/>
        <w:spacing w:before="0" w:line="226" w:lineRule="exact"/>
      </w:pPr>
      <w:r>
        <w:t>ernd nur Faustbeile, Speerspitzen u.ä. produziert haben sollen - bi</w:t>
      </w:r>
      <w:r>
        <w:t>s vor ca. 5.000 Jahren plötzlich und unvorhersehbar eine Kultur</w:t>
      </w:r>
      <w:r>
        <w:softHyphen/>
        <w:t>explosion stattfand und damit die „Geschichte" ihren Anfang nahm.</w:t>
      </w:r>
    </w:p>
    <w:p w:rsidR="00BB7EDA" w:rsidRDefault="007D72B3">
      <w:pPr>
        <w:pStyle w:val="Bodytext20"/>
        <w:shd w:val="clear" w:color="auto" w:fill="auto"/>
        <w:spacing w:before="0" w:line="226" w:lineRule="exact"/>
        <w:ind w:firstLine="320"/>
      </w:pPr>
      <w:r>
        <w:t xml:space="preserve">Gemäß dem amerikanischen Anthropologen Jared </w:t>
      </w:r>
      <w:r>
        <w:rPr>
          <w:rStyle w:val="Bodytext28ptSmallCaps"/>
        </w:rPr>
        <w:t xml:space="preserve">Diamond </w:t>
      </w:r>
      <w:r>
        <w:t>soll die Entwicklung im Einzelnen, wie bereits an früherer Stelle ausge</w:t>
      </w:r>
      <w:r>
        <w:softHyphen/>
        <w:t>f</w:t>
      </w:r>
      <w:r>
        <w:t>ührt, ja so verlaufen sein: Australopithecinen hätten vor 4 Millionen Jahren nur gutturale Laute ausgestoßen, so wie wir dies von den Schimpansen gewohnt sind. Vor ungefähr 1 V</w:t>
      </w:r>
      <w:r>
        <w:rPr>
          <w:rStyle w:val="Bodytext2TrebuchetMS5pt"/>
        </w:rPr>
        <w:t>2</w:t>
      </w:r>
      <w:r>
        <w:t xml:space="preserve"> Millionen Jahren habe der </w:t>
      </w:r>
      <w:r>
        <w:rPr>
          <w:rStyle w:val="Bodytext2Italic0"/>
        </w:rPr>
        <w:t>Homo erectus</w:t>
      </w:r>
      <w:r>
        <w:t xml:space="preserve"> einzelne Wörter gebraucht. Eine Million Jahre später sei er in der Lage gewesen, Zwei-Wort-Sätze hervorzubrin</w:t>
      </w:r>
      <w:r>
        <w:softHyphen/>
        <w:t xml:space="preserve">gen. Der prähistorische </w:t>
      </w:r>
      <w:r>
        <w:rPr>
          <w:rStyle w:val="Bodytext2Italic0"/>
        </w:rPr>
        <w:t>Homo sapiens</w:t>
      </w:r>
      <w:r>
        <w:t xml:space="preserve"> habe es schließlich geschafft, längere Wortketten ohne viel Grammatik zu bilden. Die komplexe Sprache sei ab</w:t>
      </w:r>
      <w:r>
        <w:t>er erst seit dem in Europa vor 40.000 Jahren angesetz</w:t>
      </w:r>
      <w:r>
        <w:softHyphen/>
        <w:t>ten allgemeinen kulturellen Aufschwung entstanden, und zwar im Rahmen einer „kreativen Explosion".</w:t>
      </w:r>
      <w:r>
        <w:rPr>
          <w:vertAlign w:val="superscript"/>
        </w:rPr>
        <w:t>453</w:t>
      </w:r>
    </w:p>
    <w:p w:rsidR="00BB7EDA" w:rsidRDefault="007D72B3">
      <w:pPr>
        <w:pStyle w:val="Bodytext20"/>
        <w:shd w:val="clear" w:color="auto" w:fill="auto"/>
        <w:spacing w:before="0" w:line="226" w:lineRule="exact"/>
        <w:ind w:firstLine="320"/>
      </w:pPr>
      <w:r>
        <w:t xml:space="preserve">Im Rahmen des Evolutionskonzepts müsste man also davon ausgehen, dass die allerletzten Jahrtausende </w:t>
      </w:r>
      <w:r>
        <w:t>der Sprachgeschichte die Periode gewesen wäre, in der die rasantesten und bedeutendsten Entwicklungen stattgefunden haben. Aus dieser Sicht bekommen die vergangenen dokumentierten 5.000 Jahre ein ungeheures Ge</w:t>
      </w:r>
      <w:r>
        <w:softHyphen/>
        <w:t xml:space="preserve">wicht im Zusammenhang mit einer Argumentation </w:t>
      </w:r>
      <w:r>
        <w:t>rund um Schöp</w:t>
      </w:r>
      <w:r>
        <w:softHyphen/>
        <w:t>fung und Evolution.</w:t>
      </w:r>
    </w:p>
    <w:p w:rsidR="00BB7EDA" w:rsidRDefault="007D72B3">
      <w:pPr>
        <w:pStyle w:val="Bodytext20"/>
        <w:shd w:val="clear" w:color="auto" w:fill="auto"/>
        <w:spacing w:before="0" w:line="226" w:lineRule="exact"/>
        <w:ind w:firstLine="320"/>
        <w:sectPr w:rsidR="00BB7EDA">
          <w:footerReference w:type="even" r:id="rId126"/>
          <w:footerReference w:type="default" r:id="rId127"/>
          <w:headerReference w:type="first" r:id="rId128"/>
          <w:footerReference w:type="first" r:id="rId129"/>
          <w:pgSz w:w="7266" w:h="11422"/>
          <w:pgMar w:top="641" w:right="624" w:bottom="1285" w:left="982" w:header="0" w:footer="3" w:gutter="0"/>
          <w:cols w:space="720"/>
          <w:noEndnote/>
          <w:titlePg/>
          <w:docGrid w:linePitch="360"/>
        </w:sectPr>
      </w:pPr>
      <w:r>
        <w:t xml:space="preserve">Nun zwingen die Fakten der dokumentierten Sprachgeschichte </w:t>
      </w:r>
      <w:r>
        <w:t>den Evolutionisten aber zur Annahme, dass einerseits die Schaf</w:t>
      </w:r>
      <w:r>
        <w:softHyphen/>
        <w:t>fung und Aufwärtsentwicklung aller Sprachebenen, inklusive der Bereiche, die sich auch heute der Kreativität des Menschen entzie</w:t>
      </w:r>
      <w:r>
        <w:softHyphen/>
        <w:t>hen, in der Zeit der Primitivität des Menschen, nämlich in der S</w:t>
      </w:r>
      <w:r>
        <w:t xml:space="preserve">teinzeitkultur stattgefunden haben muss, während andererseits die Zeit ab den ältesten Kulturen der Frühgeschichte von Abbau-, Reduktions- und Zerfallsprozessen im Bereich der Formenlehre durch und durch gekennzeichnet ist. </w:t>
      </w:r>
      <w:r>
        <w:rPr>
          <w:rStyle w:val="Bodytext2Italic0"/>
        </w:rPr>
        <w:t>Hier stimmt doch etwas grund</w:t>
      </w:r>
      <w:r>
        <w:rPr>
          <w:rStyle w:val="Bodytext2Italic0"/>
        </w:rPr>
        <w:softHyphen/>
        <w:t>sät</w:t>
      </w:r>
      <w:r>
        <w:rPr>
          <w:rStyle w:val="Bodytext2Italic0"/>
        </w:rPr>
        <w:t>zlich nicht!</w:t>
      </w:r>
      <w:r>
        <w:t xml:space="preserve"> Der Gedanke, dass die Bildung einer komplexen Morphologie Hand in Hand mit kulturellen Entwicklungen vor sich gegangen wäre, käme einer vernünftigen Erwartung entge</w:t>
      </w:r>
      <w:r>
        <w:softHyphen/>
        <w:t>gen. Aber dies war gerade eindeutig nicht der Fall! Übrigens haben wir auch im</w:t>
      </w:r>
      <w:r>
        <w:t xml:space="preserve"> Zusammenhang mit den Eingeborenen-Sprachen ein</w:t>
      </w:r>
      <w:r>
        <w:softHyphen/>
        <w:t>deutig festgestellt, dass zwischen dem Kulturniveau einer Ge</w:t>
      </w:r>
      <w:r>
        <w:softHyphen/>
        <w:t>meinschaft und der Struktur ihrer Sprache gerade kein Zusam</w:t>
      </w:r>
      <w:r>
        <w:softHyphen/>
        <w:t>menhang besteht.</w:t>
      </w:r>
    </w:p>
    <w:p w:rsidR="00BB7EDA" w:rsidRDefault="007D72B3">
      <w:pPr>
        <w:pStyle w:val="Heading40"/>
        <w:keepNext/>
        <w:keepLines/>
        <w:numPr>
          <w:ilvl w:val="1"/>
          <w:numId w:val="185"/>
        </w:numPr>
        <w:shd w:val="clear" w:color="auto" w:fill="auto"/>
        <w:tabs>
          <w:tab w:val="left" w:pos="392"/>
        </w:tabs>
        <w:spacing w:after="0" w:line="466" w:lineRule="exact"/>
      </w:pPr>
      <w:bookmarkStart w:id="124" w:name="bookmark123"/>
      <w:r>
        <w:t>Zyklische oder spiralische Entwicklung</w:t>
      </w:r>
      <w:bookmarkEnd w:id="124"/>
    </w:p>
    <w:p w:rsidR="00BB7EDA" w:rsidRDefault="007D72B3">
      <w:pPr>
        <w:pStyle w:val="Heading50"/>
        <w:keepNext/>
        <w:keepLines/>
        <w:numPr>
          <w:ilvl w:val="2"/>
          <w:numId w:val="185"/>
        </w:numPr>
        <w:shd w:val="clear" w:color="auto" w:fill="auto"/>
        <w:tabs>
          <w:tab w:val="left" w:pos="490"/>
        </w:tabs>
      </w:pPr>
      <w:bookmarkStart w:id="125" w:name="bookmark124"/>
      <w:r>
        <w:t>Einwand</w:t>
      </w:r>
      <w:bookmarkEnd w:id="125"/>
    </w:p>
    <w:p w:rsidR="00BB7EDA" w:rsidRDefault="007D72B3">
      <w:pPr>
        <w:pStyle w:val="Bodytext20"/>
        <w:shd w:val="clear" w:color="auto" w:fill="auto"/>
        <w:spacing w:before="0" w:after="400"/>
      </w:pPr>
      <w:r>
        <w:t xml:space="preserve">Der Linguist Georg </w:t>
      </w:r>
      <w:r>
        <w:rPr>
          <w:rStyle w:val="Bodytext28ptSmallCaps"/>
        </w:rPr>
        <w:t xml:space="preserve">von </w:t>
      </w:r>
      <w:r>
        <w:rPr>
          <w:rStyle w:val="Bodytext28ptSmallCaps"/>
        </w:rPr>
        <w:t xml:space="preserve">der Gabelentz </w:t>
      </w:r>
      <w:r>
        <w:t>legte in seinem Buch „Sprach</w:t>
      </w:r>
      <w:r>
        <w:softHyphen/>
        <w:t xml:space="preserve">wissenschaft" (1891) die Annahme dar, dass die Entwicklungen der Sprachen spiralisch oder zyklisch verlaufen seien. Damit führte er die oben besprochenen Ansätze von </w:t>
      </w:r>
      <w:r>
        <w:rPr>
          <w:rStyle w:val="Bodytext28ptSmallCaps"/>
        </w:rPr>
        <w:t xml:space="preserve">Schlegel </w:t>
      </w:r>
      <w:r>
        <w:t xml:space="preserve">und </w:t>
      </w:r>
      <w:r>
        <w:rPr>
          <w:rStyle w:val="Bodytext28ptSmallCaps"/>
        </w:rPr>
        <w:t xml:space="preserve">Schleicher </w:t>
      </w:r>
      <w:r>
        <w:t xml:space="preserve">etwas weiter. </w:t>
      </w:r>
      <w:r>
        <w:rPr>
          <w:rStyle w:val="Bodytext28ptSmallCaps"/>
        </w:rPr>
        <w:t>Gabelentz</w:t>
      </w:r>
      <w:r>
        <w:rPr>
          <w:rStyle w:val="Bodytext28ptSmallCaps"/>
        </w:rPr>
        <w:t xml:space="preserve"> </w:t>
      </w:r>
      <w:r>
        <w:t>meinte, dass sich möglicherweise Stadien der Isolierung, Agglutination und Flexion immer wieder abgelöst hät</w:t>
      </w:r>
      <w:r>
        <w:softHyphen/>
        <w:t>ten. Man sollte Sprachgeschichte daher nicht prinzipiell als einen linearen Prozess, der von Komplexität zu Einfachheit hin verläuft, betrachten.</w:t>
      </w:r>
      <w:r>
        <w:rPr>
          <w:vertAlign w:val="superscript"/>
        </w:rPr>
        <w:t>4</w:t>
      </w:r>
      <w:r>
        <w:rPr>
          <w:vertAlign w:val="superscript"/>
        </w:rPr>
        <w:t>54</w:t>
      </w:r>
    </w:p>
    <w:p w:rsidR="00BB7EDA" w:rsidRDefault="007D72B3">
      <w:pPr>
        <w:pStyle w:val="Heading50"/>
        <w:keepNext/>
        <w:keepLines/>
        <w:numPr>
          <w:ilvl w:val="2"/>
          <w:numId w:val="185"/>
        </w:numPr>
        <w:shd w:val="clear" w:color="auto" w:fill="auto"/>
        <w:tabs>
          <w:tab w:val="left" w:pos="500"/>
        </w:tabs>
        <w:spacing w:after="218" w:line="180" w:lineRule="exact"/>
      </w:pPr>
      <w:bookmarkStart w:id="126" w:name="bookmark125"/>
      <w:r>
        <w:t>Entgegnung</w:t>
      </w:r>
      <w:bookmarkEnd w:id="126"/>
    </w:p>
    <w:p w:rsidR="00BB7EDA" w:rsidRDefault="007D72B3">
      <w:pPr>
        <w:pStyle w:val="Bodytext100"/>
        <w:numPr>
          <w:ilvl w:val="3"/>
          <w:numId w:val="185"/>
        </w:numPr>
        <w:shd w:val="clear" w:color="auto" w:fill="auto"/>
        <w:tabs>
          <w:tab w:val="left" w:pos="654"/>
        </w:tabs>
        <w:spacing w:before="0"/>
        <w:ind w:firstLine="0"/>
      </w:pPr>
      <w:r>
        <w:t>Lineare contra zyklische Bewegung</w:t>
      </w:r>
    </w:p>
    <w:p w:rsidR="00BB7EDA" w:rsidRDefault="007D72B3">
      <w:pPr>
        <w:pStyle w:val="Bodytext20"/>
        <w:shd w:val="clear" w:color="auto" w:fill="auto"/>
        <w:spacing w:before="0" w:line="226" w:lineRule="exact"/>
      </w:pPr>
      <w:r>
        <w:t xml:space="preserve">Die Schwäche dieses Einwandes besteht schon darin, dass er sich lediglich auf eine </w:t>
      </w:r>
      <w:r>
        <w:rPr>
          <w:rStyle w:val="Bodytext2Italic0"/>
        </w:rPr>
        <w:t>Annahme</w:t>
      </w:r>
      <w:r>
        <w:t xml:space="preserve"> abstützt. Durch die </w:t>
      </w:r>
      <w:r>
        <w:rPr>
          <w:rStyle w:val="Bodytext2Italic0"/>
        </w:rPr>
        <w:t>real erforschbare</w:t>
      </w:r>
      <w:r>
        <w:t xml:space="preserve"> Sprach</w:t>
      </w:r>
      <w:r>
        <w:softHyphen/>
        <w:t xml:space="preserve">geschichte kann die Behauptung einer zyklischen Entwicklung nicht </w:t>
      </w:r>
      <w:r>
        <w:t>bestätigt werden! Letztlich muss man zur Aufrechterhaltung dieser Ansicht wieder in den großen Zeiträumen der Evolutionslehre, von denen oben die Rede war, Zuflucht suchen. Dabei bleibt man aber stets im Bereich der Spekulation.</w:t>
      </w:r>
    </w:p>
    <w:p w:rsidR="00BB7EDA" w:rsidRDefault="007D72B3">
      <w:pPr>
        <w:pStyle w:val="Bodytext20"/>
        <w:shd w:val="clear" w:color="auto" w:fill="auto"/>
        <w:spacing w:before="0" w:after="180" w:line="226" w:lineRule="exact"/>
        <w:ind w:firstLine="320"/>
      </w:pPr>
      <w:r>
        <w:t>Die Sprachgeschichte der ve</w:t>
      </w:r>
      <w:r>
        <w:t xml:space="preserve">rgangenen 5.000 Jahre verlief </w:t>
      </w:r>
      <w:r>
        <w:rPr>
          <w:rStyle w:val="Bodytext2Italic0"/>
        </w:rPr>
        <w:t xml:space="preserve">linear </w:t>
      </w:r>
      <w:r>
        <w:t>von morphologischer Komplexität im Bereich der Formenlehre als Folge von weltweit wirksamen und beobachtbaren Abbau- und Reduktionsprozessen hin zu immer stärkerer Vereinfachung.</w:t>
      </w:r>
    </w:p>
    <w:p w:rsidR="00BB7EDA" w:rsidRDefault="007D72B3">
      <w:pPr>
        <w:pStyle w:val="Bodytext100"/>
        <w:numPr>
          <w:ilvl w:val="3"/>
          <w:numId w:val="185"/>
        </w:numPr>
        <w:shd w:val="clear" w:color="auto" w:fill="auto"/>
        <w:tabs>
          <w:tab w:val="left" w:pos="658"/>
        </w:tabs>
        <w:spacing w:before="0"/>
        <w:ind w:firstLine="0"/>
      </w:pPr>
      <w:r>
        <w:t>Synthetische Formen entstanden ans analy</w:t>
      </w:r>
      <w:r>
        <w:t>tischen</w:t>
      </w:r>
    </w:p>
    <w:p w:rsidR="00BB7EDA" w:rsidRDefault="007D72B3">
      <w:pPr>
        <w:pStyle w:val="Bodytext20"/>
        <w:shd w:val="clear" w:color="auto" w:fill="auto"/>
        <w:spacing w:before="0" w:line="226" w:lineRule="exact"/>
      </w:pPr>
      <w:r>
        <w:t>Dies schließt aber nicht aus, dass in gewissen Fällen durch Zusammen</w:t>
      </w:r>
      <w:r>
        <w:softHyphen/>
        <w:t xml:space="preserve">zug analytischer Formen tatsächlich synthetische entstanden sind. Ein wirklich gutes Beispiel dafür ist das französische Futur, das nicht einfach eine theoretische Rekonstruktion </w:t>
      </w:r>
      <w:r>
        <w:t xml:space="preserve">darstellt, sondern durch Dokumente real belegt werden kann: Im Latein gingen einst die synthetischen Futurformen durch Reduktionsprozesse verloren. Sie wurden durch eine Umschreibung, Infinitiv plus Hilfsverb </w:t>
      </w:r>
      <w:r>
        <w:rPr>
          <w:rStyle w:val="Bodytext2Italic0"/>
        </w:rPr>
        <w:t xml:space="preserve">habere </w:t>
      </w:r>
      <w:r>
        <w:t>(„haben"), ersetzt. Das heutige Futur im</w:t>
      </w:r>
      <w:r>
        <w:t xml:space="preserve"> Französischen stellt ein unzertrennlicher grammatikalisierter Zusammenzug dieses ur</w:t>
      </w:r>
      <w:r>
        <w:softHyphen/>
        <w:t xml:space="preserve">sprünglich einmal rein syntaktischen Gefüges aus dem späten Latein dar. So ist z.B. der Ausdruck/’e </w:t>
      </w:r>
      <w:r>
        <w:rPr>
          <w:rStyle w:val="Bodytext2Italic0"/>
        </w:rPr>
        <w:t>chanter-ai</w:t>
      </w:r>
      <w:r>
        <w:t xml:space="preserve"> („ich werde singen") nichts anderes als eine Zusammensetzung</w:t>
      </w:r>
      <w:r>
        <w:t xml:space="preserve"> aus dem Infinitiv </w:t>
      </w:r>
      <w:r>
        <w:rPr>
          <w:rStyle w:val="Bodytext2Italic0"/>
        </w:rPr>
        <w:t>chanter</w:t>
      </w:r>
      <w:r>
        <w:t xml:space="preserve"> und der 1. Person, Singular von </w:t>
      </w:r>
      <w:r>
        <w:rPr>
          <w:rStyle w:val="Bodytext2Italic0"/>
        </w:rPr>
        <w:t>avoir</w:t>
      </w:r>
      <w:r>
        <w:t xml:space="preserve"> („haben").</w:t>
      </w:r>
    </w:p>
    <w:p w:rsidR="00BB7EDA" w:rsidRDefault="007D72B3">
      <w:pPr>
        <w:pStyle w:val="Bodytext20"/>
        <w:shd w:val="clear" w:color="auto" w:fill="auto"/>
        <w:spacing w:before="0" w:after="176" w:line="226" w:lineRule="exact"/>
        <w:ind w:firstLine="320"/>
      </w:pPr>
      <w:r>
        <w:t>Parallele Fälle könnten auch in anderen Sprachen aufgezeigt werden. So lassen sich z.B. - allerdings lediglich durch Rekonstruk</w:t>
      </w:r>
      <w:r>
        <w:softHyphen/>
        <w:t>tion, was ja den methodischen Grundsätzen in der vor</w:t>
      </w:r>
      <w:r>
        <w:t>liegenden Arbeit widerspricht, aber in Anbetracht des Mangels an guten Bei</w:t>
      </w:r>
      <w:r>
        <w:softHyphen/>
        <w:t>spielen, die real beobachtbar sind, dennoch von Interesse ist-, auch die Passivformen in den skandinavischen Sprachen (Schwedisch, Norwegisch und Dänisch) erklären.</w:t>
      </w:r>
      <w:r>
        <w:rPr>
          <w:vertAlign w:val="superscript"/>
        </w:rPr>
        <w:t>455</w:t>
      </w:r>
      <w:r>
        <w:t xml:space="preserve"> Die Passivfle</w:t>
      </w:r>
      <w:r>
        <w:t>xion in diesen Sprachen kann als Verschmelzung der aktiven Form mit dem Refle</w:t>
      </w:r>
      <w:r>
        <w:softHyphen/>
        <w:t xml:space="preserve">xivpronomen </w:t>
      </w:r>
      <w:r>
        <w:rPr>
          <w:rStyle w:val="Bodytext2Italic0"/>
        </w:rPr>
        <w:t>sik</w:t>
      </w:r>
      <w:r>
        <w:t xml:space="preserve"> („sich") bzw. </w:t>
      </w:r>
      <w:r>
        <w:rPr>
          <w:rStyle w:val="Bodytext2Italic0"/>
        </w:rPr>
        <w:t>sig</w:t>
      </w:r>
      <w:r>
        <w:t xml:space="preserve"> gedeutet werden. Es wird ange</w:t>
      </w:r>
      <w:r>
        <w:softHyphen/>
        <w:t>nommen, dass dieser Prozess zur Zeit der Wikinger oder noch früher stattgefunden hat. Hier ein Beispiel aus dem Dä</w:t>
      </w:r>
      <w:r>
        <w:t>nischen:</w:t>
      </w:r>
    </w:p>
    <w:p w:rsidR="00BB7EDA" w:rsidRDefault="007D72B3">
      <w:pPr>
        <w:pStyle w:val="Bodytext20"/>
        <w:shd w:val="clear" w:color="auto" w:fill="auto"/>
        <w:spacing w:before="0"/>
        <w:ind w:left="600"/>
      </w:pPr>
      <w:r>
        <w:t>Präsens:</w:t>
      </w:r>
    </w:p>
    <w:p w:rsidR="00BB7EDA" w:rsidRDefault="007D72B3">
      <w:pPr>
        <w:pStyle w:val="Bodytext20"/>
        <w:shd w:val="clear" w:color="auto" w:fill="auto"/>
        <w:tabs>
          <w:tab w:val="right" w:pos="2527"/>
        </w:tabs>
        <w:spacing w:before="0"/>
        <w:ind w:left="600"/>
      </w:pPr>
      <w:r>
        <w:rPr>
          <w:rStyle w:val="Bodytext2Italic0"/>
        </w:rPr>
        <w:t>vi kaller</w:t>
      </w:r>
      <w:r>
        <w:tab/>
        <w:t>wir rufen</w:t>
      </w:r>
    </w:p>
    <w:p w:rsidR="00BB7EDA" w:rsidRDefault="007D72B3">
      <w:pPr>
        <w:pStyle w:val="Bodytext20"/>
        <w:shd w:val="clear" w:color="auto" w:fill="auto"/>
        <w:tabs>
          <w:tab w:val="right" w:pos="2719"/>
          <w:tab w:val="right" w:pos="3403"/>
        </w:tabs>
        <w:spacing w:before="0" w:after="220"/>
        <w:ind w:left="600"/>
      </w:pPr>
      <w:r>
        <w:rPr>
          <w:rStyle w:val="Bodytext2Italic0"/>
        </w:rPr>
        <w:t>vi kalles</w:t>
      </w:r>
      <w:r>
        <w:tab/>
        <w:t>wir werden</w:t>
      </w:r>
      <w:r>
        <w:tab/>
        <w:t>gerufen</w:t>
      </w:r>
    </w:p>
    <w:p w:rsidR="00BB7EDA" w:rsidRDefault="007D72B3">
      <w:pPr>
        <w:pStyle w:val="Bodytext20"/>
        <w:shd w:val="clear" w:color="auto" w:fill="auto"/>
        <w:spacing w:before="0" w:line="180" w:lineRule="exact"/>
        <w:ind w:left="600"/>
      </w:pPr>
      <w:r>
        <w:t>Präteritum:</w:t>
      </w:r>
    </w:p>
    <w:p w:rsidR="00BB7EDA" w:rsidRDefault="007D72B3">
      <w:pPr>
        <w:pStyle w:val="Bodytext20"/>
        <w:shd w:val="clear" w:color="auto" w:fill="auto"/>
        <w:tabs>
          <w:tab w:val="right" w:pos="2527"/>
        </w:tabs>
        <w:spacing w:before="0" w:line="226" w:lineRule="exact"/>
        <w:ind w:left="600"/>
      </w:pPr>
      <w:r>
        <w:rPr>
          <w:rStyle w:val="Bodytext2Italic0"/>
        </w:rPr>
        <w:t>vi kallede</w:t>
      </w:r>
      <w:r>
        <w:tab/>
        <w:t>wir riefen</w:t>
      </w:r>
    </w:p>
    <w:p w:rsidR="00BB7EDA" w:rsidRDefault="007D72B3">
      <w:pPr>
        <w:pStyle w:val="Bodytext20"/>
        <w:shd w:val="clear" w:color="auto" w:fill="auto"/>
        <w:tabs>
          <w:tab w:val="right" w:pos="2719"/>
          <w:tab w:val="right" w:pos="3403"/>
        </w:tabs>
        <w:spacing w:before="0" w:after="176" w:line="226" w:lineRule="exact"/>
        <w:ind w:left="600"/>
      </w:pPr>
      <w:r>
        <w:rPr>
          <w:rStyle w:val="Bodytext2Italic0"/>
        </w:rPr>
        <w:t>vi kalledes</w:t>
      </w:r>
      <w:r>
        <w:tab/>
        <w:t>wir wurden</w:t>
      </w:r>
      <w:r>
        <w:tab/>
        <w:t>gerufen</w:t>
      </w:r>
    </w:p>
    <w:p w:rsidR="00BB7EDA" w:rsidRDefault="007D72B3">
      <w:pPr>
        <w:pStyle w:val="Bodytext20"/>
        <w:shd w:val="clear" w:color="auto" w:fill="auto"/>
        <w:spacing w:before="0"/>
        <w:ind w:firstLine="320"/>
      </w:pPr>
      <w:r>
        <w:t xml:space="preserve">Das aktive Verb kann durch Anhängen eines -s zu einem Passiv umgewandelt werden. Formen, die auf </w:t>
      </w:r>
      <w:r>
        <w:rPr>
          <w:rStyle w:val="Bodytext2Italic0"/>
        </w:rPr>
        <w:t>-r</w:t>
      </w:r>
      <w:r>
        <w:t xml:space="preserve"> auslauten, werfen dieses Phonem ab.</w:t>
      </w:r>
    </w:p>
    <w:p w:rsidR="00BB7EDA" w:rsidRDefault="007D72B3">
      <w:pPr>
        <w:pStyle w:val="Bodytext20"/>
        <w:shd w:val="clear" w:color="auto" w:fill="auto"/>
        <w:spacing w:before="0" w:line="226" w:lineRule="exact"/>
        <w:ind w:firstLine="320"/>
      </w:pPr>
      <w:r>
        <w:t>Selbst wenn das skandinavische Passiv wirklich eine spätere Entwicklung, und damit einerseits eine spätere Bereicherung des Flexionssystems darstellen sollte, so muss man in diesem Zusam</w:t>
      </w:r>
      <w:r>
        <w:softHyphen/>
        <w:t>menhang andererseits gut beachte</w:t>
      </w:r>
      <w:r>
        <w:t>n, dass das Verb sonst gar keine Personalendungen (mehr) besitzt.</w:t>
      </w:r>
    </w:p>
    <w:p w:rsidR="00BB7EDA" w:rsidRDefault="007D72B3">
      <w:pPr>
        <w:pStyle w:val="Bodytext20"/>
        <w:shd w:val="clear" w:color="auto" w:fill="auto"/>
        <w:spacing w:before="0" w:line="226" w:lineRule="exact"/>
        <w:ind w:firstLine="320"/>
      </w:pPr>
      <w:r>
        <w:t>Trotz solcher Beispiele, wo analytische Formen später zu synthe</w:t>
      </w:r>
      <w:r>
        <w:softHyphen/>
        <w:t>tischen geworden sind, bleibt daher die Tatsache unantastbar beste</w:t>
      </w:r>
      <w:r>
        <w:softHyphen/>
        <w:t xml:space="preserve">hen, dass sich dadurch niemals der morphologische </w:t>
      </w:r>
      <w:r>
        <w:rPr>
          <w:rStyle w:val="Bodytext2Italic0"/>
        </w:rPr>
        <w:t>Zusammenb</w:t>
      </w:r>
      <w:r>
        <w:rPr>
          <w:rStyle w:val="Bodytext2Italic0"/>
        </w:rPr>
        <w:t xml:space="preserve">ruch </w:t>
      </w:r>
      <w:r>
        <w:t>im Bereich der Flexionen wettmachen ließe. Die Bildung von synthe</w:t>
      </w:r>
      <w:r>
        <w:softHyphen/>
        <w:t>tischen Formen, die nachweislich, also real beobachtbar, auf analyti</w:t>
      </w:r>
      <w:r>
        <w:softHyphen/>
        <w:t>sche zurückgehen, ist sehr selten. Das umgekehrte stellt auf der anderen Seite das Übliche dar. Es ist nicht möglich</w:t>
      </w:r>
      <w:r>
        <w:t>, die reiche Flexionsmorphologie der alten Sprachen durch sekundären Zusammenzug analytischer Vorstufen zu erklären. Nebenbei ge</w:t>
      </w:r>
      <w:r>
        <w:softHyphen/>
        <w:t>sagt, würden bei einem solchen Erklärungsversuch in besonderer Weise die Erscheinungen des Ablauts</w:t>
      </w:r>
      <w:r>
        <w:rPr>
          <w:vertAlign w:val="superscript"/>
        </w:rPr>
        <w:footnoteReference w:id="372"/>
      </w:r>
      <w:r>
        <w:t xml:space="preserve"> und der diskontinuierlichen</w:t>
      </w:r>
      <w:r>
        <w:t xml:space="preserve"> Morpheme</w:t>
      </w:r>
      <w:r>
        <w:rPr>
          <w:vertAlign w:val="superscript"/>
        </w:rPr>
        <w:footnoteReference w:id="373"/>
      </w:r>
      <w:r>
        <w:t xml:space="preserve"> besondere Schwierigkeiten bereiten.</w:t>
      </w:r>
    </w:p>
    <w:p w:rsidR="00BB7EDA" w:rsidRDefault="007D72B3">
      <w:pPr>
        <w:pStyle w:val="Bodytext20"/>
        <w:shd w:val="clear" w:color="auto" w:fill="auto"/>
        <w:spacing w:before="0" w:line="226" w:lineRule="exact"/>
        <w:ind w:firstLine="320"/>
      </w:pPr>
      <w:r>
        <w:t>Das bemerkenswerte Beispiel von nachträglicher Bildung synthe</w:t>
      </w:r>
      <w:r>
        <w:softHyphen/>
        <w:t>tischer Formen aus analytischen im Französischen muss übrigens in einem Gesamtzusammenhang gesehen werden: Trotz diesem Phäno</w:t>
      </w:r>
      <w:r>
        <w:softHyphen/>
        <w:t>men ändert sich nicht</w:t>
      </w:r>
      <w:r>
        <w:t>s daran, dass sich das Französische durch den fortwährenden Verlust an synthetischen Formen von einer flektieren</w:t>
      </w:r>
      <w:r>
        <w:softHyphen/>
        <w:t>den Sprache zum isolierenden Typus hinbewegt. Wir haben ja auch schon gesehen, dass den über 170 Verbformen im Lateinischen, im Französischen n</w:t>
      </w:r>
      <w:r>
        <w:t>ur noch ca. 40 synthetische Flexionen gegenüberste</w:t>
      </w:r>
      <w:r>
        <w:softHyphen/>
        <w:t>hen. Dem Französischen widerfuhr somit das gleiche Schicksal wie unzähligen anderen Sprachen. Dabei ist aber Folgendes beachtlich: Das umgekehrte, die Entwicklung von einer isolierenden hin zu einer flekti</w:t>
      </w:r>
      <w:r>
        <w:t>erenden Sprache konnte man nirgends durch reale Beobachtung nachweisen! Aber genau dies sollte nachweisbar sein, falls die evolutionistische Sicht der Sprachentstehung realistisch sein sollte.</w:t>
      </w:r>
    </w:p>
    <w:p w:rsidR="00BB7EDA" w:rsidRDefault="007D72B3">
      <w:pPr>
        <w:pStyle w:val="Bodytext80"/>
        <w:shd w:val="clear" w:color="auto" w:fill="auto"/>
        <w:spacing w:after="433"/>
        <w:ind w:firstLine="320"/>
      </w:pPr>
      <w:r>
        <w:rPr>
          <w:rStyle w:val="Bodytext8NotItalic"/>
        </w:rPr>
        <w:t xml:space="preserve">Dies veranlasst uns zu folgendem zwingenden Fazit: </w:t>
      </w:r>
      <w:r>
        <w:t>Eine zykli</w:t>
      </w:r>
      <w:r>
        <w:softHyphen/>
        <w:t>s</w:t>
      </w:r>
      <w:r>
        <w:t xml:space="preserve">che bzw. spiralische Bewegung ist nirgends beobachtbar. Die Theorie von </w:t>
      </w:r>
      <w:r>
        <w:rPr>
          <w:rStyle w:val="Bodytext8TrebuchetMS5ptSmallCaps"/>
          <w:i/>
          <w:iCs/>
        </w:rPr>
        <w:t xml:space="preserve">Gabelentz </w:t>
      </w:r>
      <w:r>
        <w:t>ist fiktiv und unhaltbar.</w:t>
      </w:r>
    </w:p>
    <w:p w:rsidR="00BB7EDA" w:rsidRDefault="007D72B3">
      <w:pPr>
        <w:pStyle w:val="Heading40"/>
        <w:keepNext/>
        <w:keepLines/>
        <w:numPr>
          <w:ilvl w:val="1"/>
          <w:numId w:val="185"/>
        </w:numPr>
        <w:shd w:val="clear" w:color="auto" w:fill="auto"/>
        <w:tabs>
          <w:tab w:val="left" w:pos="394"/>
        </w:tabs>
        <w:spacing w:after="248" w:line="210" w:lineRule="exact"/>
        <w:ind w:left="320" w:hanging="320"/>
      </w:pPr>
      <w:bookmarkStart w:id="127" w:name="bookmark126"/>
      <w:r>
        <w:t>Einfachheit und Intelligenz</w:t>
      </w:r>
      <w:bookmarkEnd w:id="127"/>
    </w:p>
    <w:p w:rsidR="00BB7EDA" w:rsidRDefault="007D72B3">
      <w:pPr>
        <w:pStyle w:val="Heading50"/>
        <w:keepNext/>
        <w:keepLines/>
        <w:numPr>
          <w:ilvl w:val="2"/>
          <w:numId w:val="185"/>
        </w:numPr>
        <w:shd w:val="clear" w:color="auto" w:fill="auto"/>
        <w:tabs>
          <w:tab w:val="left" w:pos="500"/>
        </w:tabs>
        <w:spacing w:after="214" w:line="180" w:lineRule="exact"/>
        <w:ind w:left="320" w:hanging="320"/>
      </w:pPr>
      <w:bookmarkStart w:id="128" w:name="bookmark127"/>
      <w:r>
        <w:t>Einwände</w:t>
      </w:r>
      <w:bookmarkEnd w:id="128"/>
    </w:p>
    <w:p w:rsidR="00BB7EDA" w:rsidRDefault="007D72B3">
      <w:pPr>
        <w:pStyle w:val="Bodytext20"/>
        <w:numPr>
          <w:ilvl w:val="0"/>
          <w:numId w:val="186"/>
        </w:numPr>
        <w:shd w:val="clear" w:color="auto" w:fill="auto"/>
        <w:tabs>
          <w:tab w:val="left" w:pos="334"/>
        </w:tabs>
        <w:spacing w:before="0"/>
        <w:ind w:left="320" w:hanging="320"/>
      </w:pPr>
      <w:r>
        <w:t>Die allgemeine Entwicklung weg von komplexen morphologi</w:t>
      </w:r>
      <w:r>
        <w:softHyphen/>
        <w:t xml:space="preserve">schen Strukturen der Formenlehre hin zum Einfacheren </w:t>
      </w:r>
      <w:r>
        <w:t>durch syntaktische Umschreibungen sollte als Aufwärtsentwicklung betrachet werden. Es ist doch intelligenter, wenn man sich mit einfacheren Mitteln gut auszudrücken vermag.</w:t>
      </w:r>
    </w:p>
    <w:p w:rsidR="00BB7EDA" w:rsidRDefault="007D72B3">
      <w:pPr>
        <w:pStyle w:val="Bodytext20"/>
        <w:numPr>
          <w:ilvl w:val="0"/>
          <w:numId w:val="186"/>
        </w:numPr>
        <w:shd w:val="clear" w:color="auto" w:fill="auto"/>
        <w:tabs>
          <w:tab w:val="left" w:pos="334"/>
        </w:tabs>
        <w:spacing w:before="0" w:line="226" w:lineRule="exact"/>
        <w:ind w:left="320" w:hanging="320"/>
        <w:sectPr w:rsidR="00BB7EDA">
          <w:footerReference w:type="even" r:id="rId130"/>
          <w:footerReference w:type="default" r:id="rId131"/>
          <w:footerReference w:type="first" r:id="rId132"/>
          <w:pgSz w:w="7266" w:h="11422"/>
          <w:pgMar w:top="641" w:right="624" w:bottom="1285" w:left="982" w:header="0" w:footer="3" w:gutter="0"/>
          <w:cols w:space="720"/>
          <w:noEndnote/>
          <w:titlePg/>
          <w:docGrid w:linePitch="360"/>
        </w:sectPr>
      </w:pPr>
      <w:r>
        <w:t>Morphologisch simple Sprachen sind zudem für Fremdsprachi</w:t>
      </w:r>
      <w:r>
        <w:softHyphen/>
        <w:t>ge leichter zu erlernen, was ein großer Vorteil im Zusammen</w:t>
      </w:r>
      <w:r>
        <w:softHyphen/>
      </w:r>
      <w:r>
        <w:t>hang mit der Überwindung von Sprachbarrieren darstellt.</w:t>
      </w:r>
    </w:p>
    <w:p w:rsidR="00BB7EDA" w:rsidRDefault="00BB7EDA">
      <w:pPr>
        <w:spacing w:line="177" w:lineRule="exact"/>
        <w:rPr>
          <w:sz w:val="14"/>
          <w:szCs w:val="14"/>
        </w:rPr>
      </w:pPr>
    </w:p>
    <w:p w:rsidR="00BB7EDA" w:rsidRDefault="00BB7EDA">
      <w:pPr>
        <w:rPr>
          <w:sz w:val="2"/>
          <w:szCs w:val="2"/>
        </w:rPr>
        <w:sectPr w:rsidR="00BB7EDA">
          <w:footerReference w:type="even" r:id="rId133"/>
          <w:footerReference w:type="default" r:id="rId134"/>
          <w:headerReference w:type="first" r:id="rId135"/>
          <w:footerReference w:type="first" r:id="rId136"/>
          <w:pgSz w:w="7266" w:h="11422"/>
          <w:pgMar w:top="909" w:right="0" w:bottom="1029" w:left="0" w:header="0" w:footer="3" w:gutter="0"/>
          <w:cols w:space="720"/>
          <w:noEndnote/>
          <w:titlePg/>
          <w:docGrid w:linePitch="360"/>
        </w:sectPr>
      </w:pPr>
    </w:p>
    <w:p w:rsidR="00BB7EDA" w:rsidRDefault="007D72B3">
      <w:pPr>
        <w:pStyle w:val="Bodytext20"/>
        <w:shd w:val="clear" w:color="auto" w:fill="auto"/>
        <w:spacing w:before="0" w:after="184"/>
      </w:pPr>
      <w:r>
        <w:t xml:space="preserve">Hier muss zunächst nochmals, und diesmal etwas </w:t>
      </w:r>
      <w:r>
        <w:t>ausführlicher, auf Vorteile hingewiesen werden, die sich aus dem Formenreichtum einer Sprache ergeben:</w:t>
      </w:r>
    </w:p>
    <w:p w:rsidR="00BB7EDA" w:rsidRDefault="007D72B3">
      <w:pPr>
        <w:pStyle w:val="Bodytext100"/>
        <w:numPr>
          <w:ilvl w:val="0"/>
          <w:numId w:val="187"/>
        </w:numPr>
        <w:shd w:val="clear" w:color="auto" w:fill="auto"/>
        <w:tabs>
          <w:tab w:val="left" w:pos="644"/>
        </w:tabs>
        <w:spacing w:before="0"/>
        <w:ind w:firstLine="0"/>
      </w:pPr>
      <w:r>
        <w:t>Ökonomie (Sparsamkeit)</w:t>
      </w:r>
    </w:p>
    <w:p w:rsidR="00BB7EDA" w:rsidRDefault="007D72B3">
      <w:pPr>
        <w:pStyle w:val="Bodytext20"/>
        <w:shd w:val="clear" w:color="auto" w:fill="auto"/>
        <w:spacing w:before="0" w:line="226" w:lineRule="exact"/>
      </w:pPr>
      <w:r>
        <w:t>Dank morphologischem Reichtum kann man sich in manchen Fällen kompakter und kürzer ausdrücken. Einige Beispiele sollen dies illust</w:t>
      </w:r>
      <w:r>
        <w:t>rieren:</w:t>
      </w:r>
    </w:p>
    <w:p w:rsidR="00BB7EDA" w:rsidRDefault="007D72B3">
      <w:pPr>
        <w:pStyle w:val="Bodytext20"/>
        <w:shd w:val="clear" w:color="auto" w:fill="auto"/>
        <w:spacing w:before="0" w:line="226" w:lineRule="exact"/>
        <w:ind w:firstLine="320"/>
      </w:pPr>
      <w:r>
        <w:t>Das eine akkadische Wort</w:t>
      </w:r>
      <w:r>
        <w:rPr>
          <w:rStyle w:val="Bodytext2Italic0"/>
        </w:rPr>
        <w:t>atrudakussu</w:t>
      </w:r>
      <w:r>
        <w:t xml:space="preserve"> muss im Deutschen durch 5 Wörter ausgedrückt werden: „Ich sandte ihn zu dir".</w:t>
      </w:r>
    </w:p>
    <w:p w:rsidR="00BB7EDA" w:rsidRDefault="007D72B3">
      <w:pPr>
        <w:pStyle w:val="Bodytext20"/>
        <w:shd w:val="clear" w:color="auto" w:fill="auto"/>
        <w:spacing w:before="0" w:line="226" w:lineRule="exact"/>
        <w:ind w:firstLine="320"/>
      </w:pPr>
      <w:r>
        <w:t xml:space="preserve">Um den genauen Sinn des altgriechischen Wortes </w:t>
      </w:r>
      <w:r>
        <w:rPr>
          <w:rStyle w:val="Bodytext2Italic0"/>
        </w:rPr>
        <w:t>episteuon</w:t>
      </w:r>
      <w:r>
        <w:t xml:space="preserve"> im Deutschen genau wiederzugeben, braucht man je nachdem eine Umschreibung vo</w:t>
      </w:r>
      <w:r>
        <w:t>n 3 bzw. 4 Wörtern: „Er glaubte fortwährend" oder „Er glaubte immer wieder".</w:t>
      </w:r>
    </w:p>
    <w:p w:rsidR="00BB7EDA" w:rsidRDefault="007D72B3">
      <w:pPr>
        <w:pStyle w:val="Bodytext20"/>
        <w:shd w:val="clear" w:color="auto" w:fill="auto"/>
        <w:spacing w:before="0" w:line="226" w:lineRule="exact"/>
        <w:ind w:firstLine="320"/>
      </w:pPr>
      <w:r>
        <w:t>Vergleicht man z.B. Latein mit Französisch und Altgriechisch mit Neugriechisch, so kann man eindrücklich sehen, dass die ältere Sprache statistisch gesehen vielfach mit einer geri</w:t>
      </w:r>
      <w:r>
        <w:t>ngeren Wort- bzw. Buchstabenzahl den gleichen Informationsgehalt auszudrücken ver</w:t>
      </w:r>
      <w:r>
        <w:softHyphen/>
        <w:t>mag,</w:t>
      </w:r>
      <w:r>
        <w:rPr>
          <w:vertAlign w:val="superscript"/>
        </w:rPr>
        <w:footnoteReference w:id="374"/>
      </w:r>
      <w:r>
        <w:t xml:space="preserve"> und dies obwohl ältere Sprachstufen tendenziell längere, noch unreduzierte Vollformen aufweisen.</w:t>
      </w:r>
      <w:r>
        <w:rPr>
          <w:vertAlign w:val="superscript"/>
        </w:rPr>
        <w:footnoteReference w:id="375"/>
      </w:r>
      <w:r>
        <w:t xml:space="preserve"> Informationstheoretisch ausgedrückt, könnte man die folgende Regel auf</w:t>
      </w:r>
      <w:r>
        <w:t>stellen: Je mehr eine Sprache ihre morphologischen Elemente abwirft und durch Um</w:t>
      </w:r>
      <w:r>
        <w:softHyphen/>
        <w:t>schreibungen ersetzt, desto mehr kann sich die Bitezahl, um einen bestimmten Informationsgehalt weiterzugeben, erhöhen. Damit kann aber eine Sprache in gewissen Hinsichten unö</w:t>
      </w:r>
      <w:r>
        <w:t xml:space="preserve">konomischer werden. Hier gilt aber: </w:t>
      </w:r>
      <w:r>
        <w:rPr>
          <w:rStyle w:val="Bodytext2Italic0"/>
        </w:rPr>
        <w:t>Komplex-strukturelle Ökonomie ist an sich ein Ausdruck von Intelligenz.</w:t>
      </w:r>
    </w:p>
    <w:p w:rsidR="00BB7EDA" w:rsidRDefault="007D72B3">
      <w:pPr>
        <w:pStyle w:val="Bodytext20"/>
        <w:shd w:val="clear" w:color="auto" w:fill="auto"/>
        <w:spacing w:before="0" w:after="180" w:line="226" w:lineRule="exact"/>
        <w:ind w:firstLine="320"/>
      </w:pPr>
      <w:r>
        <w:t>Wie bereits angesprochen, muss in diesem Zusammenhang fest</w:t>
      </w:r>
      <w:r>
        <w:softHyphen/>
        <w:t>gehalten werden, dass Sprachen, die einen morphologischen Reduk</w:t>
      </w:r>
      <w:r>
        <w:softHyphen/>
        <w:t xml:space="preserve">tionsprozess hinter sich </w:t>
      </w:r>
      <w:r>
        <w:t>haben, die Tendenz haben, kürzere Wörter als früher zu besitzen. Der Abschleifprozess führt nämlich im Allge</w:t>
      </w:r>
      <w:r>
        <w:softHyphen/>
        <w:t>meinen dazu, dass aus Vollformen Kurzformen entstehen.</w:t>
      </w:r>
    </w:p>
    <w:p w:rsidR="00BB7EDA" w:rsidRDefault="007D72B3">
      <w:pPr>
        <w:pStyle w:val="Bodytext20"/>
        <w:shd w:val="clear" w:color="auto" w:fill="auto"/>
        <w:spacing w:before="0" w:line="226" w:lineRule="exact"/>
        <w:ind w:firstLine="320"/>
      </w:pPr>
      <w:r>
        <w:t>Hierzu einige Beispiele aus dem Lateinischen und dem Französi</w:t>
      </w:r>
      <w:r>
        <w:softHyphen/>
        <w:t>schen (in phonetischer Schrift</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18"/>
        <w:gridCol w:w="1478"/>
        <w:gridCol w:w="1301"/>
      </w:tblGrid>
      <w:tr w:rsidR="00BB7EDA">
        <w:tblPrEx>
          <w:tblCellMar>
            <w:top w:w="0" w:type="dxa"/>
            <w:bottom w:w="0" w:type="dxa"/>
          </w:tblCellMar>
        </w:tblPrEx>
        <w:trPr>
          <w:trHeight w:hRule="exact" w:val="230"/>
          <w:jc w:val="center"/>
        </w:trPr>
        <w:tc>
          <w:tcPr>
            <w:tcW w:w="101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jc w:val="left"/>
            </w:pPr>
            <w:r>
              <w:t>Lateinisch</w:t>
            </w:r>
          </w:p>
        </w:tc>
        <w:tc>
          <w:tcPr>
            <w:tcW w:w="147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160"/>
              <w:jc w:val="left"/>
            </w:pPr>
            <w:r>
              <w:t>Französisch</w:t>
            </w:r>
          </w:p>
        </w:tc>
        <w:tc>
          <w:tcPr>
            <w:tcW w:w="1301"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360"/>
              <w:jc w:val="left"/>
            </w:pPr>
            <w:r>
              <w:t>Bedeutung</w:t>
            </w:r>
          </w:p>
        </w:tc>
      </w:tr>
      <w:tr w:rsidR="00BB7EDA">
        <w:tblPrEx>
          <w:tblCellMar>
            <w:top w:w="0" w:type="dxa"/>
            <w:bottom w:w="0" w:type="dxa"/>
          </w:tblCellMar>
        </w:tblPrEx>
        <w:trPr>
          <w:trHeight w:hRule="exact" w:val="216"/>
          <w:jc w:val="center"/>
        </w:trPr>
        <w:tc>
          <w:tcPr>
            <w:tcW w:w="101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jc w:val="left"/>
            </w:pPr>
            <w:r>
              <w:t>amicus</w:t>
            </w:r>
          </w:p>
        </w:tc>
        <w:tc>
          <w:tcPr>
            <w:tcW w:w="147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160"/>
              <w:jc w:val="left"/>
            </w:pPr>
            <w:r>
              <w:t>ami</w:t>
            </w:r>
          </w:p>
        </w:tc>
        <w:tc>
          <w:tcPr>
            <w:tcW w:w="1301"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360"/>
              <w:jc w:val="left"/>
            </w:pPr>
            <w:r>
              <w:t>Freund</w:t>
            </w:r>
          </w:p>
        </w:tc>
      </w:tr>
      <w:tr w:rsidR="00BB7EDA">
        <w:tblPrEx>
          <w:tblCellMar>
            <w:top w:w="0" w:type="dxa"/>
            <w:bottom w:w="0" w:type="dxa"/>
          </w:tblCellMar>
        </w:tblPrEx>
        <w:trPr>
          <w:trHeight w:hRule="exact" w:val="250"/>
          <w:jc w:val="center"/>
        </w:trPr>
        <w:tc>
          <w:tcPr>
            <w:tcW w:w="101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jc w:val="left"/>
            </w:pPr>
            <w:r>
              <w:t>bonus</w:t>
            </w:r>
          </w:p>
        </w:tc>
        <w:tc>
          <w:tcPr>
            <w:tcW w:w="147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160"/>
              <w:jc w:val="left"/>
            </w:pPr>
            <w:r>
              <w:t>bö</w:t>
            </w:r>
          </w:p>
        </w:tc>
        <w:tc>
          <w:tcPr>
            <w:tcW w:w="1301"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360"/>
              <w:jc w:val="left"/>
            </w:pPr>
            <w:r>
              <w:t>gut</w:t>
            </w:r>
          </w:p>
        </w:tc>
      </w:tr>
      <w:tr w:rsidR="00BB7EDA">
        <w:tblPrEx>
          <w:tblCellMar>
            <w:top w:w="0" w:type="dxa"/>
            <w:bottom w:w="0" w:type="dxa"/>
          </w:tblCellMar>
        </w:tblPrEx>
        <w:trPr>
          <w:trHeight w:hRule="exact" w:val="235"/>
          <w:jc w:val="center"/>
        </w:trPr>
        <w:tc>
          <w:tcPr>
            <w:tcW w:w="101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jc w:val="left"/>
            </w:pPr>
            <w:r>
              <w:t>augustus</w:t>
            </w:r>
          </w:p>
        </w:tc>
        <w:tc>
          <w:tcPr>
            <w:tcW w:w="147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160"/>
              <w:jc w:val="left"/>
            </w:pPr>
            <w:r>
              <w:t>ut</w:t>
            </w:r>
          </w:p>
        </w:tc>
        <w:tc>
          <w:tcPr>
            <w:tcW w:w="1301"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360"/>
              <w:jc w:val="left"/>
            </w:pPr>
            <w:r>
              <w:t>August</w:t>
            </w:r>
          </w:p>
        </w:tc>
      </w:tr>
      <w:tr w:rsidR="00BB7EDA">
        <w:tblPrEx>
          <w:tblCellMar>
            <w:top w:w="0" w:type="dxa"/>
            <w:bottom w:w="0" w:type="dxa"/>
          </w:tblCellMar>
        </w:tblPrEx>
        <w:trPr>
          <w:trHeight w:hRule="exact" w:val="226"/>
          <w:jc w:val="center"/>
        </w:trPr>
        <w:tc>
          <w:tcPr>
            <w:tcW w:w="101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jc w:val="left"/>
            </w:pPr>
            <w:r>
              <w:t>legere</w:t>
            </w:r>
          </w:p>
        </w:tc>
        <w:tc>
          <w:tcPr>
            <w:tcW w:w="147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160"/>
              <w:jc w:val="left"/>
            </w:pPr>
            <w:r>
              <w:t>li:r</w:t>
            </w:r>
          </w:p>
        </w:tc>
        <w:tc>
          <w:tcPr>
            <w:tcW w:w="1301"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360"/>
              <w:jc w:val="left"/>
            </w:pPr>
            <w:r>
              <w:t>lesen</w:t>
            </w:r>
          </w:p>
        </w:tc>
      </w:tr>
      <w:tr w:rsidR="00BB7EDA">
        <w:tblPrEx>
          <w:tblCellMar>
            <w:top w:w="0" w:type="dxa"/>
            <w:bottom w:w="0" w:type="dxa"/>
          </w:tblCellMar>
        </w:tblPrEx>
        <w:trPr>
          <w:trHeight w:hRule="exact" w:val="245"/>
          <w:jc w:val="center"/>
        </w:trPr>
        <w:tc>
          <w:tcPr>
            <w:tcW w:w="1018"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jc w:val="left"/>
            </w:pPr>
            <w:r>
              <w:t>aqua</w:t>
            </w:r>
          </w:p>
        </w:tc>
        <w:tc>
          <w:tcPr>
            <w:tcW w:w="1478" w:type="dxa"/>
            <w:shd w:val="clear" w:color="auto" w:fill="FFFFFF"/>
            <w:vAlign w:val="center"/>
          </w:tcPr>
          <w:p w:rsidR="00BB7EDA" w:rsidRDefault="007D72B3">
            <w:pPr>
              <w:pStyle w:val="Bodytext20"/>
              <w:framePr w:w="3797" w:hSpace="571" w:wrap="notBeside" w:vAnchor="text" w:hAnchor="text" w:xAlign="center" w:y="1"/>
              <w:shd w:val="clear" w:color="auto" w:fill="auto"/>
              <w:spacing w:before="0" w:line="180" w:lineRule="exact"/>
              <w:ind w:left="160"/>
              <w:jc w:val="left"/>
            </w:pPr>
            <w:r>
              <w:t>0</w:t>
            </w:r>
          </w:p>
        </w:tc>
        <w:tc>
          <w:tcPr>
            <w:tcW w:w="1301" w:type="dxa"/>
            <w:shd w:val="clear" w:color="auto" w:fill="FFFFFF"/>
          </w:tcPr>
          <w:p w:rsidR="00BB7EDA" w:rsidRDefault="007D72B3">
            <w:pPr>
              <w:pStyle w:val="Bodytext20"/>
              <w:framePr w:w="3797" w:hSpace="571" w:wrap="notBeside" w:vAnchor="text" w:hAnchor="text" w:xAlign="center" w:y="1"/>
              <w:shd w:val="clear" w:color="auto" w:fill="auto"/>
              <w:spacing w:before="0" w:line="180" w:lineRule="exact"/>
              <w:ind w:left="360"/>
              <w:jc w:val="left"/>
            </w:pPr>
            <w:r>
              <w:t>Wasser</w:t>
            </w:r>
          </w:p>
        </w:tc>
      </w:tr>
    </w:tbl>
    <w:p w:rsidR="00BB7EDA" w:rsidRDefault="00BB7EDA">
      <w:pPr>
        <w:framePr w:w="3797" w:hSpace="571" w:wrap="notBeside" w:vAnchor="text" w:hAnchor="text" w:xAlign="center" w:y="1"/>
        <w:rPr>
          <w:sz w:val="2"/>
          <w:szCs w:val="2"/>
        </w:rPr>
      </w:pPr>
    </w:p>
    <w:p w:rsidR="00BB7EDA" w:rsidRDefault="00BB7EDA">
      <w:pPr>
        <w:rPr>
          <w:sz w:val="2"/>
          <w:szCs w:val="2"/>
        </w:rPr>
      </w:pPr>
    </w:p>
    <w:p w:rsidR="00BB7EDA" w:rsidRDefault="007D72B3">
      <w:pPr>
        <w:pStyle w:val="Bodytext20"/>
        <w:shd w:val="clear" w:color="auto" w:fill="auto"/>
        <w:spacing w:before="134" w:line="226" w:lineRule="exact"/>
        <w:ind w:firstLine="320"/>
      </w:pPr>
      <w:r>
        <w:t>Die Entwicklung hin zu Kurzformen kann sich allerdings sehr negativ auswirken, indem nämlich verschiedene Wörter unverse</w:t>
      </w:r>
      <w:r>
        <w:softHyphen/>
        <w:t xml:space="preserve">hens </w:t>
      </w:r>
      <w:r>
        <w:t>durch die Kürzung die gleiche Lautgestalt annehmen. Mit anderen Worten gesagt: Die Entwicklung zu Kurzformen führt zur Gefahr der Homophonie. Dies ist bekanntlich ein sehr großes Pro</w:t>
      </w:r>
      <w:r>
        <w:softHyphen/>
        <w:t>blem im Chinesischen. Auch im Englischen ist dies ein weit verbrei</w:t>
      </w:r>
      <w:r>
        <w:softHyphen/>
        <w:t xml:space="preserve">tetes </w:t>
      </w:r>
      <w:r>
        <w:t>Phänomen. Wenn man morphologisch reiche mit in diesem Bereich verarmten Sprachen bezüglich Ökonomie vergleicht, so muss man sich dessen bewusst sein, dass flexionsverarmte Sprachen zwar tendenziell für die gleiche Informationsvermittlung mehr Wörter brauch</w:t>
      </w:r>
      <w:r>
        <w:t>en als die flexionsreichen, dafür sind sie jedoch öko</w:t>
      </w:r>
      <w:r>
        <w:softHyphen/>
        <w:t>nomischer was die Wortlänge anbetrifft.</w:t>
      </w:r>
      <w:r>
        <w:rPr>
          <w:vertAlign w:val="superscript"/>
        </w:rPr>
        <w:footnoteReference w:id="376"/>
      </w:r>
      <w:r>
        <w:t xml:space="preserve"> Doch selbst angesichts dieser Tatsache verblüffen formenreiche Sprachen immer noch durch ihre Möglichkeiten, als kompakte und ökonomisch informations</w:t>
      </w:r>
      <w:r>
        <w:softHyphen/>
        <w:t>geladene Ko</w:t>
      </w:r>
      <w:r>
        <w:t>mmunikationsmittel zu dienen.</w:t>
      </w:r>
    </w:p>
    <w:p w:rsidR="00BB7EDA" w:rsidRDefault="007D72B3">
      <w:pPr>
        <w:pStyle w:val="Bodytext20"/>
        <w:shd w:val="clear" w:color="auto" w:fill="auto"/>
        <w:spacing w:before="0" w:line="226" w:lineRule="exact"/>
        <w:ind w:firstLine="320"/>
        <w:sectPr w:rsidR="00BB7EDA">
          <w:type w:val="continuous"/>
          <w:pgSz w:w="7266" w:h="11422"/>
          <w:pgMar w:top="909" w:right="635" w:bottom="1029" w:left="976" w:header="0" w:footer="3" w:gutter="0"/>
          <w:cols w:space="720"/>
          <w:noEndnote/>
          <w:docGrid w:linePitch="360"/>
        </w:sectPr>
      </w:pPr>
      <w:r>
        <w:t>Es geht hier allerdings nicht darum, flexionsarme Sprachen schlecht zu machen. Die eben vorangegangene Argumentation soll</w:t>
      </w:r>
      <w:r>
        <w:softHyphen/>
        <w:t>te nur deutlich machen, dass Formenreichtum einer Sprache nicht</w:t>
      </w:r>
    </w:p>
    <w:p w:rsidR="00BB7EDA" w:rsidRDefault="007D72B3">
      <w:pPr>
        <w:pStyle w:val="Bodytext20"/>
        <w:shd w:val="clear" w:color="auto" w:fill="auto"/>
        <w:spacing w:before="0" w:line="226" w:lineRule="exact"/>
      </w:pPr>
      <w:r>
        <w:t>der Ausdruck mange</w:t>
      </w:r>
      <w:r>
        <w:t>lnder Intelligenz ist, sondern ganz im Gegenteil eine sehr sinnvolle strukturelle Eigenheit darstellt.</w:t>
      </w:r>
    </w:p>
    <w:p w:rsidR="00BB7EDA" w:rsidRDefault="007D72B3">
      <w:pPr>
        <w:pStyle w:val="Bodytext20"/>
        <w:shd w:val="clear" w:color="auto" w:fill="auto"/>
        <w:spacing w:before="0" w:after="180" w:line="226" w:lineRule="exact"/>
        <w:ind w:firstLine="320"/>
      </w:pPr>
      <w:r>
        <w:t>Abschließend ist auch noch beiläufig zu erwähnen, dass Spar</w:t>
      </w:r>
      <w:r>
        <w:softHyphen/>
        <w:t>samkeit selbstverständlich in der Sprachbenutzung nicht immer das Ideal ist. In Situationen z</w:t>
      </w:r>
      <w:r>
        <w:t>.B., wo man sich besonders höflich aus- drücken möchte, sucht man förmlich nach möglichst redundanten Wendungen. Entsprechendes ließe sich, um noch auf ein weiteres Beispiel hinzuweisen, auch für die abendländische Poesie sagen.</w:t>
      </w:r>
      <w:r>
        <w:rPr>
          <w:vertAlign w:val="superscript"/>
        </w:rPr>
        <w:footnoteReference w:id="377"/>
      </w:r>
    </w:p>
    <w:p w:rsidR="00BB7EDA" w:rsidRDefault="007D72B3">
      <w:pPr>
        <w:pStyle w:val="Bodytext80"/>
        <w:numPr>
          <w:ilvl w:val="0"/>
          <w:numId w:val="188"/>
        </w:numPr>
        <w:shd w:val="clear" w:color="auto" w:fill="auto"/>
        <w:tabs>
          <w:tab w:val="left" w:pos="649"/>
        </w:tabs>
      </w:pPr>
      <w:r>
        <w:t>Zwang zu Präzision</w:t>
      </w:r>
    </w:p>
    <w:p w:rsidR="00BB7EDA" w:rsidRDefault="007D72B3">
      <w:pPr>
        <w:pStyle w:val="Bodytext20"/>
        <w:shd w:val="clear" w:color="auto" w:fill="auto"/>
        <w:spacing w:before="0" w:line="226" w:lineRule="exact"/>
      </w:pPr>
      <w:r>
        <w:t>Flexion</w:t>
      </w:r>
      <w:r>
        <w:t>s- und Agglutinationsformen in den Sprachen zwingen ihre Benützer zu Präzision im Ausdruck.</w:t>
      </w:r>
    </w:p>
    <w:p w:rsidR="00BB7EDA" w:rsidRDefault="007D72B3">
      <w:pPr>
        <w:pStyle w:val="Bodytext20"/>
        <w:shd w:val="clear" w:color="auto" w:fill="auto"/>
        <w:spacing w:before="0" w:line="226" w:lineRule="exact"/>
        <w:ind w:firstLine="320"/>
      </w:pPr>
      <w:r>
        <w:t>Im Altgriechischen z.B. musste sich der Sprechende stets ent</w:t>
      </w:r>
      <w:r>
        <w:softHyphen/>
        <w:t xml:space="preserve">scheiden, ob er eine Handlung als ein punktuelles, duratives oder als ein resultatives Ereignis </w:t>
      </w:r>
      <w:r>
        <w:t>beschreiben wollte.</w:t>
      </w:r>
    </w:p>
    <w:p w:rsidR="00BB7EDA" w:rsidRDefault="007D72B3">
      <w:pPr>
        <w:pStyle w:val="Bodytext20"/>
        <w:shd w:val="clear" w:color="auto" w:fill="auto"/>
        <w:spacing w:before="0" w:line="226" w:lineRule="exact"/>
        <w:ind w:firstLine="320"/>
      </w:pPr>
      <w:r>
        <w:t>Ein Wintu-Indianer muss, wie wir gesehen haben, sich stets Rechenschaft ablegen, ob das, was er erzählt, eine eigene Beobach</w:t>
      </w:r>
      <w:r>
        <w:softHyphen/>
        <w:t>tung, eine eigene Schlussfolgerung oder nur eine Weitergabe von Information aus zweiter Hand ist. Im Falle eine</w:t>
      </w:r>
      <w:r>
        <w:t>r Schlussfolgerung muss er sich zusätzlich noch fragen, welchem der drei unterschiede</w:t>
      </w:r>
      <w:r>
        <w:softHyphen/>
        <w:t>nen Grade von Glaubwürdigkeit sie zugewiesen werden sollte.</w:t>
      </w:r>
    </w:p>
    <w:p w:rsidR="00BB7EDA" w:rsidRDefault="007D72B3">
      <w:pPr>
        <w:pStyle w:val="Bodytext20"/>
        <w:shd w:val="clear" w:color="auto" w:fill="auto"/>
        <w:spacing w:before="0" w:after="180" w:line="226" w:lineRule="exact"/>
        <w:ind w:firstLine="320"/>
      </w:pPr>
      <w:r>
        <w:t>Natürlich könnte man sich im Deutschen auch so genau ausdrük- ken, mit Hilfe der Syntax, aber wir tun es gewöh</w:t>
      </w:r>
      <w:r>
        <w:t>nlich nicht, weil uns die Sprachstruktur nicht dazu zwingt. Es wäre zudem auch fürchter</w:t>
      </w:r>
      <w:r>
        <w:softHyphen/>
        <w:t>lich umständlich. Die Wintu-Formenlehre jedoch zwingt den Sprach</w:t>
      </w:r>
      <w:r>
        <w:softHyphen/>
        <w:t>benutzer zu klarer und genauer Darlegung beim Berichten.</w:t>
      </w:r>
    </w:p>
    <w:p w:rsidR="00BB7EDA" w:rsidRDefault="007D72B3">
      <w:pPr>
        <w:pStyle w:val="Bodytext80"/>
        <w:numPr>
          <w:ilvl w:val="0"/>
          <w:numId w:val="188"/>
        </w:numPr>
        <w:shd w:val="clear" w:color="auto" w:fill="auto"/>
        <w:tabs>
          <w:tab w:val="left" w:pos="649"/>
        </w:tabs>
      </w:pPr>
      <w:r>
        <w:t>Flexibilität in der Wortstellung</w:t>
      </w:r>
    </w:p>
    <w:p w:rsidR="00BB7EDA" w:rsidRDefault="007D72B3">
      <w:pPr>
        <w:pStyle w:val="Bodytext80"/>
        <w:shd w:val="clear" w:color="auto" w:fill="auto"/>
      </w:pPr>
      <w:r>
        <w:rPr>
          <w:rStyle w:val="Bodytext8NotItalic"/>
        </w:rPr>
        <w:t>Folgende ling</w:t>
      </w:r>
      <w:r>
        <w:rPr>
          <w:rStyle w:val="Bodytext8NotItalic"/>
        </w:rPr>
        <w:t xml:space="preserve">uistische Faustregel ist von großer Bedeutung: </w:t>
      </w:r>
      <w:r>
        <w:t>Je ärmer eine Sprache an Wortformen ist, desto weniger gibt es Freiheit und Flexibi</w:t>
      </w:r>
      <w:r>
        <w:softHyphen/>
        <w:t>lität bezüglich der Wortstellung im Satz.</w:t>
      </w:r>
    </w:p>
    <w:p w:rsidR="00BB7EDA" w:rsidRDefault="007D72B3">
      <w:pPr>
        <w:pStyle w:val="Bodytext20"/>
        <w:shd w:val="clear" w:color="auto" w:fill="auto"/>
        <w:spacing w:before="0" w:line="226" w:lineRule="exact"/>
        <w:ind w:firstLine="320"/>
      </w:pPr>
      <w:r>
        <w:t>So bestehen z.B. im Altgriechischen mit seinem äußerst großen Formenreichtum unwahr</w:t>
      </w:r>
      <w:r>
        <w:t>scheinlich viele Möglichkeiten für die Wortstellung. Durch diese Flexibilität können subtile Nuancierun</w:t>
      </w:r>
      <w:r>
        <w:softHyphen/>
        <w:t>gen zum Ausdruck gebracht werden, ohne zusätzliche Umschrei</w:t>
      </w:r>
      <w:r>
        <w:softHyphen/>
        <w:t>bungen zu benötigen. Daher bringt das Beachten dieser Tatsache z.B. für die Auslegung und da</w:t>
      </w:r>
      <w:r>
        <w:t>s Verständnis des griechischen Neuen Testaments enorm viele wertvolle Einsichten.</w:t>
      </w:r>
      <w:r>
        <w:rPr>
          <w:vertAlign w:val="superscript"/>
        </w:rPr>
        <w:footnoteReference w:id="378"/>
      </w:r>
    </w:p>
    <w:p w:rsidR="00BB7EDA" w:rsidRDefault="007D72B3">
      <w:pPr>
        <w:pStyle w:val="Bodytext20"/>
        <w:shd w:val="clear" w:color="auto" w:fill="auto"/>
        <w:spacing w:before="0" w:after="400"/>
        <w:ind w:firstLine="340"/>
      </w:pPr>
      <w:r>
        <w:t>Im Zusammenhang mit der Frage nach Sinn und Bedeutung der Flexionen und Agglutinationen bzw. deren Verlust, sollte unbe</w:t>
      </w:r>
      <w:r>
        <w:softHyphen/>
        <w:t>dingt noch Folgendes beachtet werden: Die Entwicklung</w:t>
      </w:r>
      <w:r>
        <w:t xml:space="preserve"> in der Morphologie vom Komplexen zum Einfacheren hin, </w:t>
      </w:r>
      <w:r>
        <w:rPr>
          <w:rStyle w:val="Bodytext2Italic0"/>
        </w:rPr>
        <w:t>ist nicht das Ergebnis eines durch Intelligenz konzipierten Planes,</w:t>
      </w:r>
      <w:r>
        <w:t xml:space="preserve"> vielmehr handelt es sich um ein Resultat, das durch Mechanismen wie Trägheit und Bequemlichkeit etc. verursacht worden ist. Daher wär</w:t>
      </w:r>
      <w:r>
        <w:t>e es gar nicht vernünftig, wenn man ein Produkt dieser zwar durch und durch menschlichen Eigenschaften als Ausdruck hoher Intelligenz und idealer Geistigkeit taxieren würde. Während der Formenabbau die natürliche konzeptionslose Folge des Sprachgebrauchs u</w:t>
      </w:r>
      <w:r>
        <w:t>nd des da</w:t>
      </w:r>
      <w:r>
        <w:softHyphen/>
        <w:t>mit unumgänglich verbundenen Abschliffs ist, so stellt der Formen</w:t>
      </w:r>
      <w:r>
        <w:softHyphen/>
        <w:t>reichtum eine intelligente Struktur dar, die jedenfalls nicht durch die Kreativität des Menschen entstanden ist. Wenn aber nicht durch den Menschen, durch wen dann?</w:t>
      </w:r>
    </w:p>
    <w:p w:rsidR="00BB7EDA" w:rsidRDefault="007D72B3">
      <w:pPr>
        <w:pStyle w:val="Bodytext90"/>
        <w:numPr>
          <w:ilvl w:val="0"/>
          <w:numId w:val="189"/>
        </w:numPr>
        <w:shd w:val="clear" w:color="auto" w:fill="auto"/>
        <w:tabs>
          <w:tab w:val="left" w:pos="505"/>
        </w:tabs>
        <w:spacing w:after="163" w:line="180" w:lineRule="exact"/>
      </w:pPr>
      <w:r>
        <w:t>Entgegnung zu b</w:t>
      </w:r>
      <w:r>
        <w:t>)</w:t>
      </w:r>
    </w:p>
    <w:p w:rsidR="00BB7EDA" w:rsidRDefault="007D72B3">
      <w:pPr>
        <w:pStyle w:val="Bodytext20"/>
        <w:shd w:val="clear" w:color="auto" w:fill="auto"/>
        <w:spacing w:before="0" w:line="226" w:lineRule="exact"/>
      </w:pPr>
      <w:r>
        <w:t>Was die Erlernbarkeit der Sprachen anbetrifft, so ist hier festzuhal</w:t>
      </w:r>
      <w:r>
        <w:softHyphen/>
        <w:t>ten, dass komplexe morphologische Strukturen für Kinder, die ihre Muttersprache lernen, kein wirkliches Problem darstellen. Kinder sind in der Lage, mit Hilfe ihres „Sprachcomputers" je</w:t>
      </w:r>
      <w:r>
        <w:t>de beliebige Muttersprache mühelos aufzuschlüsseln. Allerdings erstarrt später mit der Pubertät dieser „Dietrich" im Gehirn.</w:t>
      </w:r>
      <w:r>
        <w:rPr>
          <w:vertAlign w:val="superscript"/>
        </w:rPr>
        <w:footnoteReference w:id="379"/>
      </w:r>
    </w:p>
    <w:p w:rsidR="00BB7EDA" w:rsidRDefault="007D72B3">
      <w:pPr>
        <w:pStyle w:val="Bodytext20"/>
        <w:shd w:val="clear" w:color="auto" w:fill="auto"/>
        <w:spacing w:before="0" w:line="226" w:lineRule="exact"/>
        <w:ind w:firstLine="340"/>
      </w:pPr>
      <w:r>
        <w:t>Das Lernen einer Fremdsprache wird von diesem Zeitpunkt an für die meisten ein zuweilen recht mühsames Unterfangen bis man sich fl</w:t>
      </w:r>
      <w:r>
        <w:t>ießend mündlich ausdrücken kann (von dem Aspekt des Lernens der jeweiligen Schrift wollen wir an dieser Stelle bewusst absehen, denn das ist wieder ein ganz anderer Fall). Sprachen mit einer armen Morphologie sind von dieser Seite her gesehen selbst</w:t>
      </w:r>
      <w:r>
        <w:softHyphen/>
        <w:t>verstä</w:t>
      </w:r>
      <w:r>
        <w:t>ndlich effektiv viel leichter erlernbar.</w:t>
      </w:r>
      <w:r>
        <w:rPr>
          <w:vertAlign w:val="superscript"/>
        </w:rPr>
        <w:footnoteReference w:id="380"/>
      </w:r>
      <w:r>
        <w:t xml:space="preserve"> Dennoch kann das</w:t>
      </w:r>
    </w:p>
    <w:p w:rsidR="00BB7EDA" w:rsidRDefault="007D72B3">
      <w:pPr>
        <w:pStyle w:val="Bodytext20"/>
        <w:shd w:val="clear" w:color="auto" w:fill="auto"/>
        <w:spacing w:before="0" w:after="436"/>
      </w:pPr>
      <w:r>
        <w:t>Kriterium, ob eine bestimmte Sprache von Fremden relativ mühelos erlernt werden kann, nicht als Gradmesser für Intelligenz hinter der Sprach-Code-Konzeption aufgefasst werden, denn 1. waren die Sim</w:t>
      </w:r>
      <w:r>
        <w:softHyphen/>
        <w:t>plifizierungen der Morphologie einer bestimmten Sprache im Ver</w:t>
      </w:r>
      <w:r>
        <w:softHyphen/>
        <w:t>lauf ihrer Geschichte, wie bereits gesagt, nicht das Ergebnis eines Planes, sondern vielmehr schicksalhafte Folge einer Natur</w:t>
      </w:r>
      <w:r>
        <w:softHyphen/>
        <w:t>gesetzlichkeit. Niemand schleift seine Sprache nach und nach ab, u</w:t>
      </w:r>
      <w:r>
        <w:t>m Fremdsprachigen den Zugang zur eigenen Sprache zu erleich</w:t>
      </w:r>
      <w:r>
        <w:softHyphen/>
        <w:t xml:space="preserve">tern. 2. ist es relativ, was nun wirklich gut bzw. besser ist. Gemäß Gen 11 sollten nämlich die verschiedenen Sprachen, die in Babel ausgeteilt worden sind, </w:t>
      </w:r>
      <w:r>
        <w:rPr>
          <w:rStyle w:val="Bodytext2Italic0"/>
        </w:rPr>
        <w:t>nicht</w:t>
      </w:r>
      <w:r>
        <w:t xml:space="preserve"> möglichst einfach von Fremdsprach</w:t>
      </w:r>
      <w:r>
        <w:t>i</w:t>
      </w:r>
      <w:r>
        <w:softHyphen/>
        <w:t>gen erlernbar sein. Ihre Aufgabe bestand vielmehr darin, schwer überwindbare Barrieren zu bilden, um die nachsintflutliche Gesell</w:t>
      </w:r>
      <w:r>
        <w:softHyphen/>
        <w:t>schaft zu zwingen, sich in verschiedene Stämme und Völker aufzu</w:t>
      </w:r>
      <w:r>
        <w:softHyphen/>
        <w:t>spalten und sich über den Globus hinweg zu verteilen. Morpho</w:t>
      </w:r>
      <w:r>
        <w:t>lo</w:t>
      </w:r>
      <w:r>
        <w:softHyphen/>
        <w:t>gisch reiche Sprachen waren dazu das höchst ideale Mittel.</w:t>
      </w:r>
    </w:p>
    <w:p w:rsidR="00BB7EDA" w:rsidRDefault="007D72B3">
      <w:pPr>
        <w:pStyle w:val="Heading40"/>
        <w:keepNext/>
        <w:keepLines/>
        <w:numPr>
          <w:ilvl w:val="1"/>
          <w:numId w:val="185"/>
        </w:numPr>
        <w:shd w:val="clear" w:color="auto" w:fill="auto"/>
        <w:tabs>
          <w:tab w:val="left" w:pos="394"/>
        </w:tabs>
        <w:spacing w:after="212" w:line="210" w:lineRule="exact"/>
      </w:pPr>
      <w:bookmarkStart w:id="129" w:name="bookmark128"/>
      <w:r>
        <w:t>Morphologie woher?</w:t>
      </w:r>
      <w:bookmarkEnd w:id="129"/>
    </w:p>
    <w:p w:rsidR="00BB7EDA" w:rsidRDefault="007D72B3">
      <w:pPr>
        <w:pStyle w:val="Bodytext20"/>
        <w:shd w:val="clear" w:color="auto" w:fill="auto"/>
        <w:spacing w:before="0" w:line="226" w:lineRule="exact"/>
      </w:pPr>
      <w:r>
        <w:t>Für den Evolutionismus bleibt u.a die unangenehme Frage beste</w:t>
      </w:r>
      <w:r>
        <w:softHyphen/>
        <w:t xml:space="preserve">hen, </w:t>
      </w:r>
      <w:r>
        <w:rPr>
          <w:rStyle w:val="Bodytext2Italic0"/>
        </w:rPr>
        <w:t>ivoher</w:t>
      </w:r>
      <w:r>
        <w:t xml:space="preserve"> denn die komplexen morphologischen Strukturen mit all ihren logischen Kategorien stammen. Wie kamen die ältesten Spra</w:t>
      </w:r>
      <w:r>
        <w:softHyphen/>
        <w:t>chen und unzähligen Eingeborenensprachen zu ihrem morphologi</w:t>
      </w:r>
      <w:r>
        <w:softHyphen/>
        <w:t>schen Reichtum?</w:t>
      </w:r>
    </w:p>
    <w:p w:rsidR="00BB7EDA" w:rsidRDefault="007D72B3">
      <w:pPr>
        <w:pStyle w:val="Bodytext20"/>
        <w:shd w:val="clear" w:color="auto" w:fill="auto"/>
        <w:spacing w:before="0" w:line="226" w:lineRule="exact"/>
        <w:ind w:firstLine="320"/>
      </w:pPr>
      <w:r>
        <w:t>Die erforschbare Sprachgeschichte kann uns viel Aufschluss d</w:t>
      </w:r>
      <w:r>
        <w:t>arüber geben, wie solche Strukturen abgeschliffen wurden, zerfie</w:t>
      </w:r>
      <w:r>
        <w:softHyphen/>
        <w:t>len und verschwanden. - Aber woher kommt die ursprüngliche Komplexität?</w:t>
      </w:r>
    </w:p>
    <w:p w:rsidR="00BB7EDA" w:rsidRDefault="007D72B3">
      <w:pPr>
        <w:pStyle w:val="Bodytext20"/>
        <w:shd w:val="clear" w:color="auto" w:fill="auto"/>
        <w:spacing w:before="0" w:after="389" w:line="226" w:lineRule="exact"/>
        <w:ind w:firstLine="320"/>
      </w:pPr>
      <w:r>
        <w:t>Dabei muss noch Folgendes beachtet werden: Eingeborene z.B. sind sich, ohne linguistische Bildung, der komplizierten gr</w:t>
      </w:r>
      <w:r>
        <w:t>ammati</w:t>
      </w:r>
      <w:r>
        <w:softHyphen/>
        <w:t xml:space="preserve">schen Strukturen ihrer Sprache normalerweise gar </w:t>
      </w:r>
      <w:r>
        <w:rPr>
          <w:rStyle w:val="Bodytext2Italic0"/>
        </w:rPr>
        <w:t>flicht bewusst!</w:t>
      </w:r>
      <w:r>
        <w:t xml:space="preserve"> Sie benutzen sie zwar mit aller Selbstverständlichkeit, sind aber höchst erstaunt und überrascht, wenn ihnen ein Linguist eröffnet, wie wunderbar und intelligent ihre Sprache konzipier</w:t>
      </w:r>
      <w:r>
        <w:t>t ist. Dies macht deutlich, dass sie unmöglich ihre Sprache selber immer höher ent</w:t>
      </w:r>
      <w:r>
        <w:softHyphen/>
        <w:t>wickeln konnten. Die Eingeborenen wissen Dinge, von denen sie gar nicht wissen, dass sie sie wissen. Wenn man dies bedenkt, wie kann man dann noch glauben, dass „prähistoris</w:t>
      </w:r>
      <w:r>
        <w:t>che Menschen" dennoch in der Lage gewesen seien, in ihrer Sprache eine komplexe von logischen Denkkategorien nur so strotzende Formenlehre zu schaf</w:t>
      </w:r>
      <w:r>
        <w:softHyphen/>
        <w:t>fen. Moderne Eingeborene bringen dies nicht zu Wege, und selbst nicht einmal gebildete Abendländer!</w:t>
      </w:r>
      <w:r>
        <w:rPr>
          <w:vertAlign w:val="superscript"/>
        </w:rPr>
        <w:footnoteReference w:id="381"/>
      </w:r>
      <w:r>
        <w:t xml:space="preserve"> Dies au</w:t>
      </w:r>
      <w:r>
        <w:t>s dem einfachen Grund, weil dieser Bereich sich im Normalfall dem kreativen Zugriff des Sprachbenutzers deutlich entzieht. Es geht überhaupt nicht darum, Sprachen mit reichen Flexionsmöglichkeiten über andere zu stellen. Das sollte klar geworden sein. Doch</w:t>
      </w:r>
      <w:r>
        <w:t xml:space="preserve"> wir haben dem Bereich der Morphologie in den vorliegenden Ausführungen so viel Ge</w:t>
      </w:r>
      <w:r>
        <w:softHyphen/>
        <w:t>wicht beigemessen, weil damit handgreiflich gezeigt werden kann, dass Sprache unmöglich das Produkt einer Evolution sein kann.</w:t>
      </w:r>
    </w:p>
    <w:p w:rsidR="00BB7EDA" w:rsidRDefault="007D72B3">
      <w:pPr>
        <w:pStyle w:val="Heading40"/>
        <w:keepNext/>
        <w:keepLines/>
        <w:numPr>
          <w:ilvl w:val="1"/>
          <w:numId w:val="185"/>
        </w:numPr>
        <w:shd w:val="clear" w:color="auto" w:fill="auto"/>
        <w:tabs>
          <w:tab w:val="left" w:pos="394"/>
        </w:tabs>
        <w:spacing w:after="151" w:line="264" w:lineRule="exact"/>
        <w:ind w:right="620"/>
        <w:jc w:val="left"/>
      </w:pPr>
      <w:bookmarkStart w:id="130" w:name="bookmark129"/>
      <w:r>
        <w:t>Sprachentwicklung im Bereich der Syntax und de</w:t>
      </w:r>
      <w:r>
        <w:t>r Semantik</w:t>
      </w:r>
      <w:bookmarkEnd w:id="130"/>
    </w:p>
    <w:p w:rsidR="00BB7EDA" w:rsidRDefault="007D72B3">
      <w:pPr>
        <w:pStyle w:val="Bodytext20"/>
        <w:shd w:val="clear" w:color="auto" w:fill="auto"/>
        <w:spacing w:before="0" w:after="416" w:line="226" w:lineRule="exact"/>
      </w:pPr>
      <w:r>
        <w:t>In vielen Sprachen kann man nebst Abwärtsentwicklungen sehr markante Aufwärtsentwicklungen im Bereich der Semantik und der Syntax feststellen. Dies ist keine Überraschung, weder für die Evolutionslehre noch für die biblisch begründete Schöpfungs</w:t>
      </w:r>
      <w:r>
        <w:softHyphen/>
        <w:t>forschung. Diese Tatsache findet in der Sichtweise beider Stand</w:t>
      </w:r>
      <w:r>
        <w:softHyphen/>
        <w:t>punkte ihren Platz. Dennoch liegen hierin für die Evolutionslehre weitere große Probleme verborgen.</w:t>
      </w:r>
    </w:p>
    <w:p w:rsidR="00BB7EDA" w:rsidRDefault="007D72B3">
      <w:pPr>
        <w:pStyle w:val="Heading50"/>
        <w:keepNext/>
        <w:keepLines/>
        <w:numPr>
          <w:ilvl w:val="2"/>
          <w:numId w:val="185"/>
        </w:numPr>
        <w:shd w:val="clear" w:color="auto" w:fill="auto"/>
        <w:tabs>
          <w:tab w:val="left" w:pos="495"/>
        </w:tabs>
        <w:spacing w:after="124" w:line="230" w:lineRule="exact"/>
        <w:ind w:right="620"/>
        <w:jc w:val="left"/>
      </w:pPr>
      <w:bookmarkStart w:id="131" w:name="bookmark130"/>
      <w:r>
        <w:t>Zur Vokabularentwicklung: Keine Neubildungen aus dem Nichts</w:t>
      </w:r>
      <w:bookmarkEnd w:id="131"/>
    </w:p>
    <w:p w:rsidR="00BB7EDA" w:rsidRDefault="007D72B3">
      <w:pPr>
        <w:pStyle w:val="Bodytext20"/>
        <w:shd w:val="clear" w:color="auto" w:fill="auto"/>
        <w:spacing w:before="0" w:line="226" w:lineRule="exact"/>
      </w:pPr>
      <w:r>
        <w:t>Betrachten wir zunächst das Thema der Vokabularentwicklung. Dazu ein Beispiel: In den vergangenen Jahrzehnten wurden im Deutschen unzählige neue Wörter gebildet. Das Vokabular wächst auch weiterhin beständig an, wiewohl auch manche Wörter wieder außer Gebr</w:t>
      </w:r>
      <w:r>
        <w:t>auch kommen. Doch die Zunahme ist beeindruckend groß. Dabei denke ich eben nicht allein an die Umgangssprache, sondern auch an die Fachsprachen, in denen man dauernd enorm viele neue Begriffe benötigt. In diesem Zusammenhang muss man aber bedenken, dass di</w:t>
      </w:r>
      <w:r>
        <w:t xml:space="preserve">ese neuen Wörter normalerweise </w:t>
      </w:r>
      <w:r>
        <w:rPr>
          <w:rStyle w:val="Bodytext2Italic0"/>
        </w:rPr>
        <w:t>keine Neubil</w:t>
      </w:r>
      <w:r>
        <w:rPr>
          <w:rStyle w:val="Bodytext2Italic0"/>
        </w:rPr>
        <w:softHyphen/>
        <w:t>dungen aus dem Nichts sind.</w:t>
      </w:r>
      <w:r>
        <w:t xml:space="preserve"> Man geht doch mit aller Selbstverständ</w:t>
      </w:r>
      <w:r>
        <w:softHyphen/>
        <w:t>lichkeit ständig von dem aus, was bereits existiert. So übernimmt man z.B. sehr oft Wörter oder Wortwurzeln aus anderen Sprachen (z.B. Griechisch</w:t>
      </w:r>
      <w:r>
        <w:t>, Lateinisch oder Englisch) und bildet daraus nach bereits in der Langue des Deutschen bestehenden Bilde-Regeln neue Wörter, die der Struktur dieser Sprache angepasst sind. Manchmal geht man auch von deutschen Wörtern aus und bildet nach be</w:t>
      </w:r>
      <w:r>
        <w:softHyphen/>
        <w:t>stimmten im Spr</w:t>
      </w:r>
      <w:r>
        <w:t>achcode-System vorgegeben Regeln der deutschen Morphologie bisher noch nie verwendete Wörter (vgl. z.B. die Wör</w:t>
      </w:r>
      <w:r>
        <w:softHyphen/>
        <w:t xml:space="preserve">ter </w:t>
      </w:r>
      <w:r>
        <w:rPr>
          <w:rStyle w:val="Bodytext2Italic0"/>
        </w:rPr>
        <w:t>Flugzeug, Fahrrad</w:t>
      </w:r>
      <w:r>
        <w:t xml:space="preserve"> und </w:t>
      </w:r>
      <w:r>
        <w:rPr>
          <w:rStyle w:val="Bodytext2Italic0"/>
        </w:rPr>
        <w:t>Fernseher).*</w:t>
      </w:r>
      <w:r>
        <w:rPr>
          <w:rStyle w:val="Bodytext2Italic0"/>
          <w:vertAlign w:val="superscript"/>
        </w:rPr>
        <w:t>66</w:t>
      </w:r>
      <w:r>
        <w:rPr>
          <w:rStyle w:val="Bodytext2Italic0"/>
        </w:rPr>
        <w:t xml:space="preserve"> Normalerweise geht es um eine Rekombination von bereits Existierendem.</w:t>
      </w:r>
    </w:p>
    <w:p w:rsidR="00BB7EDA" w:rsidRDefault="007D72B3">
      <w:pPr>
        <w:pStyle w:val="Bodytext20"/>
        <w:shd w:val="clear" w:color="auto" w:fill="auto"/>
        <w:spacing w:before="0" w:line="226" w:lineRule="exact"/>
        <w:ind w:firstLine="320"/>
      </w:pPr>
      <w:r>
        <w:t>Man kann sich die Frage stellen,</w:t>
      </w:r>
      <w:r>
        <w:t xml:space="preserve"> warum eigentlich im Regelfall nicht völlig neue Vokabeln geschaffen werden. Weshalb hat man anstatt Wörter wie </w:t>
      </w:r>
      <w:r>
        <w:rPr>
          <w:rStyle w:val="Bodytext2Italic0"/>
        </w:rPr>
        <w:t>Auto, Motor, Maschine, Computer</w:t>
      </w:r>
      <w:r>
        <w:t xml:space="preserve"> etc. nicht ganz neue Phantasiewörter oder lautmalerische Ausdrücke gebildet? Of</w:t>
      </w:r>
      <w:r>
        <w:softHyphen/>
        <w:t xml:space="preserve">fensichtlich wäre dies mit ganz </w:t>
      </w:r>
      <w:r>
        <w:t>gewaltigen Problemen verbunden gewesen, u.a. im Zusammenhang mit der unmittelbaren Verständi</w:t>
      </w:r>
      <w:r>
        <w:softHyphen/>
        <w:t xml:space="preserve">gung und der allgemeinen Akzeptanz. Dennoch glaubt man im Evolutionsmodell, dass „Urmenschen" in der Lage gewesen seien, ein Vokabular gleichsam aus dem Nichts zu </w:t>
      </w:r>
      <w:r>
        <w:t>schaffen, das zudem eine verständliche Kommunikation ermöglicht habe.</w:t>
      </w:r>
    </w:p>
    <w:p w:rsidR="00BB7EDA" w:rsidRDefault="007D72B3">
      <w:pPr>
        <w:pStyle w:val="Bodytext20"/>
        <w:shd w:val="clear" w:color="auto" w:fill="auto"/>
        <w:spacing w:before="0" w:after="457" w:line="226" w:lineRule="exact"/>
        <w:ind w:firstLine="320"/>
      </w:pPr>
      <w:r>
        <w:t xml:space="preserve">Im biblischen Rahmen sieht es ganz anders aus: Adam konnte gemäß Gen 2,19-20 bei seinen Wortschöpfungen bereits von einem bestehenden Sprachcode-System ausgehen, also genau so wie wir </w:t>
      </w:r>
      <w:r>
        <w:t>heute.</w:t>
      </w:r>
    </w:p>
    <w:p w:rsidR="00BB7EDA" w:rsidRDefault="007D72B3">
      <w:pPr>
        <w:pStyle w:val="Bodytext90"/>
        <w:numPr>
          <w:ilvl w:val="2"/>
          <w:numId w:val="185"/>
        </w:numPr>
        <w:shd w:val="clear" w:color="auto" w:fill="auto"/>
        <w:tabs>
          <w:tab w:val="left" w:pos="500"/>
        </w:tabs>
        <w:spacing w:after="214" w:line="180" w:lineRule="exact"/>
      </w:pPr>
      <w:r>
        <w:t>Zur Entwicklung in der Syntax</w:t>
      </w:r>
    </w:p>
    <w:p w:rsidR="00BB7EDA" w:rsidRDefault="007D72B3">
      <w:pPr>
        <w:pStyle w:val="Bodytext20"/>
        <w:shd w:val="clear" w:color="auto" w:fill="auto"/>
        <w:spacing w:before="0"/>
      </w:pPr>
      <w:r>
        <w:t>Auch im Bereich der Syntax kann man in diversen Sprachen neben Abwärtsentwicklungen auch großartige Höherentwicklungen fest</w:t>
      </w:r>
      <w:r>
        <w:softHyphen/>
        <w:t>stellen. Ein m.E. höchst eindrückliches Beispiel ist das analytische Verbalsystem im modernen E</w:t>
      </w:r>
      <w:r>
        <w:t xml:space="preserve">nglisch, das sich durch einen großen </w:t>
      </w:r>
      <w:r>
        <w:rPr>
          <w:vertAlign w:val="superscript"/>
        </w:rPr>
        <w:footnoteReference w:id="382"/>
      </w:r>
    </w:p>
    <w:p w:rsidR="00BB7EDA" w:rsidRDefault="007D72B3">
      <w:pPr>
        <w:pStyle w:val="Bodytext20"/>
        <w:shd w:val="clear" w:color="auto" w:fill="auto"/>
        <w:spacing w:before="0" w:line="226" w:lineRule="exact"/>
      </w:pPr>
      <w:r>
        <w:t xml:space="preserve">Nuancenreichtum auszeichnet. Man denke dabei z.B. nur schon an die Aspekte des Durativs und des Punktuals. Nachfolgend ein Beispiel: I </w:t>
      </w:r>
      <w:r>
        <w:rPr>
          <w:rStyle w:val="Bodytext2Italic0"/>
        </w:rPr>
        <w:t>was singingwhen the telephone rang.</w:t>
      </w:r>
      <w:r>
        <w:t xml:space="preserve"> Der erste Satzteil drückt hier eine fortgesetz</w:t>
      </w:r>
      <w:r>
        <w:t>te Handlung aus, während der Zweite eine mo</w:t>
      </w:r>
      <w:r>
        <w:softHyphen/>
        <w:t>mentan eintretende Aktion beschreibt. Im Altenglischen kannte man diese Ausdrucksweisen noch nicht als grammatikalische Kate</w:t>
      </w:r>
      <w:r>
        <w:softHyphen/>
        <w:t xml:space="preserve">gorie. </w:t>
      </w:r>
      <w:r>
        <w:rPr>
          <w:rStyle w:val="Bodytext2Italic0"/>
        </w:rPr>
        <w:t xml:space="preserve">Aber auch bei Bereicherungen dieser Art muss man sagen, dass es sich einfach um </w:t>
      </w:r>
      <w:r>
        <w:rPr>
          <w:rStyle w:val="Bodytext2Italic0"/>
        </w:rPr>
        <w:t>Rekombinationen handelt, die im Rahmen der Möglichkei</w:t>
      </w:r>
      <w:r>
        <w:rPr>
          <w:rStyle w:val="Bodytext2Italic0"/>
        </w:rPr>
        <w:softHyphen/>
        <w:t>ten liegen, die bereits durch das Sprachsystem latent vorgegeben waren.</w:t>
      </w:r>
    </w:p>
    <w:p w:rsidR="00BB7EDA" w:rsidRDefault="007D72B3">
      <w:pPr>
        <w:pStyle w:val="Bodytext20"/>
        <w:shd w:val="clear" w:color="auto" w:fill="auto"/>
        <w:spacing w:before="0" w:line="226" w:lineRule="exact"/>
        <w:ind w:firstLine="320"/>
      </w:pPr>
      <w:r>
        <w:t>Auch dies stellt eine große Schwierigkeit für die Evolutionslehre dar. Hier geht man ja normalerweise davon aus, dass sowohl die S</w:t>
      </w:r>
      <w:r>
        <w:t>yntax als auch die Semantik sich entwickelt hätten, ohne dass bereits ein Code-System existierte. Eine solche Art der Sprachent</w:t>
      </w:r>
      <w:r>
        <w:softHyphen/>
        <w:t>wicklung unterscheidet sich aber prinzipiell von den beobachtbaren Entwicklungen während der erforschbaren Periode der Sprachge</w:t>
      </w:r>
      <w:r>
        <w:softHyphen/>
      </w:r>
      <w:r>
        <w:t>schichte. Wie hätten „Urmenschen" das schaffen sollen, wozu der „moderne Mensch" nicht in der Lage ist, wenn es sich um die Weiterentwicklung seiner Sprachen handelt?</w:t>
      </w:r>
    </w:p>
    <w:p w:rsidR="00BB7EDA" w:rsidRDefault="007D72B3">
      <w:pPr>
        <w:pStyle w:val="Bodytext20"/>
        <w:shd w:val="clear" w:color="auto" w:fill="auto"/>
        <w:spacing w:before="0" w:line="226" w:lineRule="exact"/>
        <w:ind w:firstLine="320"/>
        <w:sectPr w:rsidR="00BB7EDA">
          <w:pgSz w:w="7266" w:h="11422"/>
          <w:pgMar w:top="727" w:right="626" w:bottom="1215" w:left="962" w:header="0" w:footer="3" w:gutter="0"/>
          <w:cols w:space="720"/>
          <w:noEndnote/>
          <w:docGrid w:linePitch="360"/>
        </w:sectPr>
      </w:pPr>
      <w:r>
        <w:t>Geht man von den biblischen Berichten aus, so hat man auch hier kein</w:t>
      </w:r>
      <w:r>
        <w:t>e Probleme: Für semantische und syntaktische Entwicklungen - man denke wieder an die Bildung von Neologismen und die Schaf</w:t>
      </w:r>
      <w:r>
        <w:softHyphen/>
        <w:t>fung von Poesie in Gen 2,19.20.23 - konnte Adam ja auf eine schon bestehende Langue zurückgreifen. Diese Art von Sprachentwick</w:t>
      </w:r>
      <w:r>
        <w:softHyphen/>
        <w:t>lung e</w:t>
      </w:r>
      <w:r>
        <w:t>ntspricht genau dem, was in der Linguistik beobachtet wer</w:t>
      </w:r>
      <w:r>
        <w:softHyphen/>
        <w:t>den kann.</w:t>
      </w:r>
    </w:p>
    <w:p w:rsidR="00BB7EDA" w:rsidRDefault="007D72B3">
      <w:pPr>
        <w:pStyle w:val="Heading30"/>
        <w:keepNext/>
        <w:keepLines/>
        <w:numPr>
          <w:ilvl w:val="0"/>
          <w:numId w:val="185"/>
        </w:numPr>
        <w:shd w:val="clear" w:color="auto" w:fill="auto"/>
        <w:tabs>
          <w:tab w:val="left" w:pos="462"/>
        </w:tabs>
        <w:spacing w:after="401" w:line="336" w:lineRule="exact"/>
        <w:ind w:right="580"/>
        <w:jc w:val="left"/>
      </w:pPr>
      <w:bookmarkStart w:id="132" w:name="bookmark131"/>
      <w:r>
        <w:t>Zum Phänomen des Sprachenredens im NT</w:t>
      </w:r>
      <w:bookmarkEnd w:id="132"/>
    </w:p>
    <w:p w:rsidR="00BB7EDA" w:rsidRDefault="007D72B3">
      <w:pPr>
        <w:pStyle w:val="Heading40"/>
        <w:keepNext/>
        <w:keepLines/>
        <w:numPr>
          <w:ilvl w:val="1"/>
          <w:numId w:val="185"/>
        </w:numPr>
        <w:shd w:val="clear" w:color="auto" w:fill="auto"/>
        <w:tabs>
          <w:tab w:val="left" w:pos="500"/>
        </w:tabs>
        <w:spacing w:after="212" w:line="210" w:lineRule="exact"/>
      </w:pPr>
      <w:bookmarkStart w:id="133" w:name="bookmark132"/>
      <w:r>
        <w:t>Übersicht über die Thematik</w:t>
      </w:r>
      <w:bookmarkEnd w:id="133"/>
    </w:p>
    <w:p w:rsidR="00BB7EDA" w:rsidRDefault="007D72B3">
      <w:pPr>
        <w:pStyle w:val="Bodytext20"/>
        <w:shd w:val="clear" w:color="auto" w:fill="auto"/>
        <w:spacing w:before="0" w:line="226" w:lineRule="exact"/>
      </w:pPr>
      <w:r>
        <w:t>Ich hoffe, dass nach den vorangegangenen Untersuchungen deut</w:t>
      </w:r>
      <w:r>
        <w:softHyphen/>
        <w:t>lich geworden ist, dass die menschlichen Sprachen vernünftige</w:t>
      </w:r>
      <w:r>
        <w:t>r</w:t>
      </w:r>
      <w:r>
        <w:softHyphen/>
        <w:t>weise als Schöpfergabe Gottes anzusehen sind. Der Mensch wäre ja nie in der Lage gewesen, sich selber dieses wunderbare Kommuni</w:t>
      </w:r>
      <w:r>
        <w:softHyphen/>
        <w:t>kationsmittel zu verschaffen.</w:t>
      </w:r>
    </w:p>
    <w:p w:rsidR="00BB7EDA" w:rsidRDefault="007D72B3">
      <w:pPr>
        <w:pStyle w:val="Bodytext20"/>
        <w:shd w:val="clear" w:color="auto" w:fill="auto"/>
        <w:spacing w:before="0" w:line="226" w:lineRule="exact"/>
        <w:ind w:firstLine="320"/>
      </w:pPr>
      <w:r>
        <w:t>In Gen 2 wurde der Mensch mit vollausgestatteter Sprach- fähigkeit erschaffen. Adam war, ohne vo</w:t>
      </w:r>
      <w:r>
        <w:t>rangegangenes Lernen, sofort in der Lage, zu sprechen und zu verstehen, ja, er war sogar unmittelbar fähig, sein Lexikon zu erweitern und kreativ mit der Syntax umzugehen.</w:t>
      </w:r>
    </w:p>
    <w:p w:rsidR="00BB7EDA" w:rsidRDefault="007D72B3">
      <w:pPr>
        <w:pStyle w:val="Bodytext20"/>
        <w:shd w:val="clear" w:color="auto" w:fill="auto"/>
        <w:spacing w:before="0" w:line="226" w:lineRule="exact"/>
        <w:ind w:firstLine="320"/>
      </w:pPr>
      <w:r>
        <w:t>Der Sprachschöpfungsakt zu Babel (Gen 11) hatte sich so ausge</w:t>
      </w:r>
      <w:r>
        <w:softHyphen/>
        <w:t xml:space="preserve">wirkt, dass Menschen, </w:t>
      </w:r>
      <w:r>
        <w:t>die früher eine andere Sprache gesprochen hatten, plötzlich in der Lage waren, neue Sprachen perfekt zu sprechen. Ihnen wurde die Fähigkeit gegeben, ohne Lernprozess über eine bislang unbekannte Langue zu verfügen, wobei aller</w:t>
      </w:r>
      <w:r>
        <w:softHyphen/>
        <w:t>dings die Kenntnis des früher</w:t>
      </w:r>
      <w:r>
        <w:t>en Sprachsystems zum selben Zeit</w:t>
      </w:r>
      <w:r>
        <w:softHyphen/>
        <w:t>punkt gelöscht worden war. Man könnte dieses Geschehen mit Schlüsselbegriffen aus der generativen Transformations-Gramma</w:t>
      </w:r>
      <w:r>
        <w:softHyphen/>
        <w:t>tik so umschreiben: Trotz der Sprachenverwirrung blieb die „Tiefen</w:t>
      </w:r>
      <w:r>
        <w:softHyphen/>
        <w:t>struktur" bei allen Menschen erhalt</w:t>
      </w:r>
      <w:r>
        <w:t>en, aber die alte „Oberflächen</w:t>
      </w:r>
      <w:r>
        <w:softHyphen/>
        <w:t>struktur" wurde für die Angehörigen der verschiedenen neuen Sprachgruppen jeweils durch eine andere ersetzt.</w:t>
      </w:r>
    </w:p>
    <w:p w:rsidR="00BB7EDA" w:rsidRDefault="007D72B3">
      <w:pPr>
        <w:pStyle w:val="Bodytext20"/>
        <w:shd w:val="clear" w:color="auto" w:fill="auto"/>
        <w:spacing w:before="0" w:line="226" w:lineRule="exact"/>
        <w:ind w:firstLine="320"/>
      </w:pPr>
      <w:r>
        <w:t>Im NT wird an verschiedenen Stellen über das Phänomen des Sprachenredens gesprochen. Hierbei handelt es sich offensi</w:t>
      </w:r>
      <w:r>
        <w:t>chtlich um eine Erscheinung, die in ihrem Wesen starke Übereinstimmun</w:t>
      </w:r>
      <w:r>
        <w:softHyphen/>
        <w:t xml:space="preserve">gen mit dem nachsintflutlichen Ereignis der Sprachenverwirrung aufweist. In gewissem Sinn könnte man das Pfingstereignis als Umkehrung der Turmbaugeschichte aus der Genesis bezeichnen. </w:t>
      </w:r>
      <w:r>
        <w:rPr>
          <w:rStyle w:val="Bodytext2Italic0"/>
        </w:rPr>
        <w:t>A</w:t>
      </w:r>
      <w:r>
        <w:rPr>
          <w:rStyle w:val="Bodytext2Italic0"/>
        </w:rPr>
        <w:t>pg</w:t>
      </w:r>
      <w:r>
        <w:t xml:space="preserve"> 2 </w:t>
      </w:r>
      <w:r>
        <w:rPr>
          <w:rStyle w:val="Bodytext2Italic0"/>
        </w:rPr>
        <w:t>bildet den neutestamentlichen Kontrapunkt zu Gen 11.</w:t>
      </w:r>
    </w:p>
    <w:p w:rsidR="00BB7EDA" w:rsidRDefault="007D72B3">
      <w:pPr>
        <w:pStyle w:val="Bodytext20"/>
        <w:shd w:val="clear" w:color="auto" w:fill="auto"/>
        <w:spacing w:before="0" w:after="433" w:line="226" w:lineRule="exact"/>
        <w:ind w:firstLine="320"/>
      </w:pPr>
      <w:r>
        <w:t xml:space="preserve">Im Folgenden wollen wir dem Sprachenreden des NT näher auf die Spur kommen, weil die Geschichtlichkeit dieser Erscheinung aus der Antike indirekt eine Bestätigung der in die Frühzeit der Menschheit </w:t>
      </w:r>
      <w:r>
        <w:t>zu datierenden biblischen Ursprungsgeschichte der Sprachen darstellt. Wenn wir nämlich historisch glaubwürdig zei</w:t>
      </w:r>
      <w:r>
        <w:softHyphen/>
        <w:t>gen können, dass es prinzipiell möglich ist, dass Menschen plötz</w:t>
      </w:r>
      <w:r>
        <w:softHyphen/>
        <w:t>lich und ohne vorheriges Lernen ein gesamtes Sprachsystem be</w:t>
      </w:r>
      <w:r>
        <w:softHyphen/>
        <w:t>herrschen können</w:t>
      </w:r>
      <w:r>
        <w:t>, so erhält die biblische Geschichte der Sprachen</w:t>
      </w:r>
      <w:r>
        <w:softHyphen/>
        <w:t>verwirrung zu Babel dadurch ein zusätzliches, indirekt untermau</w:t>
      </w:r>
      <w:r>
        <w:softHyphen/>
        <w:t>erndes Argument, dessen Bedeutung nicht unterschätzt werden sollte.</w:t>
      </w:r>
    </w:p>
    <w:p w:rsidR="00BB7EDA" w:rsidRDefault="007D72B3">
      <w:pPr>
        <w:pStyle w:val="Heading40"/>
        <w:keepNext/>
        <w:keepLines/>
        <w:numPr>
          <w:ilvl w:val="1"/>
          <w:numId w:val="185"/>
        </w:numPr>
        <w:shd w:val="clear" w:color="auto" w:fill="auto"/>
        <w:tabs>
          <w:tab w:val="left" w:pos="505"/>
        </w:tabs>
        <w:spacing w:after="212" w:line="210" w:lineRule="exact"/>
      </w:pPr>
      <w:bookmarkStart w:id="134" w:name="bookmark133"/>
      <w:r>
        <w:t>Zur Glaubwürdigkeit der Schriften des Lukas</w:t>
      </w:r>
      <w:bookmarkEnd w:id="134"/>
    </w:p>
    <w:p w:rsidR="00BB7EDA" w:rsidRDefault="007D72B3">
      <w:pPr>
        <w:pStyle w:val="Bodytext20"/>
        <w:shd w:val="clear" w:color="auto" w:fill="auto"/>
        <w:spacing w:before="0" w:line="226" w:lineRule="exact"/>
      </w:pPr>
      <w:r>
        <w:t xml:space="preserve">In der Apostelgeschichte, dem </w:t>
      </w:r>
      <w:r>
        <w:t>Fortsetzungswerk des Lukas-Evan</w:t>
      </w:r>
      <w:r>
        <w:softHyphen/>
        <w:t>geliums, wird über drei historische Ereignisse des Sprachenredens gesprochen (Apg 2; 10 und 19). In diesem Zusammenhang ist es wichtig, darauf hinzuweisen, dass die Archäologie den Schreiber Lukas als überaus genauen, präzis</w:t>
      </w:r>
      <w:r>
        <w:t>en und glaubwürdigen Histori</w:t>
      </w:r>
      <w:r>
        <w:softHyphen/>
        <w:t xml:space="preserve">ker erweisen konnte. Sir William </w:t>
      </w:r>
      <w:r>
        <w:rPr>
          <w:rStyle w:val="Bodytext28ptSmallCaps"/>
        </w:rPr>
        <w:t xml:space="preserve">Ramsay, </w:t>
      </w:r>
      <w:r>
        <w:t>der als Archäologe insbe</w:t>
      </w:r>
      <w:r>
        <w:softHyphen/>
        <w:t>sondere die Welt der paulinischen Missionsreisen erforschte, kam nach jahrelangen Arbeiten zum reifen Urteil, dass die Geschichts</w:t>
      </w:r>
      <w:r>
        <w:softHyphen/>
        <w:t>darstellung des Lukas, was ihre</w:t>
      </w:r>
      <w:r>
        <w:t xml:space="preserve"> Vertrauenswürdigkeit angeht, unübertroffen ist, dies obwohl er anfänglich durch die liberal</w:t>
      </w:r>
      <w:r>
        <w:softHyphen/>
        <w:t>theologische Tübinger Schule geprägt, von der Ungeschichtlich</w:t>
      </w:r>
      <w:r>
        <w:softHyphen/>
        <w:t>keit der Apostelgeschichte ausgegangen war.</w:t>
      </w:r>
      <w:r>
        <w:rPr>
          <w:vertAlign w:val="superscript"/>
        </w:rPr>
        <w:footnoteReference w:id="383"/>
      </w:r>
    </w:p>
    <w:p w:rsidR="00BB7EDA" w:rsidRDefault="007D72B3">
      <w:pPr>
        <w:pStyle w:val="Bodytext20"/>
        <w:shd w:val="clear" w:color="auto" w:fill="auto"/>
        <w:spacing w:before="0" w:line="226" w:lineRule="exact"/>
        <w:ind w:firstLine="320"/>
      </w:pPr>
      <w:r>
        <w:t xml:space="preserve">Andere Forscher haben die Untersuchungen </w:t>
      </w:r>
      <w:r>
        <w:rPr>
          <w:rStyle w:val="Bodytext28ptSmallCaps"/>
        </w:rPr>
        <w:t xml:space="preserve">Ramsays </w:t>
      </w:r>
      <w:r>
        <w:t>weiterg</w:t>
      </w:r>
      <w:r>
        <w:t>e</w:t>
      </w:r>
      <w:r>
        <w:softHyphen/>
        <w:t>führt. Ihre Ergebnisse zeigen deutlich: Die Geschichtsschreibung des Arztes Lukas ist bis in kleinste Details hinein zuverlässig.</w:t>
      </w:r>
      <w:r>
        <w:rPr>
          <w:vertAlign w:val="superscript"/>
        </w:rPr>
        <w:footnoteReference w:id="384"/>
      </w:r>
    </w:p>
    <w:p w:rsidR="00BB7EDA" w:rsidRDefault="007D72B3">
      <w:pPr>
        <w:pStyle w:val="Bodytext20"/>
        <w:shd w:val="clear" w:color="auto" w:fill="auto"/>
        <w:spacing w:before="0" w:line="226" w:lineRule="exact"/>
        <w:ind w:firstLine="320"/>
      </w:pPr>
      <w:r>
        <w:t>Dieser Punkt ist in unserem Zusammenhang sehr entschei</w:t>
      </w:r>
      <w:r>
        <w:softHyphen/>
        <w:t>dend. Von der Apostelgeschichte ausgehend, haben wir also allen Grun</w:t>
      </w:r>
      <w:r>
        <w:t>d, die Echtheit des Phänomens der Sprachenrede, wie sie dort geschildert wird, anzuerkennen. Wenn es aber als historisch gesi</w:t>
      </w:r>
      <w:r>
        <w:softHyphen/>
        <w:t>chert gelten darf, dass Menschen in der Vergangenheit in der Lage waren, plötzlich und ohne vorangegangenes Lernen, neue Sprach</w:t>
      </w:r>
      <w:r>
        <w:softHyphen/>
        <w:t>sy</w:t>
      </w:r>
      <w:r>
        <w:t>steme zu beherrschen, so fällt es dem Skeptiker wohl etwas einfacher, gedanklich nachzuvollziehen, wie die menschlichen Spra</w:t>
      </w:r>
      <w:r>
        <w:softHyphen/>
        <w:t>chen ursprünglich entstanden sind.</w:t>
      </w:r>
    </w:p>
    <w:p w:rsidR="00BB7EDA" w:rsidRDefault="007D72B3">
      <w:pPr>
        <w:pStyle w:val="Heading40"/>
        <w:keepNext/>
        <w:keepLines/>
        <w:numPr>
          <w:ilvl w:val="1"/>
          <w:numId w:val="185"/>
        </w:numPr>
        <w:shd w:val="clear" w:color="auto" w:fill="auto"/>
        <w:tabs>
          <w:tab w:val="left" w:pos="500"/>
        </w:tabs>
        <w:spacing w:after="147" w:line="264" w:lineRule="exact"/>
        <w:ind w:right="160"/>
      </w:pPr>
      <w:bookmarkStart w:id="135" w:name="bookmark134"/>
      <w:r>
        <w:t>Das Phänomen des Sprachenredens am Pfingsttag 32 n. Chr.</w:t>
      </w:r>
      <w:bookmarkEnd w:id="135"/>
    </w:p>
    <w:p w:rsidR="00BB7EDA" w:rsidRDefault="007D72B3">
      <w:pPr>
        <w:pStyle w:val="Bodytext20"/>
        <w:shd w:val="clear" w:color="auto" w:fill="auto"/>
        <w:spacing w:before="0" w:after="124"/>
      </w:pPr>
      <w:r>
        <w:t>Der Arzt Lukas</w:t>
      </w:r>
      <w:r>
        <w:rPr>
          <w:vertAlign w:val="superscript"/>
        </w:rPr>
        <w:footnoteReference w:id="385"/>
      </w:r>
      <w:r>
        <w:t xml:space="preserve"> beschrieb das Wunder de</w:t>
      </w:r>
      <w:r>
        <w:t>s Sprachenredens in Verbindung mit dem Pfingstereignis im zweiten Teil seines bibli</w:t>
      </w:r>
      <w:r>
        <w:softHyphen/>
        <w:t>schen Doppelwerkes</w:t>
      </w:r>
      <w:r>
        <w:rPr>
          <w:vertAlign w:val="superscript"/>
        </w:rPr>
        <w:footnoteReference w:id="386"/>
      </w:r>
      <w:r>
        <w:t xml:space="preserve"> (Apg 2,1-21):</w:t>
      </w:r>
    </w:p>
    <w:p w:rsidR="00BB7EDA" w:rsidRDefault="007D72B3">
      <w:pPr>
        <w:pStyle w:val="Bodytext20"/>
        <w:shd w:val="clear" w:color="auto" w:fill="auto"/>
        <w:spacing w:before="0" w:line="226" w:lineRule="exact"/>
        <w:ind w:left="320" w:right="300"/>
      </w:pPr>
      <w:r>
        <w:t>„[1] Und als der Tag der Pfingsten erfüllt wurde, waren sie alle einmütig an einem Ort beisammen. [2] Und plötzlich geschah aus dem Himmel</w:t>
      </w:r>
      <w:r>
        <w:t xml:space="preserve"> ein Brausen, wie von einem daherfahrenden, gewaltigen Wind, und erfüllte das ganze Haus, wo sie saßen. [3] Und es erschienen ihnen zerteilte Zungen wie von Feuer, und sie setzten sich auf jeden Einzelnen von ihnen. [4] Und sie wurden alle mit Heiligem Gei</w:t>
      </w:r>
      <w:r>
        <w:t>ste erfüllt und fingen an, in anderen Sprachen zu reden, wie der Geist ihnen gab auszusprechen. [5] Es wohnten aber in Jerusalem Juden, gottesfürchtige Männer, von jeder Nation derer, die unter dem Himmel sind. [6] Als sich aber das Gerücht hiervon verbrei</w:t>
      </w:r>
      <w:r>
        <w:t>tete, kam die Menge zusam</w:t>
      </w:r>
      <w:r>
        <w:softHyphen/>
        <w:t>men und wurde bestürzt, weil jeder Einzelne in seiner eigenen Mundart sie reden hörte. [7] Sie entsetzten sich aber alle und verwunderten sich und sagten zueinander: Siehe, sind nicht alle diese, die da reden, Galiläer? [8] Und wi</w:t>
      </w:r>
      <w:r>
        <w:t>e hören wir sie, ein jeder in unserer eigenen Mundart, in der wir geboren sind: [9] Parther und Meder und Elamiter, und die Bewohner von Mesopotamien und von Judäa und Kappadocien, Pontus und Asien, [10] und Phrygien und Pamphylien, Ägypten und den Gegende</w:t>
      </w:r>
      <w:r>
        <w:t>n von Libyen ge</w:t>
      </w:r>
      <w:r>
        <w:softHyphen/>
        <w:t>gen Kyrene hin, und die hier weilenden Römer, sowohl Juden als Proselyten, [11] Kreter und Araber - wie hören wir sie die großen Taten Gottes in unseren Sprachen reden?</w:t>
      </w:r>
    </w:p>
    <w:p w:rsidR="00BB7EDA" w:rsidRDefault="007D72B3">
      <w:pPr>
        <w:pStyle w:val="Bodytext20"/>
        <w:numPr>
          <w:ilvl w:val="0"/>
          <w:numId w:val="190"/>
        </w:numPr>
        <w:shd w:val="clear" w:color="auto" w:fill="auto"/>
        <w:tabs>
          <w:tab w:val="left" w:pos="748"/>
        </w:tabs>
        <w:spacing w:before="0" w:line="226" w:lineRule="exact"/>
        <w:ind w:left="320" w:right="300"/>
      </w:pPr>
      <w:r>
        <w:t xml:space="preserve">Sie entsetzten sich aber alle und waren in Verlegenheit und sagten </w:t>
      </w:r>
      <w:r>
        <w:t>einer zum anderen: Was mag dies wohl sein?</w:t>
      </w:r>
    </w:p>
    <w:p w:rsidR="00BB7EDA" w:rsidRDefault="007D72B3">
      <w:pPr>
        <w:pStyle w:val="Bodytext20"/>
        <w:numPr>
          <w:ilvl w:val="0"/>
          <w:numId w:val="190"/>
        </w:numPr>
        <w:shd w:val="clear" w:color="auto" w:fill="auto"/>
        <w:tabs>
          <w:tab w:val="left" w:pos="762"/>
        </w:tabs>
        <w:spacing w:before="0" w:line="226" w:lineRule="exact"/>
        <w:ind w:left="320" w:right="300"/>
      </w:pPr>
      <w:r>
        <w:t>Andere aber sagten spottend: Sie sind voll süßen Wei</w:t>
      </w:r>
      <w:r>
        <w:softHyphen/>
        <w:t>nes. [14] Petrus aber stand auf mit den Elfen, erhob seine Stimme und redete zu ihnen: Männer von Judäa, und ihr alle, die ihr zu Jerusalem wohnt, dies sei euch</w:t>
      </w:r>
      <w:r>
        <w:t xml:space="preserve"> kund, und nehmt zu Ohren meine Worte! [15] Denn diese sind nicht</w:t>
      </w:r>
    </w:p>
    <w:p w:rsidR="00BB7EDA" w:rsidRDefault="007D72B3">
      <w:pPr>
        <w:framePr w:h="3811" w:wrap="notBeside" w:vAnchor="text" w:hAnchor="text" w:xAlign="center" w:y="1"/>
        <w:jc w:val="center"/>
        <w:rPr>
          <w:sz w:val="2"/>
          <w:szCs w:val="2"/>
        </w:rPr>
      </w:pPr>
      <w:r>
        <w:fldChar w:fldCharType="begin"/>
      </w:r>
      <w:r>
        <w:instrText xml:space="preserve"> </w:instrText>
      </w:r>
      <w:r>
        <w:instrText>INCLUDEPICTURE  "X:\\sk\\NextUpload116\\Webserver\\german\\RogerLiebi\\media\\image14.jpeg" \* MERGEFORMATINET</w:instrText>
      </w:r>
      <w:r>
        <w:instrText xml:space="preserve"> </w:instrText>
      </w:r>
      <w:r>
        <w:fldChar w:fldCharType="separate"/>
      </w:r>
      <w:r>
        <w:pict>
          <v:shape id="_x0000_i1032" type="#_x0000_t75" style="width:281.25pt;height:191.25pt">
            <v:imagedata r:id="rId137" r:href="rId138"/>
          </v:shape>
        </w:pict>
      </w:r>
      <w:r>
        <w:fldChar w:fldCharType="end"/>
      </w:r>
    </w:p>
    <w:p w:rsidR="00BB7EDA" w:rsidRDefault="00BB7EDA">
      <w:pPr>
        <w:rPr>
          <w:sz w:val="2"/>
          <w:szCs w:val="2"/>
        </w:rPr>
      </w:pPr>
    </w:p>
    <w:p w:rsidR="00BB7EDA" w:rsidRDefault="007D72B3">
      <w:pPr>
        <w:pStyle w:val="Bodytext120"/>
        <w:shd w:val="clear" w:color="auto" w:fill="auto"/>
        <w:spacing w:before="26" w:after="333"/>
      </w:pPr>
      <w:r>
        <w:t xml:space="preserve">Abb. 19 Der Tempelplatz von Jerusalem. Das Phänomen des Sprachenredens </w:t>
      </w:r>
      <w:r>
        <w:t>am Pfingsttag ereignete sich, als die Volksmassen kurz vor 9 Uhr morgens zum Tempel strömten (ASEBA, Bollodingen).</w:t>
      </w:r>
    </w:p>
    <w:p w:rsidR="00BB7EDA" w:rsidRDefault="007D72B3">
      <w:pPr>
        <w:pStyle w:val="Bodytext20"/>
        <w:shd w:val="clear" w:color="auto" w:fill="auto"/>
        <w:spacing w:before="0" w:line="226" w:lineRule="exact"/>
        <w:ind w:left="320" w:right="320"/>
      </w:pPr>
      <w:r>
        <w:t xml:space="preserve">trunken, wie ihr meint, denn es ist die dritte Stunde des Tages; [16] sondern dies ist es, was durch den Propheten Joel gesagt ist: [17] Und </w:t>
      </w:r>
      <w:r>
        <w:t xml:space="preserve">es wird geschehen in den letzten Tagen, spricht Gott, dass ich von meinem Geiste ausgießen werde auf alles Fleisch, und eure Söhne und eure Töchter werden weissagen, und eure Jünglinge werden Gesichte sehen, und eure Ältesten werden Träume haben; [18] und </w:t>
      </w:r>
      <w:r>
        <w:t>sogar auf meine Knechte und auf meine Mägde werde ich in jenen Tagen von meinem Geiste ausgießen, und sie werden weissagen. [19] Und ich werde Wunder geben in dem Himmel oben und Zeichen auf der Erde unten: Blut und Feuer und Rauchdampf; [20] die Sonne wir</w:t>
      </w:r>
      <w:r>
        <w:t>d verwan</w:t>
      </w:r>
      <w:r>
        <w:softHyphen/>
        <w:t>delt werden in Finsternis und der Mond in Blut, ehe der große und herrliche Tag des Herrn kommt. [21] Und es wird geschehen, ein jeder, der irgend den Namen des Herrn anrufen wird, wird errettet werden."</w:t>
      </w:r>
    </w:p>
    <w:p w:rsidR="00BB7EDA" w:rsidRDefault="007D72B3">
      <w:pPr>
        <w:pStyle w:val="Heading40"/>
        <w:keepNext/>
        <w:keepLines/>
        <w:numPr>
          <w:ilvl w:val="1"/>
          <w:numId w:val="185"/>
        </w:numPr>
        <w:shd w:val="clear" w:color="auto" w:fill="auto"/>
        <w:tabs>
          <w:tab w:val="left" w:pos="500"/>
        </w:tabs>
        <w:spacing w:after="147" w:line="264" w:lineRule="exact"/>
        <w:jc w:val="left"/>
      </w:pPr>
      <w:bookmarkStart w:id="136" w:name="bookmark135"/>
      <w:r>
        <w:t>Sechzehn Thesen zum Thema „Sprachenreden in</w:t>
      </w:r>
      <w:r>
        <w:t xml:space="preserve"> der Bibel"</w:t>
      </w:r>
      <w:bookmarkEnd w:id="136"/>
    </w:p>
    <w:p w:rsidR="00BB7EDA" w:rsidRDefault="007D72B3">
      <w:pPr>
        <w:pStyle w:val="Bodytext20"/>
        <w:shd w:val="clear" w:color="auto" w:fill="auto"/>
        <w:spacing w:before="0" w:after="120"/>
      </w:pPr>
      <w:r>
        <w:t>Über das Wesen des biblischen Sprachenredens bestehen kontrover</w:t>
      </w:r>
      <w:r>
        <w:softHyphen/>
        <w:t>se Meinungen. Nachfolgend stelle ich 16 Thesen zu dieser Thematik auf. Anschließend sollen sie näher erläutert und am Bibeltext festge</w:t>
      </w:r>
      <w:r>
        <w:softHyphen/>
        <w:t>macht werden:</w:t>
      </w:r>
    </w:p>
    <w:p w:rsidR="00BB7EDA" w:rsidRDefault="007D72B3">
      <w:pPr>
        <w:pStyle w:val="Bodytext20"/>
        <w:numPr>
          <w:ilvl w:val="0"/>
          <w:numId w:val="191"/>
        </w:numPr>
        <w:shd w:val="clear" w:color="auto" w:fill="auto"/>
        <w:tabs>
          <w:tab w:val="left" w:pos="285"/>
        </w:tabs>
        <w:spacing w:before="0" w:after="56"/>
        <w:ind w:left="320" w:hanging="320"/>
      </w:pPr>
      <w:r>
        <w:t xml:space="preserve">Bei der Gabe der Sprachenrede </w:t>
      </w:r>
      <w:r>
        <w:t>in der Bibel handelte es sich um eine übernatürliche Gabe von Gott.</w:t>
      </w:r>
    </w:p>
    <w:p w:rsidR="00BB7EDA" w:rsidRDefault="007D72B3">
      <w:pPr>
        <w:pStyle w:val="Bodytext20"/>
        <w:numPr>
          <w:ilvl w:val="0"/>
          <w:numId w:val="191"/>
        </w:numPr>
        <w:shd w:val="clear" w:color="auto" w:fill="auto"/>
        <w:tabs>
          <w:tab w:val="left" w:pos="285"/>
        </w:tabs>
        <w:spacing w:before="0" w:after="104" w:line="235" w:lineRule="exact"/>
        <w:ind w:left="320" w:hanging="320"/>
      </w:pPr>
      <w:r>
        <w:t>Der Heilige Geist vermittelte die Fähigkeit zur Beherrschung von Fremdsprachen.</w:t>
      </w:r>
    </w:p>
    <w:p w:rsidR="00BB7EDA" w:rsidRDefault="007D72B3">
      <w:pPr>
        <w:pStyle w:val="Bodytext20"/>
        <w:numPr>
          <w:ilvl w:val="0"/>
          <w:numId w:val="191"/>
        </w:numPr>
        <w:shd w:val="clear" w:color="auto" w:fill="auto"/>
        <w:tabs>
          <w:tab w:val="left" w:pos="285"/>
        </w:tabs>
        <w:spacing w:before="0" w:after="34" w:line="180" w:lineRule="exact"/>
        <w:ind w:left="320" w:hanging="320"/>
      </w:pPr>
      <w:r>
        <w:t>Die Beherrschung schloß selbst die korrekte Aussprache mit ein.</w:t>
      </w:r>
    </w:p>
    <w:p w:rsidR="00BB7EDA" w:rsidRDefault="007D72B3">
      <w:pPr>
        <w:pStyle w:val="Bodytext20"/>
        <w:numPr>
          <w:ilvl w:val="0"/>
          <w:numId w:val="191"/>
        </w:numPr>
        <w:shd w:val="clear" w:color="auto" w:fill="auto"/>
        <w:tabs>
          <w:tab w:val="left" w:pos="285"/>
        </w:tabs>
        <w:spacing w:before="0" w:after="64"/>
        <w:ind w:left="320" w:hanging="320"/>
      </w:pPr>
      <w:r>
        <w:t xml:space="preserve">Beim Sprachenreden in der Bibel handelte es </w:t>
      </w:r>
      <w:r>
        <w:t>sich nicht um ein Gestammel, um unartikulierte Laute oder um einen Schwall von Lauten mit fehlender Prosodie/</w:t>
      </w:r>
      <w:r>
        <w:rPr>
          <w:vertAlign w:val="superscript"/>
        </w:rPr>
        <w:t>71</w:t>
      </w:r>
      <w:r>
        <w:t xml:space="preserve"> sondern um wirkliche Sprachen.</w:t>
      </w:r>
    </w:p>
    <w:p w:rsidR="00BB7EDA" w:rsidRDefault="007D72B3">
      <w:pPr>
        <w:pStyle w:val="Bodytext20"/>
        <w:numPr>
          <w:ilvl w:val="0"/>
          <w:numId w:val="191"/>
        </w:numPr>
        <w:shd w:val="clear" w:color="auto" w:fill="auto"/>
        <w:tabs>
          <w:tab w:val="left" w:pos="285"/>
        </w:tabs>
        <w:spacing w:before="0" w:after="56" w:line="226" w:lineRule="exact"/>
        <w:ind w:left="320" w:hanging="320"/>
      </w:pPr>
      <w:r>
        <w:t>Bei der vielfach verwendeten Bezeichnung „Zungenreden" han</w:t>
      </w:r>
      <w:r>
        <w:softHyphen/>
        <w:t>delt es sich um eine falsche Wiedergabe der griechisch</w:t>
      </w:r>
      <w:r>
        <w:t>en Wen</w:t>
      </w:r>
      <w:r>
        <w:softHyphen/>
        <w:t xml:space="preserve">dung </w:t>
      </w:r>
      <w:r>
        <w:rPr>
          <w:rStyle w:val="Bodytext2Italic0"/>
        </w:rPr>
        <w:t>en glossais lalein.</w:t>
      </w:r>
      <w:r>
        <w:t xml:space="preserve"> Korrekt muss man diese verbale Wort</w:t>
      </w:r>
      <w:r>
        <w:softHyphen/>
        <w:t>kette im Deutschen mit „Sprachenreden" bzw. „Fremdsprachen</w:t>
      </w:r>
      <w:r>
        <w:softHyphen/>
        <w:t>reden" übersetzen.</w:t>
      </w:r>
    </w:p>
    <w:p w:rsidR="00BB7EDA" w:rsidRDefault="007D72B3">
      <w:pPr>
        <w:pStyle w:val="Bodytext20"/>
        <w:numPr>
          <w:ilvl w:val="0"/>
          <w:numId w:val="191"/>
        </w:numPr>
        <w:shd w:val="clear" w:color="auto" w:fill="auto"/>
        <w:tabs>
          <w:tab w:val="left" w:pos="285"/>
        </w:tabs>
        <w:spacing w:before="0" w:after="64"/>
        <w:ind w:left="320" w:hanging="320"/>
      </w:pPr>
      <w:r>
        <w:t>Die biblischen Sprachenredner beherrschten die jeweilige Fremd</w:t>
      </w:r>
      <w:r>
        <w:softHyphen/>
        <w:t>sprache aktiv, ohne sie jemals zuvor gelernt zu</w:t>
      </w:r>
      <w:r>
        <w:t xml:space="preserve"> haben.</w:t>
      </w:r>
    </w:p>
    <w:p w:rsidR="00BB7EDA" w:rsidRDefault="007D72B3">
      <w:pPr>
        <w:pStyle w:val="Bodytext20"/>
        <w:numPr>
          <w:ilvl w:val="0"/>
          <w:numId w:val="191"/>
        </w:numPr>
        <w:shd w:val="clear" w:color="auto" w:fill="auto"/>
        <w:tabs>
          <w:tab w:val="left" w:pos="285"/>
        </w:tabs>
        <w:spacing w:before="0" w:after="56" w:line="226" w:lineRule="exact"/>
        <w:ind w:left="320" w:hanging="320"/>
      </w:pPr>
      <w:r>
        <w:t>Die biblischen Sprachenredner beherrschten nicht nur bestimm</w:t>
      </w:r>
      <w:r>
        <w:softHyphen/>
        <w:t>te Hauptsprachen, sondern sogar verschiedene Dialekte.</w:t>
      </w:r>
    </w:p>
    <w:p w:rsidR="00BB7EDA" w:rsidRDefault="007D72B3">
      <w:pPr>
        <w:pStyle w:val="Bodytext20"/>
        <w:numPr>
          <w:ilvl w:val="0"/>
          <w:numId w:val="191"/>
        </w:numPr>
        <w:shd w:val="clear" w:color="auto" w:fill="auto"/>
        <w:tabs>
          <w:tab w:val="left" w:pos="285"/>
        </w:tabs>
        <w:spacing w:before="0" w:after="60"/>
        <w:ind w:left="320" w:hanging="320"/>
      </w:pPr>
      <w:r>
        <w:t xml:space="preserve">Die biblischen Sprachenredner wirkten nicht als Medien. Ihr Bewusstsein war nicht eingeschränkt und ihr Verstand nicht </w:t>
      </w:r>
      <w:r>
        <w:t>ausgeschaltet.</w:t>
      </w:r>
    </w:p>
    <w:p w:rsidR="00BB7EDA" w:rsidRDefault="007D72B3">
      <w:pPr>
        <w:pStyle w:val="Bodytext20"/>
        <w:numPr>
          <w:ilvl w:val="0"/>
          <w:numId w:val="191"/>
        </w:numPr>
        <w:shd w:val="clear" w:color="auto" w:fill="auto"/>
        <w:tabs>
          <w:tab w:val="left" w:pos="285"/>
        </w:tabs>
        <w:spacing w:before="0" w:after="56"/>
        <w:ind w:left="320" w:hanging="320"/>
      </w:pPr>
      <w:r>
        <w:t>Die biblischen Sprachenredner waren sich daher auch immer dessen, was sie sagten, voll bewusst. Sie waren ja die Redenden, mit Hilfe des Heiligen Geistes.</w:t>
      </w:r>
    </w:p>
    <w:p w:rsidR="00BB7EDA" w:rsidRDefault="007D72B3">
      <w:pPr>
        <w:pStyle w:val="Bodytext20"/>
        <w:numPr>
          <w:ilvl w:val="0"/>
          <w:numId w:val="191"/>
        </w:numPr>
        <w:shd w:val="clear" w:color="auto" w:fill="auto"/>
        <w:tabs>
          <w:tab w:val="left" w:pos="342"/>
        </w:tabs>
        <w:spacing w:before="0" w:line="235" w:lineRule="exact"/>
        <w:ind w:left="320" w:hanging="320"/>
      </w:pPr>
      <w:r>
        <w:t>Die biblischen Sprachenredner waren beim Sprechen in einem nüchternen Zustand der völl</w:t>
      </w:r>
      <w:r>
        <w:t xml:space="preserve">igen Selbstkontrolle. </w:t>
      </w:r>
      <w:r>
        <w:rPr>
          <w:vertAlign w:val="superscript"/>
        </w:rPr>
        <w:footnoteReference w:id="387"/>
      </w:r>
    </w:p>
    <w:p w:rsidR="00BB7EDA" w:rsidRDefault="007D72B3">
      <w:pPr>
        <w:pStyle w:val="Bodytext20"/>
        <w:numPr>
          <w:ilvl w:val="0"/>
          <w:numId w:val="191"/>
        </w:numPr>
        <w:shd w:val="clear" w:color="auto" w:fill="auto"/>
        <w:tabs>
          <w:tab w:val="left" w:pos="342"/>
        </w:tabs>
        <w:spacing w:before="0" w:after="56" w:line="226" w:lineRule="exact"/>
        <w:ind w:left="320" w:hanging="320"/>
      </w:pPr>
      <w:r>
        <w:t xml:space="preserve">Diese übernatürliche Sprachengabe sollte insbesondere dem Volk Israel bezeugen, dass mit Pfingsten (Apg 2) ein neues Zeitalter, das Zeitalter der Weltmission, begonnen hat: Gott spricht nun nicht mehr lediglich in </w:t>
      </w:r>
      <w:r>
        <w:rPr>
          <w:rStyle w:val="Bodytext2Italic0"/>
        </w:rPr>
        <w:t>einer</w:t>
      </w:r>
      <w:r>
        <w:t xml:space="preserve"> Sprache (Heb</w:t>
      </w:r>
      <w:r>
        <w:t xml:space="preserve">räisch) zu </w:t>
      </w:r>
      <w:r>
        <w:rPr>
          <w:rStyle w:val="Bodytext2Italic0"/>
        </w:rPr>
        <w:t>einem</w:t>
      </w:r>
      <w:r>
        <w:t xml:space="preserve"> Volk (Israel), sondern in vielen Sprachen zu allen Völkern.</w:t>
      </w:r>
    </w:p>
    <w:p w:rsidR="00BB7EDA" w:rsidRDefault="007D72B3">
      <w:pPr>
        <w:pStyle w:val="Bodytext20"/>
        <w:numPr>
          <w:ilvl w:val="0"/>
          <w:numId w:val="191"/>
        </w:numPr>
        <w:shd w:val="clear" w:color="auto" w:fill="auto"/>
        <w:tabs>
          <w:tab w:val="left" w:pos="346"/>
        </w:tabs>
        <w:spacing w:before="0" w:after="60"/>
        <w:ind w:left="320" w:hanging="320"/>
      </w:pPr>
      <w:r>
        <w:t>Die Sprachenrede hatte nur einen Sinn, wenn die anwesenden Zuhörer den Inhalt verstehen konnten. Falls die Anwesenden die jeweilige Fremdsprache nicht verstanden, musste für Übers</w:t>
      </w:r>
      <w:r>
        <w:t>et</w:t>
      </w:r>
      <w:r>
        <w:softHyphen/>
        <w:t>zung gesorgt werden.</w:t>
      </w:r>
    </w:p>
    <w:p w:rsidR="00BB7EDA" w:rsidRDefault="007D72B3">
      <w:pPr>
        <w:pStyle w:val="Bodytext20"/>
        <w:numPr>
          <w:ilvl w:val="0"/>
          <w:numId w:val="191"/>
        </w:numPr>
        <w:shd w:val="clear" w:color="auto" w:fill="auto"/>
        <w:tabs>
          <w:tab w:val="left" w:pos="351"/>
        </w:tabs>
        <w:spacing w:before="0" w:after="60"/>
        <w:ind w:left="320" w:hanging="320"/>
      </w:pPr>
      <w:r>
        <w:t>Nicht alle Christen der Anfangszeit konnten in Sprachen reden, sondern nur gewisse, die in Gottes souveräner Auswahl diese Gabe bekommen hatten.</w:t>
      </w:r>
    </w:p>
    <w:p w:rsidR="00BB7EDA" w:rsidRDefault="007D72B3">
      <w:pPr>
        <w:pStyle w:val="Bodytext20"/>
        <w:numPr>
          <w:ilvl w:val="0"/>
          <w:numId w:val="191"/>
        </w:numPr>
        <w:shd w:val="clear" w:color="auto" w:fill="auto"/>
        <w:tabs>
          <w:tab w:val="left" w:pos="351"/>
        </w:tabs>
        <w:spacing w:before="0" w:after="64"/>
        <w:ind w:left="320" w:hanging="320"/>
      </w:pPr>
      <w:r>
        <w:t>Es gab nur einen Typ von Sprachenrede im NT. Bei der Sprachen</w:t>
      </w:r>
      <w:r>
        <w:softHyphen/>
        <w:t xml:space="preserve">rede von Apg 2 handelte </w:t>
      </w:r>
      <w:r>
        <w:t>es sich um dasselbe Phänomen wie in IKor 12-14.</w:t>
      </w:r>
    </w:p>
    <w:p w:rsidR="00BB7EDA" w:rsidRDefault="007D72B3">
      <w:pPr>
        <w:pStyle w:val="Bodytext20"/>
        <w:numPr>
          <w:ilvl w:val="0"/>
          <w:numId w:val="191"/>
        </w:numPr>
        <w:shd w:val="clear" w:color="auto" w:fill="auto"/>
        <w:tabs>
          <w:tab w:val="left" w:pos="351"/>
        </w:tabs>
        <w:spacing w:before="0" w:after="60" w:line="226" w:lineRule="exact"/>
        <w:ind w:left="320" w:hanging="320"/>
      </w:pPr>
      <w:r>
        <w:t>Die biblische Sprachenrede sollte allmählich verklingen und, im Gegensatz zu verschiedenen anderen Gaben, nicht bis zur Wie</w:t>
      </w:r>
      <w:r>
        <w:softHyphen/>
        <w:t>derkunft Christi bestehen bleiben.</w:t>
      </w:r>
    </w:p>
    <w:p w:rsidR="00BB7EDA" w:rsidRDefault="007D72B3">
      <w:pPr>
        <w:pStyle w:val="Bodytext20"/>
        <w:numPr>
          <w:ilvl w:val="0"/>
          <w:numId w:val="191"/>
        </w:numPr>
        <w:shd w:val="clear" w:color="auto" w:fill="auto"/>
        <w:tabs>
          <w:tab w:val="left" w:pos="351"/>
        </w:tabs>
        <w:spacing w:before="0" w:after="433" w:line="226" w:lineRule="exact"/>
        <w:ind w:left="320" w:hanging="320"/>
      </w:pPr>
      <w:r>
        <w:t>Das heutzutage vielfach propagierte und von Tause</w:t>
      </w:r>
      <w:r>
        <w:t>nden prakti</w:t>
      </w:r>
      <w:r>
        <w:softHyphen/>
        <w:t>zierte Zungenreden entspricht nicht dem biblischen Phänomen der Sprachenrede.</w:t>
      </w:r>
    </w:p>
    <w:p w:rsidR="00BB7EDA" w:rsidRDefault="007D72B3">
      <w:pPr>
        <w:pStyle w:val="Heading40"/>
        <w:keepNext/>
        <w:keepLines/>
        <w:numPr>
          <w:ilvl w:val="1"/>
          <w:numId w:val="185"/>
        </w:numPr>
        <w:shd w:val="clear" w:color="auto" w:fill="auto"/>
        <w:tabs>
          <w:tab w:val="left" w:pos="510"/>
        </w:tabs>
        <w:spacing w:after="212" w:line="210" w:lineRule="exact"/>
      </w:pPr>
      <w:bookmarkStart w:id="137" w:name="bookmark136"/>
      <w:r>
        <w:t>Alle Stellen der Bibel zum Thema</w:t>
      </w:r>
      <w:bookmarkEnd w:id="137"/>
    </w:p>
    <w:p w:rsidR="00BB7EDA" w:rsidRDefault="007D72B3">
      <w:pPr>
        <w:pStyle w:val="Bodytext20"/>
        <w:shd w:val="clear" w:color="auto" w:fill="auto"/>
        <w:spacing w:before="0" w:line="226" w:lineRule="exact"/>
      </w:pPr>
      <w:r>
        <w:t>In der Bibel wird, abgesehen von Gen 11, in sechs Passagen das Sprachenreden behandelt.</w:t>
      </w:r>
      <w:r>
        <w:rPr>
          <w:vertAlign w:val="superscript"/>
        </w:rPr>
        <w:footnoteReference w:id="388"/>
      </w:r>
      <w:r>
        <w:t xml:space="preserve"> Eine Stelle davon findet sich im AT, alle an</w:t>
      </w:r>
      <w:r>
        <w:t>deren dagegen stehen im NT. Es ist wichtig, alle Stellen genau zu untersuchen, um den biblischen Befund vollständig überblicken zu können.</w:t>
      </w:r>
    </w:p>
    <w:p w:rsidR="00BB7EDA" w:rsidRDefault="007D72B3">
      <w:pPr>
        <w:pStyle w:val="Bodytext20"/>
        <w:shd w:val="clear" w:color="auto" w:fill="auto"/>
        <w:spacing w:before="0" w:after="337" w:line="226" w:lineRule="exact"/>
        <w:ind w:firstLine="320"/>
      </w:pPr>
      <w:r>
        <w:t>Nachfolgend seien sie zunächst im Sinn einer kurzen Bestands</w:t>
      </w:r>
      <w:r>
        <w:softHyphen/>
        <w:t>aufnahme zusammengestellt, verbunden mit einer Charakter</w:t>
      </w:r>
      <w:r>
        <w:t>isie</w:t>
      </w:r>
      <w:r>
        <w:softHyphen/>
        <w:t>rung und Umschreibung ihres jeweiligen Kontextes:</w:t>
      </w:r>
    </w:p>
    <w:p w:rsidR="00BB7EDA" w:rsidRDefault="007D72B3">
      <w:pPr>
        <w:pStyle w:val="Bodytext90"/>
        <w:numPr>
          <w:ilvl w:val="2"/>
          <w:numId w:val="185"/>
        </w:numPr>
        <w:shd w:val="clear" w:color="auto" w:fill="auto"/>
        <w:tabs>
          <w:tab w:val="left" w:pos="591"/>
        </w:tabs>
        <w:spacing w:after="159" w:line="180" w:lineRule="exact"/>
      </w:pPr>
      <w:r>
        <w:t>Genesis 11,1-9</w:t>
      </w:r>
    </w:p>
    <w:p w:rsidR="00BB7EDA" w:rsidRDefault="007D72B3">
      <w:pPr>
        <w:pStyle w:val="Bodytext80"/>
        <w:shd w:val="clear" w:color="auto" w:fill="auto"/>
        <w:spacing w:after="340" w:line="230" w:lineRule="exact"/>
      </w:pPr>
      <w:r>
        <w:rPr>
          <w:rStyle w:val="Bodytext8NotItalic"/>
        </w:rPr>
        <w:t xml:space="preserve">Nach der Sintflut hatte die Urgesellschaft in Babel eine einzige gemeinsame Sprache. </w:t>
      </w:r>
      <w:r>
        <w:t xml:space="preserve">Infolge ihres Hochmuts und ihrer Rebellion gegen Gott, verwirrte der HERR ihre Sprache, indem er </w:t>
      </w:r>
      <w:r>
        <w:t>verschiedenen Sippen neue Sprachen eingab.</w:t>
      </w:r>
      <w:r>
        <w:rPr>
          <w:rStyle w:val="Bodytext8NotItalic"/>
        </w:rPr>
        <w:t xml:space="preserve"> Alle Sippen, die eine neue Sprache bekamen, verloren ihre ursprüngliche. Dafür beherrschten sie die jeweils neue Sprache ohne vorangegangenen Lernprozess. </w:t>
      </w:r>
      <w:r>
        <w:t>Dadurch sollte die Menschheit in verschiedene Nationen auf</w:t>
      </w:r>
      <w:r>
        <w:t>geteilt und über das ganze Erden</w:t>
      </w:r>
      <w:r>
        <w:softHyphen/>
        <w:t>rund hinweg zerstreut werden.</w:t>
      </w:r>
    </w:p>
    <w:p w:rsidR="00BB7EDA" w:rsidRDefault="007D72B3">
      <w:pPr>
        <w:pStyle w:val="Bodytext90"/>
        <w:numPr>
          <w:ilvl w:val="2"/>
          <w:numId w:val="185"/>
        </w:numPr>
        <w:shd w:val="clear" w:color="auto" w:fill="auto"/>
        <w:tabs>
          <w:tab w:val="left" w:pos="601"/>
        </w:tabs>
        <w:spacing w:after="168" w:line="180" w:lineRule="exact"/>
      </w:pPr>
      <w:r>
        <w:t>Jesaja 28,11-12</w:t>
      </w:r>
    </w:p>
    <w:p w:rsidR="00BB7EDA" w:rsidRDefault="007D72B3">
      <w:pPr>
        <w:pStyle w:val="Bodytext20"/>
        <w:shd w:val="clear" w:color="auto" w:fill="auto"/>
        <w:spacing w:before="0" w:line="226" w:lineRule="exact"/>
      </w:pPr>
      <w:r>
        <w:rPr>
          <w:rStyle w:val="Bodytext2Italic0"/>
        </w:rPr>
        <w:t>Jesaja kündigte um 700 v. Chr. an, dass der Ewige dereinst durch fremde Sprachen zu dem Volk Israel reden würde.</w:t>
      </w:r>
      <w:r>
        <w:t xml:space="preserve"> Obwohl dies ihre besondere Aufmerksamkeit erwecken sollte, würde</w:t>
      </w:r>
      <w:r>
        <w:t xml:space="preserve"> Israel als Nation leider auch dennoch keineswegs bereit sein, auf diese Botschaft zu hö</w:t>
      </w:r>
      <w:r>
        <w:softHyphen/>
        <w:t>ren.</w:t>
      </w:r>
      <w:r>
        <w:rPr>
          <w:vertAlign w:val="superscript"/>
        </w:rPr>
        <w:footnoteReference w:id="389"/>
      </w:r>
    </w:p>
    <w:p w:rsidR="00BB7EDA" w:rsidRDefault="007D72B3">
      <w:pPr>
        <w:pStyle w:val="Bodytext20"/>
        <w:shd w:val="clear" w:color="auto" w:fill="auto"/>
        <w:spacing w:before="0" w:after="337" w:line="226" w:lineRule="exact"/>
        <w:ind w:firstLine="320"/>
      </w:pPr>
      <w:r>
        <w:t>In IKor 14,21 zitierte der Apostel Paulus diese Jesaja-Verse und bezog sie ausdrücklich auf das neutestamentliche Sprachenreden. Er folgerte aus dieser Stelle, d</w:t>
      </w:r>
      <w:r>
        <w:t>ass dieses Zeichen insbesondere für Ungläubige bestimmt sei (IKor 14,22), allerdings nur, wenn die Angesprochenen diese Fremdsprachen selber auch verstehen, sonst würden sie ja fast gezwungenermaßen denken, dass die Sprachen</w:t>
      </w:r>
      <w:r>
        <w:softHyphen/>
        <w:t>redner verrückt seien (IKor 14,</w:t>
      </w:r>
      <w:r>
        <w:t>23).</w:t>
      </w:r>
    </w:p>
    <w:p w:rsidR="00BB7EDA" w:rsidRDefault="007D72B3">
      <w:pPr>
        <w:pStyle w:val="Bodytext90"/>
        <w:numPr>
          <w:ilvl w:val="2"/>
          <w:numId w:val="185"/>
        </w:numPr>
        <w:shd w:val="clear" w:color="auto" w:fill="auto"/>
        <w:tabs>
          <w:tab w:val="left" w:pos="601"/>
        </w:tabs>
        <w:spacing w:after="159" w:line="180" w:lineRule="exact"/>
      </w:pPr>
      <w:r>
        <w:t>Markus 16,15-18</w:t>
      </w:r>
    </w:p>
    <w:p w:rsidR="00BB7EDA" w:rsidRDefault="007D72B3">
      <w:pPr>
        <w:pStyle w:val="Bodytext80"/>
        <w:shd w:val="clear" w:color="auto" w:fill="auto"/>
        <w:spacing w:line="230" w:lineRule="exact"/>
        <w:sectPr w:rsidR="00BB7EDA">
          <w:pgSz w:w="7266" w:h="11422"/>
          <w:pgMar w:top="757" w:right="636" w:bottom="1164" w:left="965" w:header="0" w:footer="3" w:gutter="0"/>
          <w:cols w:space="720"/>
          <w:noEndnote/>
          <w:docGrid w:linePitch="360"/>
        </w:sectPr>
      </w:pPr>
      <w:r>
        <w:rPr>
          <w:rStyle w:val="Bodytext8NotItalic"/>
        </w:rPr>
        <w:t xml:space="preserve">Nach seiner siegreichen Auferstehung gab der Herr Jesus Christus seinen 11 Aposteln den Auftrag zur Weltmission. </w:t>
      </w:r>
      <w:r>
        <w:t>Diese neuartige Botschaft sollte durch verschiedene Zeichen bestätigt iverden. Eines dieser Zeichen w</w:t>
      </w:r>
      <w:r>
        <w:t>ürde das Phänomen des Sprachenredens sein.</w:t>
      </w:r>
    </w:p>
    <w:p w:rsidR="00BB7EDA" w:rsidRDefault="007D72B3">
      <w:pPr>
        <w:pStyle w:val="Bodytext20"/>
        <w:shd w:val="clear" w:color="auto" w:fill="auto"/>
        <w:spacing w:before="0" w:after="180"/>
      </w:pPr>
      <w:r>
        <w:t>Am Pfingsttag wurde der Heilige Geist über die messianisch-gläubi- gen Juden in Jerusalem ausgegossen. Dieses Ereignis markierte einen tiefen Einschnitt bzw. einen Neuanfang in der Heilsgeschichte: Durch die Taufe</w:t>
      </w:r>
      <w:r>
        <w:t xml:space="preserve"> mit dem Heiligen Geist wurde die Kirche, die Gemeinschaft der Christen, gegründet (IKor 12,13). An diesem Tag erfüllte sich die Verheißung aus Jes 28 und Mark 16 zum ersten Mal. Die Jünger Jesu begannen, in allen möglichen Fremdsprachen und Dialekten, die</w:t>
      </w:r>
      <w:r>
        <w:t xml:space="preserve"> sie zuvor noch nie gelernt hatten, die großen Taten Gottes zu verkündigen (Apg 2,4-11). </w:t>
      </w:r>
      <w:r>
        <w:rPr>
          <w:rStyle w:val="Bodytext2Italic0"/>
        </w:rPr>
        <w:t>Dieses Zeichen symbolisierte gegenüber Israel, dass Gott sich nun nicht mehr nur einem einzigen Volk in besonderer Weise mitteilen würde. Die Botschaft von dem Erlöser</w:t>
      </w:r>
      <w:r>
        <w:rPr>
          <w:rStyle w:val="Bodytext2Italic0"/>
        </w:rPr>
        <w:t xml:space="preserve"> Jesus Christus sollte allen Völkern in ihrer jeweiligen Sprache übermittelt wer</w:t>
      </w:r>
      <w:r>
        <w:rPr>
          <w:rStyle w:val="Bodytext2Italic0"/>
        </w:rPr>
        <w:softHyphen/>
        <w:t>den,</w:t>
      </w:r>
      <w:r>
        <w:t xml:space="preserve"> ganz gemäß dem Vier-Punkte-Programm des Weltmissions- Mandates aus Apg 1,8:</w:t>
      </w:r>
    </w:p>
    <w:p w:rsidR="00BB7EDA" w:rsidRDefault="007D72B3">
      <w:pPr>
        <w:pStyle w:val="Bodytext20"/>
        <w:numPr>
          <w:ilvl w:val="0"/>
          <w:numId w:val="192"/>
        </w:numPr>
        <w:shd w:val="clear" w:color="auto" w:fill="auto"/>
        <w:tabs>
          <w:tab w:val="left" w:pos="255"/>
        </w:tabs>
        <w:spacing w:before="0"/>
      </w:pPr>
      <w:r>
        <w:t>Jerusalem</w:t>
      </w:r>
    </w:p>
    <w:p w:rsidR="00BB7EDA" w:rsidRDefault="007D72B3">
      <w:pPr>
        <w:pStyle w:val="Bodytext20"/>
        <w:numPr>
          <w:ilvl w:val="0"/>
          <w:numId w:val="192"/>
        </w:numPr>
        <w:shd w:val="clear" w:color="auto" w:fill="auto"/>
        <w:tabs>
          <w:tab w:val="left" w:pos="260"/>
        </w:tabs>
        <w:spacing w:before="0"/>
      </w:pPr>
      <w:r>
        <w:t>Judäa</w:t>
      </w:r>
    </w:p>
    <w:p w:rsidR="00BB7EDA" w:rsidRDefault="007D72B3">
      <w:pPr>
        <w:pStyle w:val="Bodytext20"/>
        <w:numPr>
          <w:ilvl w:val="0"/>
          <w:numId w:val="192"/>
        </w:numPr>
        <w:shd w:val="clear" w:color="auto" w:fill="auto"/>
        <w:tabs>
          <w:tab w:val="left" w:pos="265"/>
        </w:tabs>
        <w:spacing w:before="0"/>
      </w:pPr>
      <w:r>
        <w:t>Samaria</w:t>
      </w:r>
    </w:p>
    <w:p w:rsidR="00BB7EDA" w:rsidRDefault="007D72B3">
      <w:pPr>
        <w:pStyle w:val="Bodytext20"/>
        <w:numPr>
          <w:ilvl w:val="0"/>
          <w:numId w:val="192"/>
        </w:numPr>
        <w:shd w:val="clear" w:color="auto" w:fill="auto"/>
        <w:tabs>
          <w:tab w:val="left" w:pos="265"/>
        </w:tabs>
        <w:spacing w:before="0" w:after="184"/>
      </w:pPr>
      <w:r>
        <w:t>bis ans Ende der Erde</w:t>
      </w:r>
    </w:p>
    <w:p w:rsidR="00BB7EDA" w:rsidRDefault="007D72B3">
      <w:pPr>
        <w:pStyle w:val="Bodytext20"/>
        <w:shd w:val="clear" w:color="auto" w:fill="auto"/>
        <w:spacing w:before="0" w:line="226" w:lineRule="exact"/>
        <w:ind w:firstLine="340"/>
      </w:pPr>
      <w:r>
        <w:t>Da dieses Geschehen mit dem jüdischen Tempelfest</w:t>
      </w:r>
      <w:r>
        <w:t xml:space="preserve"> „Schavuoth" (= Pfingsten) zusammenfiel, waren, nebst den Besuchern aus Städ</w:t>
      </w:r>
      <w:r>
        <w:softHyphen/>
        <w:t>ten und Dörfern des Landes Israel, Abertausende von Juden aus dem ganzen Römischen Weltreich, und selbst aus Ländern darüber hinaus, in Jerusalem zu Besuch.</w:t>
      </w:r>
      <w:r>
        <w:rPr>
          <w:vertAlign w:val="superscript"/>
        </w:rPr>
        <w:footnoteReference w:id="390"/>
      </w:r>
      <w:r>
        <w:t xml:space="preserve"> Diese Juden konnten d</w:t>
      </w:r>
      <w:r>
        <w:t>ie vielen Fremdsprachen, welche die für ihre fehlende Formalbildung be</w:t>
      </w:r>
      <w:r>
        <w:softHyphen/>
        <w:t>kannten Galiläer sprachen, verstehen. Dadurch kamen sie in Verle</w:t>
      </w:r>
      <w:r>
        <w:softHyphen/>
        <w:t>genheit. Die Einheimischen konnten damit allerdings gar nichts anfangen. Sie taten das Phänomen mit dem Verweis auf Trun</w:t>
      </w:r>
      <w:r>
        <w:t>ken</w:t>
      </w:r>
      <w:r>
        <w:softHyphen/>
        <w:t>heit spottend ab.</w:t>
      </w:r>
    </w:p>
    <w:p w:rsidR="00BB7EDA" w:rsidRDefault="007D72B3">
      <w:pPr>
        <w:pStyle w:val="Bodytext20"/>
        <w:shd w:val="clear" w:color="auto" w:fill="auto"/>
        <w:spacing w:before="0" w:line="226" w:lineRule="exact"/>
        <w:ind w:firstLine="340"/>
        <w:sectPr w:rsidR="00BB7EDA">
          <w:footerReference w:type="even" r:id="rId139"/>
          <w:footerReference w:type="default" r:id="rId140"/>
          <w:headerReference w:type="first" r:id="rId141"/>
          <w:footerReference w:type="first" r:id="rId142"/>
          <w:pgSz w:w="7266" w:h="11422"/>
          <w:pgMar w:top="1297" w:right="383" w:bottom="1144" w:left="1194" w:header="0" w:footer="3" w:gutter="0"/>
          <w:cols w:space="720"/>
          <w:noEndnote/>
          <w:titlePg/>
          <w:docGrid w:linePitch="360"/>
        </w:sectPr>
      </w:pPr>
      <w:r>
        <w:t>Pfingsten war die Umkehrung der babylonischen Sprachen</w:t>
      </w:r>
      <w:r>
        <w:softHyphen/>
        <w:t>verwirrung. Babel bedeutete</w:t>
      </w:r>
      <w:r>
        <w:t xml:space="preserve"> Trennung und sich nicht verstehen können. In Jerusalem kam es an Pfingsten zu einer Zusammenfüh</w:t>
      </w:r>
      <w:r>
        <w:softHyphen/>
        <w:t>rung und Vereinigung in Christus. Durch das Evangelium sollten</w:t>
      </w:r>
    </w:p>
    <w:p w:rsidR="00BB7EDA" w:rsidRDefault="007D72B3">
      <w:pPr>
        <w:pStyle w:val="Bodytext20"/>
        <w:shd w:val="clear" w:color="auto" w:fill="auto"/>
        <w:spacing w:before="0" w:after="457" w:line="226" w:lineRule="exact"/>
      </w:pPr>
      <w:r>
        <w:t>Kultur-, Rassen- und Sprachbarrieren abgebrochen werden. An Pfing</w:t>
      </w:r>
      <w:r>
        <w:softHyphen/>
        <w:t>sten 32 wurde dies zeichenhaft</w:t>
      </w:r>
      <w:r>
        <w:t xml:space="preserve"> demonstriert.</w:t>
      </w:r>
    </w:p>
    <w:p w:rsidR="00BB7EDA" w:rsidRDefault="007D72B3">
      <w:pPr>
        <w:pStyle w:val="Heading50"/>
        <w:keepNext/>
        <w:keepLines/>
        <w:numPr>
          <w:ilvl w:val="0"/>
          <w:numId w:val="193"/>
        </w:numPr>
        <w:shd w:val="clear" w:color="auto" w:fill="auto"/>
        <w:tabs>
          <w:tab w:val="left" w:pos="606"/>
        </w:tabs>
        <w:spacing w:after="223" w:line="180" w:lineRule="exact"/>
      </w:pPr>
      <w:bookmarkStart w:id="138" w:name="bookmark137"/>
      <w:r>
        <w:t>Apostelgeschichte 10,44-48</w:t>
      </w:r>
      <w:bookmarkEnd w:id="138"/>
    </w:p>
    <w:p w:rsidR="00BB7EDA" w:rsidRDefault="007D72B3">
      <w:pPr>
        <w:pStyle w:val="Bodytext20"/>
        <w:shd w:val="clear" w:color="auto" w:fill="auto"/>
        <w:spacing w:before="0" w:after="457" w:line="226" w:lineRule="exact"/>
      </w:pPr>
      <w:r>
        <w:t>Bis zu diesem Zeitpunkt herrschte unter den messianisch-gläubi- gen Juden die Meinung vor, dass Nicht-Juden, die zum Glauben an den Erlöser Jesus Christus gekommen waren, durch eine Proselyten- Taufe ins Judentum ü</w:t>
      </w:r>
      <w:r>
        <w:t>bertreten sollten. Nur dieserart sollte es möglich sein, dass sie den Heiligen Geist empfangen würden, wie dies mit jüdischen Christen am Pfingsttag geschehen war. Als der Apostel Petrus jedoch das Evangelium nach langem Zögern dem römischen Hauptmann Korn</w:t>
      </w:r>
      <w:r>
        <w:t>elius und denen, die ihm nahe stan</w:t>
      </w:r>
      <w:r>
        <w:softHyphen/>
        <w:t>den, verkündigte, bekamen diese den Heiligen Geist, sobald sie die Frohe Botschaft im Glauben aufgenommen hatten. Beweis dafür war die Tatsache, dass diese Römer begannen, in für sie vordem fremden Sprachen Gott zu loben,</w:t>
      </w:r>
      <w:r>
        <w:t xml:space="preserve"> und dies ohne dass sie getauft worden waren. Die jüdischen Begleiter des Apostels hörten und verstanden diese Gebete.</w:t>
      </w:r>
      <w:r>
        <w:rPr>
          <w:vertAlign w:val="superscript"/>
        </w:rPr>
        <w:footnoteReference w:id="391"/>
      </w:r>
      <w:r>
        <w:t xml:space="preserve"> Sie kamen ausser sich, da sie so etwas als unmöglich angesehen hatten. Da diese Juden die Fremdspra</w:t>
      </w:r>
      <w:r>
        <w:softHyphen/>
        <w:t>chen</w:t>
      </w:r>
      <w:r>
        <w:rPr>
          <w:vertAlign w:val="superscript"/>
        </w:rPr>
        <w:footnoteReference w:id="392"/>
      </w:r>
      <w:r>
        <w:t xml:space="preserve"> der Römer im Haus des Korneliu</w:t>
      </w:r>
      <w:r>
        <w:t xml:space="preserve">s verstanden hatten, liegt es auf der Hand, dass es sich wohl um Hebräisch und Aramäisch gehandelt hat, was im Munde dieser Heiden damals wirklich etwas Besonderes gewesen sein muss. </w:t>
      </w:r>
      <w:r>
        <w:rPr>
          <w:rStyle w:val="Bodytext2Italic0"/>
        </w:rPr>
        <w:t>Dieses Ereignis sollte demon</w:t>
      </w:r>
      <w:r>
        <w:rPr>
          <w:rStyle w:val="Bodytext2Italic0"/>
        </w:rPr>
        <w:softHyphen/>
        <w:t>strieren, dass Gott bekehrte Heiden in die K</w:t>
      </w:r>
      <w:r>
        <w:rPr>
          <w:rStyle w:val="Bodytext2Italic0"/>
        </w:rPr>
        <w:t>irche aufnimmt, und zwar ohne dass sie zuvor durch eine Proselyten-Taufe Juden werden mussten.</w:t>
      </w:r>
    </w:p>
    <w:p w:rsidR="00BB7EDA" w:rsidRDefault="007D72B3">
      <w:pPr>
        <w:pStyle w:val="Heading50"/>
        <w:keepNext/>
        <w:keepLines/>
        <w:numPr>
          <w:ilvl w:val="0"/>
          <w:numId w:val="193"/>
        </w:numPr>
        <w:shd w:val="clear" w:color="auto" w:fill="auto"/>
        <w:tabs>
          <w:tab w:val="left" w:pos="601"/>
        </w:tabs>
        <w:spacing w:after="223" w:line="180" w:lineRule="exact"/>
      </w:pPr>
      <w:bookmarkStart w:id="139" w:name="bookmark138"/>
      <w:r>
        <w:t>Apostelgeschichte 19,1-7</w:t>
      </w:r>
      <w:bookmarkEnd w:id="139"/>
    </w:p>
    <w:p w:rsidR="00BB7EDA" w:rsidRDefault="007D72B3">
      <w:pPr>
        <w:pStyle w:val="Bodytext20"/>
        <w:shd w:val="clear" w:color="auto" w:fill="auto"/>
        <w:spacing w:before="0" w:line="226" w:lineRule="exact"/>
      </w:pPr>
      <w:r>
        <w:t xml:space="preserve">Als Paulus um 54 n. Chr. nach Ephesus gekommen war, begegnete er etwa zwölf Jüngern von Johannes dem Täufer. Diese Gläubigen hatten den </w:t>
      </w:r>
      <w:r>
        <w:t>Heiligen Geist nie empfangen. Das Pfingstereignis (Apg 2) war ihnen fremd und wohl noch vieles andere, was zentral in</w:t>
      </w:r>
    </w:p>
    <w:p w:rsidR="00BB7EDA" w:rsidRDefault="007D72B3">
      <w:pPr>
        <w:pStyle w:val="Bodytext20"/>
        <w:shd w:val="clear" w:color="auto" w:fill="auto"/>
        <w:spacing w:before="0" w:after="397" w:line="226" w:lineRule="exact"/>
      </w:pPr>
      <w:r>
        <w:t>Verbindung mit der Lehre des Christentums steht. Paulus führte sie weiter. Als sie den Heiligen Geist empfingen, begannen sie in ande</w:t>
      </w:r>
      <w:r>
        <w:softHyphen/>
        <w:t xml:space="preserve">ren </w:t>
      </w:r>
      <w:r>
        <w:t xml:space="preserve">Sprachen zu sprechen. </w:t>
      </w:r>
      <w:r>
        <w:rPr>
          <w:rStyle w:val="Bodytext2Italic0"/>
        </w:rPr>
        <w:t>Hier steht das Sprachenreden in Verbindung mit diesem dramatischen Schritt, wo Gläubige im Sinne des AT Gläubige im Sinne des NT wurden.</w:t>
      </w:r>
    </w:p>
    <w:p w:rsidR="00BB7EDA" w:rsidRDefault="007D72B3">
      <w:pPr>
        <w:pStyle w:val="Heading50"/>
        <w:keepNext/>
        <w:keepLines/>
        <w:numPr>
          <w:ilvl w:val="0"/>
          <w:numId w:val="194"/>
        </w:numPr>
        <w:shd w:val="clear" w:color="auto" w:fill="auto"/>
        <w:tabs>
          <w:tab w:val="left" w:pos="726"/>
        </w:tabs>
        <w:spacing w:after="159" w:line="180" w:lineRule="exact"/>
      </w:pPr>
      <w:bookmarkStart w:id="140" w:name="bookmark139"/>
      <w:r>
        <w:t>Korinther 12-14</w:t>
      </w:r>
      <w:bookmarkEnd w:id="140"/>
    </w:p>
    <w:p w:rsidR="00BB7EDA" w:rsidRDefault="007D72B3">
      <w:pPr>
        <w:pStyle w:val="Bodytext20"/>
        <w:shd w:val="clear" w:color="auto" w:fill="auto"/>
        <w:spacing w:before="0" w:after="376"/>
      </w:pPr>
      <w:r>
        <w:t xml:space="preserve">Paulus belehrte die Christen in Korinth allgemein über das Thema der geistlichen </w:t>
      </w:r>
      <w:r>
        <w:t xml:space="preserve">Gaben. Neben vielen anderen Manifestationen des Heiligen Geistes wird hier in allen drei Kapiteln über die Gabe des Sprachenredens gesprochen. In Korinth gab es diversen Missbrauch der Gaben und ebenso unordentliche Anwendungen derselben. </w:t>
      </w:r>
      <w:r>
        <w:rPr>
          <w:rStyle w:val="Bodytext2Italic0"/>
        </w:rPr>
        <w:t xml:space="preserve">Daher sind diese </w:t>
      </w:r>
      <w:r>
        <w:rPr>
          <w:rStyle w:val="Bodytext2Italic0"/>
        </w:rPr>
        <w:t>Kapitel charakterisiert durch allgemeine Belehrung einer</w:t>
      </w:r>
      <w:r>
        <w:rPr>
          <w:rStyle w:val="Bodytext2Italic0"/>
        </w:rPr>
        <w:softHyphen/>
        <w:t>seits und spezifische Korrektur andererseits. Über das innere Wesen des Sprachenredens erfahren wir allerdings nirgends im NT so viel Detaillier</w:t>
      </w:r>
      <w:r>
        <w:rPr>
          <w:rStyle w:val="Bodytext2Italic0"/>
        </w:rPr>
        <w:softHyphen/>
        <w:t>tes wie hier, insbesondere in Kapitel 14.</w:t>
      </w:r>
    </w:p>
    <w:p w:rsidR="00BB7EDA" w:rsidRDefault="007D72B3">
      <w:pPr>
        <w:pStyle w:val="Heading40"/>
        <w:keepNext/>
        <w:keepLines/>
        <w:numPr>
          <w:ilvl w:val="1"/>
          <w:numId w:val="185"/>
        </w:numPr>
        <w:shd w:val="clear" w:color="auto" w:fill="auto"/>
        <w:tabs>
          <w:tab w:val="left" w:pos="505"/>
        </w:tabs>
        <w:spacing w:after="157" w:line="210" w:lineRule="exact"/>
      </w:pPr>
      <w:bookmarkStart w:id="141" w:name="bookmark140"/>
      <w:r>
        <w:t xml:space="preserve">Sprachliche </w:t>
      </w:r>
      <w:r>
        <w:t>und exegetische Hinweise</w:t>
      </w:r>
      <w:bookmarkEnd w:id="141"/>
    </w:p>
    <w:p w:rsidR="00BB7EDA" w:rsidRDefault="007D72B3">
      <w:pPr>
        <w:pStyle w:val="Bodytext20"/>
        <w:shd w:val="clear" w:color="auto" w:fill="auto"/>
        <w:spacing w:before="0" w:after="397" w:line="226" w:lineRule="exact"/>
      </w:pPr>
      <w:r>
        <w:t>Nachfolgend stelle ich einige Bemerkungen philologischer und exegetischer Natur zu den neutestamentlichen Stellen über das Sprachenreden zusammen. Durch das Herausarbeiten einiger Fein</w:t>
      </w:r>
      <w:r>
        <w:softHyphen/>
        <w:t>heiten kann das Wesen des biblischen Sprachenr</w:t>
      </w:r>
      <w:r>
        <w:t>edens besser erfasst und gesamt-biblisch eingeordnet werden.</w:t>
      </w:r>
    </w:p>
    <w:p w:rsidR="00BB7EDA" w:rsidRDefault="007D72B3">
      <w:pPr>
        <w:pStyle w:val="Heading50"/>
        <w:keepNext/>
        <w:keepLines/>
        <w:numPr>
          <w:ilvl w:val="2"/>
          <w:numId w:val="185"/>
        </w:numPr>
        <w:shd w:val="clear" w:color="auto" w:fill="auto"/>
        <w:tabs>
          <w:tab w:val="left" w:pos="591"/>
        </w:tabs>
        <w:spacing w:after="187" w:line="180" w:lineRule="exact"/>
      </w:pPr>
      <w:bookmarkStart w:id="142" w:name="bookmark141"/>
      <w:r>
        <w:t>„Sprachenreden" contra „Zungenreden"</w:t>
      </w:r>
      <w:bookmarkEnd w:id="142"/>
    </w:p>
    <w:p w:rsidR="00BB7EDA" w:rsidRDefault="007D72B3">
      <w:pPr>
        <w:pStyle w:val="Bodytext20"/>
        <w:shd w:val="clear" w:color="auto" w:fill="auto"/>
        <w:spacing w:before="0" w:line="226" w:lineRule="exact"/>
      </w:pPr>
      <w:r>
        <w:t xml:space="preserve">Der Begriff „Sprache" im NT ist die Übersetzung des griechischen Wortes </w:t>
      </w:r>
      <w:r>
        <w:rPr>
          <w:rStyle w:val="Bodytext2Italic0"/>
        </w:rPr>
        <w:t>glossa.</w:t>
      </w:r>
      <w:r>
        <w:t xml:space="preserve"> Das Wortfeld </w:t>
      </w:r>
      <w:r>
        <w:rPr>
          <w:rStyle w:val="Bodytext2Italic0"/>
        </w:rPr>
        <w:t>glossa</w:t>
      </w:r>
      <w:r>
        <w:t xml:space="preserve"> umfasst u.a. folgende Bedeutun</w:t>
      </w:r>
      <w:r>
        <w:softHyphen/>
        <w:t>gen: „Zunge (als Organ)", „</w:t>
      </w:r>
      <w:r>
        <w:t>Sprache", „Fremdsprache".</w:t>
      </w:r>
    </w:p>
    <w:p w:rsidR="00BB7EDA" w:rsidRDefault="007D72B3">
      <w:pPr>
        <w:pStyle w:val="Bodytext20"/>
        <w:shd w:val="clear" w:color="auto" w:fill="auto"/>
        <w:spacing w:before="0" w:line="226" w:lineRule="exact"/>
        <w:ind w:firstLine="340"/>
      </w:pPr>
      <w:r>
        <w:t>Im Zusammenhang mit dem Sprachenreden finden sich im grie</w:t>
      </w:r>
      <w:r>
        <w:softHyphen/>
        <w:t xml:space="preserve">chischen Grundtext folgende Wendungen: </w:t>
      </w:r>
      <w:r>
        <w:rPr>
          <w:rStyle w:val="Bodytext2Italic0"/>
        </w:rPr>
        <w:t>glosse klein,</w:t>
      </w:r>
      <w:r>
        <w:rPr>
          <w:rStyle w:val="Bodytext2Italic0"/>
          <w:vertAlign w:val="superscript"/>
        </w:rPr>
        <w:footnoteReference w:id="393"/>
      </w:r>
      <w:r>
        <w:rPr>
          <w:rStyle w:val="Bodytext2Italic0"/>
        </w:rPr>
        <w:t xml:space="preserve"> klein en glosse,</w:t>
      </w:r>
      <w:r>
        <w:rPr>
          <w:rStyle w:val="Bodytext2Italic0"/>
          <w:vertAlign w:val="superscript"/>
        </w:rPr>
        <w:footnoteReference w:id="394"/>
      </w:r>
      <w:r>
        <w:rPr>
          <w:rStyle w:val="Bodytext2Italic0"/>
        </w:rPr>
        <w:t xml:space="preserve"> klein glosse,</w:t>
      </w:r>
      <w:r>
        <w:rPr>
          <w:rStyle w:val="Bodytext2Italic0"/>
          <w:vertAlign w:val="superscript"/>
        </w:rPr>
        <w:footnoteReference w:id="395"/>
      </w:r>
      <w:r>
        <w:t xml:space="preserve"> bzw. </w:t>
      </w:r>
      <w:r>
        <w:rPr>
          <w:rStyle w:val="Bodytext2Italic0"/>
        </w:rPr>
        <w:t>klein glossais</w:t>
      </w:r>
      <w:r>
        <w:rPr>
          <w:rStyle w:val="Bodytext2Italic0"/>
          <w:vertAlign w:val="superscript"/>
        </w:rPr>
        <w:footnoteReference w:id="396"/>
      </w:r>
      <w:r>
        <w:rPr>
          <w:rStyle w:val="Bodytext2Italic0"/>
          <w:vertAlign w:val="superscript"/>
        </w:rPr>
        <w:t xml:space="preserve"> </w:t>
      </w:r>
      <w:r>
        <w:rPr>
          <w:rStyle w:val="Bodytext2Italic0"/>
          <w:vertAlign w:val="superscript"/>
        </w:rPr>
        <w:footnoteReference w:id="397"/>
      </w:r>
      <w:r>
        <w:t xml:space="preserve"> und </w:t>
      </w:r>
      <w:r>
        <w:rPr>
          <w:rStyle w:val="Bodytext2Italic0"/>
        </w:rPr>
        <w:t>glossais klein.</w:t>
      </w:r>
      <w:r>
        <w:rPr>
          <w:rStyle w:val="Bodytext2Italic0"/>
          <w:vertAlign w:val="superscript"/>
        </w:rPr>
        <w:t>48</w:t>
      </w:r>
      <w:r>
        <w:rPr>
          <w:rStyle w:val="Bodytext2Italic0"/>
        </w:rPr>
        <w:t>'</w:t>
      </w:r>
      <w:r>
        <w:t xml:space="preserve"> Im</w:t>
      </w:r>
    </w:p>
    <w:p w:rsidR="00BB7EDA" w:rsidRDefault="007D72B3">
      <w:pPr>
        <w:pStyle w:val="Bodytext20"/>
        <w:shd w:val="clear" w:color="auto" w:fill="auto"/>
        <w:spacing w:before="0" w:line="226" w:lineRule="exact"/>
      </w:pPr>
      <w:r>
        <w:t>Deutschen können wir diese Ausdrücke</w:t>
      </w:r>
      <w:r>
        <w:t xml:space="preserve"> wiedergeben mit: „eine (Fremd)-Sprache sprechen" bzw. „(Fremd)-Sprachen sprechen".</w:t>
      </w:r>
    </w:p>
    <w:p w:rsidR="00BB7EDA" w:rsidRDefault="007D72B3">
      <w:pPr>
        <w:pStyle w:val="Bodytext20"/>
        <w:shd w:val="clear" w:color="auto" w:fill="auto"/>
        <w:spacing w:before="0" w:line="226" w:lineRule="exact"/>
        <w:ind w:firstLine="320"/>
      </w:pPr>
      <w:r>
        <w:t xml:space="preserve">Die Übersetzung mit „in Zungen reden" ist sachlich falsch und weckt irrige Assoziationen mit Zungenakrobatik oder ekstatischem Lallen. Derartige Gedankenverbindungen waren </w:t>
      </w:r>
      <w:r>
        <w:t>den ursprüngli</w:t>
      </w:r>
      <w:r>
        <w:softHyphen/>
        <w:t>chen Griechisch sprechenden Lesern der neutestamentlichen Schrif</w:t>
      </w:r>
      <w:r>
        <w:softHyphen/>
        <w:t>ten mit Sicherheit fremd.</w:t>
      </w:r>
    </w:p>
    <w:p w:rsidR="00BB7EDA" w:rsidRDefault="007D72B3">
      <w:pPr>
        <w:pStyle w:val="Bodytext20"/>
        <w:shd w:val="clear" w:color="auto" w:fill="auto"/>
        <w:spacing w:before="0" w:after="120"/>
        <w:ind w:firstLine="320"/>
      </w:pPr>
      <w:r>
        <w:t xml:space="preserve">Herbert </w:t>
      </w:r>
      <w:r>
        <w:rPr>
          <w:rStyle w:val="Bodytext28ptSmallCaps"/>
        </w:rPr>
        <w:t xml:space="preserve">Glück </w:t>
      </w:r>
      <w:r>
        <w:t>umschreibt den Begriff „Glossolalie" („Zungen</w:t>
      </w:r>
      <w:r>
        <w:softHyphen/>
        <w:t>reden") in dem linguistischen Metzler Lexikon der Sprache wie folgt:</w:t>
      </w:r>
    </w:p>
    <w:p w:rsidR="00BB7EDA" w:rsidRDefault="007D72B3">
      <w:pPr>
        <w:pStyle w:val="Bodytext20"/>
        <w:shd w:val="clear" w:color="auto" w:fill="auto"/>
        <w:spacing w:before="0" w:after="124"/>
        <w:ind w:left="320" w:right="320"/>
      </w:pPr>
      <w:r>
        <w:t xml:space="preserve">„In (religiöser) </w:t>
      </w:r>
      <w:r>
        <w:t>Ekstase hervorgebrachte unartikulierte Laut</w:t>
      </w:r>
      <w:r>
        <w:softHyphen/>
        <w:t>produktionen, hinter denen göttl. Botschaften vermutet und gesucht werden (z.B. 1. Kor. 14,2: ,Denn wer in Zungen redet, der redet nicht für Menschen, sondern für Gott; denn niemand versteht ihn, vielmehr redet e</w:t>
      </w:r>
      <w:r>
        <w:t>r im Geist Geheimnisse')."</w:t>
      </w:r>
      <w:r>
        <w:rPr>
          <w:vertAlign w:val="superscript"/>
        </w:rPr>
        <w:footnoteReference w:id="398"/>
      </w:r>
    </w:p>
    <w:p w:rsidR="00BB7EDA" w:rsidRDefault="007D72B3">
      <w:pPr>
        <w:pStyle w:val="Bodytext20"/>
        <w:shd w:val="clear" w:color="auto" w:fill="auto"/>
        <w:spacing w:before="0" w:after="120" w:line="226" w:lineRule="exact"/>
        <w:ind w:firstLine="320"/>
      </w:pPr>
      <w:r>
        <w:t>Man fragt sich, mit welchem Recht er zu solchen Schlussfolge</w:t>
      </w:r>
      <w:r>
        <w:softHyphen/>
        <w:t>rungen gekommen ist. Der biblische Text spricht in Verbindung mit Sprachenreden nie von „Lallen", Stammeln" oder „Ekstase"</w:t>
      </w:r>
      <w:r>
        <w:t xml:space="preserve">. Es würde nicht überraschen, wenn der falsche Begriff „Zungenreden" bei diesem Missverständnis einen teilweisen Beitrag dazu geleistet hat. Aufschlussreich ist, was </w:t>
      </w:r>
      <w:r>
        <w:rPr>
          <w:rStyle w:val="Bodytext28ptSmallCaps"/>
        </w:rPr>
        <w:t xml:space="preserve">Hörster </w:t>
      </w:r>
      <w:r>
        <w:t>dazu schreibt:</w:t>
      </w:r>
    </w:p>
    <w:p w:rsidR="00BB7EDA" w:rsidRDefault="007D72B3">
      <w:pPr>
        <w:pStyle w:val="Bodytext20"/>
        <w:shd w:val="clear" w:color="auto" w:fill="auto"/>
        <w:spacing w:before="0" w:after="397" w:line="226" w:lineRule="exact"/>
        <w:ind w:left="320" w:right="320"/>
      </w:pPr>
      <w:r>
        <w:t>„Während in den älteren Übersetzungen und Kommentaren der Begriff Z</w:t>
      </w:r>
      <w:r>
        <w:t>ungenrede vorherrscht, hat sich inzwischen bei den Exegeten die Überzeugung durchgesetzt, dass dieser Begriff unangemessen und irreführend ist... Sie erweckt den Eindruck, als würde bei diesem Charisma die Zunge als Organ, von einer anderen Macht beherrsch</w:t>
      </w:r>
      <w:r>
        <w:t>t, unartikulierte Laute bilden."</w:t>
      </w:r>
      <w:r>
        <w:rPr>
          <w:vertAlign w:val="superscript"/>
        </w:rPr>
        <w:footnoteReference w:id="399"/>
      </w:r>
    </w:p>
    <w:p w:rsidR="00BB7EDA" w:rsidRDefault="007D72B3">
      <w:pPr>
        <w:pStyle w:val="Bodytext90"/>
        <w:numPr>
          <w:ilvl w:val="2"/>
          <w:numId w:val="185"/>
        </w:numPr>
        <w:shd w:val="clear" w:color="auto" w:fill="auto"/>
        <w:tabs>
          <w:tab w:val="left" w:pos="596"/>
        </w:tabs>
        <w:spacing w:after="163" w:line="180" w:lineRule="exact"/>
      </w:pPr>
      <w:r>
        <w:t>„Neue Sprachen"</w:t>
      </w:r>
    </w:p>
    <w:p w:rsidR="00BB7EDA" w:rsidRDefault="007D72B3">
      <w:pPr>
        <w:pStyle w:val="Bodytext20"/>
        <w:shd w:val="clear" w:color="auto" w:fill="auto"/>
        <w:spacing w:before="0" w:line="226" w:lineRule="exact"/>
      </w:pPr>
      <w:r>
        <w:t>In Mark 16,17 kündigte der auferstandene Christus seinen elf Jün</w:t>
      </w:r>
      <w:r>
        <w:softHyphen/>
        <w:t>gern und denen, die durch sie zum Glauben kommen würden, verschiedene Zeichen und Wunder an, u.a. auch das Phänomen der Sprachenrede. Er spra</w:t>
      </w:r>
      <w:r>
        <w:t>ch in diesem Zusammenhang von „neuen</w:t>
      </w:r>
    </w:p>
    <w:p w:rsidR="00BB7EDA" w:rsidRDefault="007D72B3">
      <w:pPr>
        <w:pStyle w:val="Bodytext20"/>
        <w:shd w:val="clear" w:color="auto" w:fill="auto"/>
        <w:spacing w:before="0" w:after="199"/>
      </w:pPr>
      <w:r>
        <w:t>Sprachen". Man könnte leicht auf die Idee kommen, dass dies besa</w:t>
      </w:r>
      <w:r>
        <w:softHyphen/>
        <w:t>ge, Sprachenredner würden in neuartigen Sprachen reden, die es zuvor noch nie gegeben habe. In diesem Fall müsste man im griechi</w:t>
      </w:r>
      <w:r>
        <w:softHyphen/>
        <w:t>schen Text jedoch viel eh</w:t>
      </w:r>
      <w:r>
        <w:t xml:space="preserve">er das Adjektiv </w:t>
      </w:r>
      <w:r>
        <w:rPr>
          <w:rStyle w:val="Bodytext2Italic0"/>
        </w:rPr>
        <w:t>neos</w:t>
      </w:r>
      <w:r>
        <w:t xml:space="preserve"> erwarten. Dieses Wort bedeutet insbesondere „neu" im Sinn von „jung", „frisch" oder „neuartig". Es weist auf Dinge hin, die erst vor kurzem ins Dasein gekommen sind. Markus verwendet dort allerdings das Wort </w:t>
      </w:r>
      <w:r>
        <w:rPr>
          <w:rStyle w:val="Bodytext2Italic0"/>
        </w:rPr>
        <w:t xml:space="preserve">kainos, </w:t>
      </w:r>
      <w:r>
        <w:t>das insbesondere „n</w:t>
      </w:r>
      <w:r>
        <w:t xml:space="preserve">euartig", „ungewohnt", „fremd" bedeutet und oftmals Dinge bezeichnen kann, die schon längst bestanden haben, aber erst vor kurzem bekannt geworden sind. So bringt </w:t>
      </w:r>
      <w:r>
        <w:rPr>
          <w:rStyle w:val="Bodytext2Italic0"/>
        </w:rPr>
        <w:t>kainos</w:t>
      </w:r>
      <w:r>
        <w:t xml:space="preserve"> hier in unserem Kontext zum Ausdruck, dass diese Sprachen, obwohl schon früher existen</w:t>
      </w:r>
      <w:r>
        <w:t>t, neu für die Sprechenden sein würden.</w:t>
      </w:r>
      <w:r>
        <w:rPr>
          <w:vertAlign w:val="superscript"/>
        </w:rPr>
        <w:footnoteReference w:id="400"/>
      </w:r>
      <w:r>
        <w:t xml:space="preserve"> Mark 16 kündigte an, dass gewisse Menschen plötzlich Sprachen beherr</w:t>
      </w:r>
      <w:r>
        <w:softHyphen/>
        <w:t>schen würden, die sie früher nicht sprechen konnten und die zum Zeitpunkt ihrer ersten Anwendung für die Sprechenden daher neu sein würden.</w:t>
      </w:r>
    </w:p>
    <w:p w:rsidR="00BB7EDA" w:rsidRDefault="007D72B3">
      <w:pPr>
        <w:pStyle w:val="Heading50"/>
        <w:keepNext/>
        <w:keepLines/>
        <w:numPr>
          <w:ilvl w:val="2"/>
          <w:numId w:val="185"/>
        </w:numPr>
        <w:shd w:val="clear" w:color="auto" w:fill="auto"/>
        <w:tabs>
          <w:tab w:val="left" w:pos="591"/>
        </w:tabs>
        <w:spacing w:line="432" w:lineRule="exact"/>
      </w:pPr>
      <w:bookmarkStart w:id="143" w:name="bookmark142"/>
      <w:r>
        <w:t>Mensch</w:t>
      </w:r>
      <w:r>
        <w:t>liche Sprachen und Dialekte</w:t>
      </w:r>
      <w:bookmarkEnd w:id="143"/>
    </w:p>
    <w:p w:rsidR="00BB7EDA" w:rsidRDefault="007D72B3">
      <w:pPr>
        <w:pStyle w:val="Bodytext80"/>
        <w:numPr>
          <w:ilvl w:val="3"/>
          <w:numId w:val="185"/>
        </w:numPr>
        <w:shd w:val="clear" w:color="auto" w:fill="auto"/>
        <w:tabs>
          <w:tab w:val="left" w:pos="735"/>
        </w:tabs>
        <w:spacing w:line="432" w:lineRule="exact"/>
      </w:pPr>
      <w:r>
        <w:t>Klanglich korrekte Aussprache</w:t>
      </w:r>
    </w:p>
    <w:p w:rsidR="00BB7EDA" w:rsidRDefault="007D72B3">
      <w:pPr>
        <w:pStyle w:val="Bodytext20"/>
        <w:shd w:val="clear" w:color="auto" w:fill="auto"/>
        <w:spacing w:before="0" w:line="226" w:lineRule="exact"/>
      </w:pPr>
      <w:r>
        <w:t>Aus den detaillierten geographischen Angaben in Apg 2,8-11 geht hervor, dass die Redner am Pfingsttag Sprachen aus dem ganzen Mittelmeerraum des Römischen Reiches sowie aus dem weit dar</w:t>
      </w:r>
      <w:r>
        <w:softHyphen/>
        <w:t>über hinausg</w:t>
      </w:r>
      <w:r>
        <w:t>ehenden Bereich des Mittleren Ostens anwandten. Nicht nur Sprachen an sich, sondern sogar verschiedene Dialekte konnten die Jünger sprechen.</w:t>
      </w:r>
      <w:r>
        <w:rPr>
          <w:vertAlign w:val="superscript"/>
        </w:rPr>
        <w:footnoteReference w:id="401"/>
      </w:r>
      <w:r>
        <w:t xml:space="preserve"> Dies ist sehr beachtlich. Somit beherrschten sie nicht allein auf verständliche Weise verschiedene Sprachsysteme a</w:t>
      </w:r>
      <w:r>
        <w:t>n sich, sondern jeweils auch die genaue Ausspra</w:t>
      </w:r>
      <w:r>
        <w:softHyphen/>
        <w:t>che mitsamt lokal ausgeprägtem Akzent, was exakte Klangfarbe und richtige Betonung miteinschloss. Beim Sprachenwunder des NT handelte es sich also ganz eindeutig um menschliche Sprachen und Dialekte.</w:t>
      </w:r>
      <w:r>
        <w:rPr>
          <w:vertAlign w:val="superscript"/>
        </w:rPr>
        <w:footnoteReference w:id="402"/>
      </w:r>
    </w:p>
    <w:p w:rsidR="00BB7EDA" w:rsidRDefault="007D72B3">
      <w:pPr>
        <w:pStyle w:val="Bodytext20"/>
        <w:shd w:val="clear" w:color="auto" w:fill="auto"/>
        <w:spacing w:before="0" w:line="226" w:lineRule="exact"/>
        <w:jc w:val="right"/>
      </w:pPr>
      <w:r>
        <w:t>Der ebe</w:t>
      </w:r>
      <w:r>
        <w:t xml:space="preserve">n hervorgehobene Punkt erfährt durch Apg 2,4 eine weitere Bestätigung. Dortverwendete Lukas das Verb </w:t>
      </w:r>
      <w:r>
        <w:rPr>
          <w:rStyle w:val="Bodytext2Italic0"/>
        </w:rPr>
        <w:t>apcrphthengomai,</w:t>
      </w:r>
    </w:p>
    <w:p w:rsidR="00BB7EDA" w:rsidRDefault="007D72B3">
      <w:pPr>
        <w:pStyle w:val="Bodytext20"/>
        <w:shd w:val="clear" w:color="auto" w:fill="auto"/>
        <w:spacing w:before="0" w:after="176" w:line="226" w:lineRule="exact"/>
      </w:pPr>
      <w:r>
        <w:t>was „aussprechen" bedeutet, aber mit Bezug auf den lautlichen, klanglichen Aspekt der Sprache.</w:t>
      </w:r>
      <w:r>
        <w:rPr>
          <w:vertAlign w:val="superscript"/>
        </w:rPr>
        <w:footnoteReference w:id="403"/>
      </w:r>
      <w:r>
        <w:t xml:space="preserve"> Der Heilige Geist bewirkte somit auch die korrekte Aussprache.</w:t>
      </w:r>
    </w:p>
    <w:p w:rsidR="00BB7EDA" w:rsidRDefault="007D72B3">
      <w:pPr>
        <w:pStyle w:val="Bodytext80"/>
        <w:numPr>
          <w:ilvl w:val="3"/>
          <w:numId w:val="185"/>
        </w:numPr>
        <w:shd w:val="clear" w:color="auto" w:fill="auto"/>
        <w:tabs>
          <w:tab w:val="left" w:pos="750"/>
        </w:tabs>
        <w:spacing w:line="230" w:lineRule="exact"/>
      </w:pPr>
      <w:r>
        <w:t>Zwei verschiedene Gruppen von Zuhörern</w:t>
      </w:r>
    </w:p>
    <w:p w:rsidR="00BB7EDA" w:rsidRDefault="007D72B3">
      <w:pPr>
        <w:pStyle w:val="Bodytext20"/>
        <w:shd w:val="clear" w:color="auto" w:fill="auto"/>
        <w:spacing w:before="0"/>
      </w:pPr>
      <w:r>
        <w:t>Das Publikum am Pfingsttag war zweigeteilt: Es gab einerseits die fremdsprachigen Ausland-Juden und andererseits die Einheimi</w:t>
      </w:r>
      <w:r>
        <w:softHyphen/>
        <w:t>schen. Die Ausland-Juden ko</w:t>
      </w:r>
      <w:r>
        <w:t>nnten mit dem Sprachenreden der Jünger problemlos etwas anfangen. Sie wurden dadurch betroffen, indem sie sich entsetzten und in Verlegenheit gerieten (Apg 2,12). Sie hörten klipp und klar, wie durch das Sprachenreden „die großen Taten Gottes" verkündigt w</w:t>
      </w:r>
      <w:r>
        <w:t>urden (Apg 2,11). Die Einheimischen dagegen verstanden die für sie fremden Sprachen nicht. So bezich</w:t>
      </w:r>
      <w:r>
        <w:softHyphen/>
        <w:t xml:space="preserve">tigten wohl insbesondere viele von ihnen zynisch spottend die Sprachenredner der Trunkenheit (Apg 2,13). Für diese Gruppe war der Inhalt der Sprachenreden </w:t>
      </w:r>
      <w:r>
        <w:t>gewissermaßen ein „Geheimnis", mit Ausnahme von denen, die über Sprachkenntnisse verfügt haben, die über das Normale hinausgingen.</w:t>
      </w:r>
    </w:p>
    <w:p w:rsidR="00BB7EDA" w:rsidRDefault="007D72B3">
      <w:pPr>
        <w:pStyle w:val="Bodytext20"/>
        <w:shd w:val="clear" w:color="auto" w:fill="auto"/>
        <w:spacing w:before="0" w:after="180"/>
        <w:ind w:firstLine="320"/>
      </w:pPr>
      <w:r>
        <w:t>Die Situation der Einheimischen entsprach exakt der später in Korinth allgemein üblichen. Paulus schreibt daher in IKor 14,2:</w:t>
      </w:r>
    </w:p>
    <w:p w:rsidR="00BB7EDA" w:rsidRDefault="007D72B3">
      <w:pPr>
        <w:pStyle w:val="Bodytext20"/>
        <w:shd w:val="clear" w:color="auto" w:fill="auto"/>
        <w:spacing w:before="0" w:after="184"/>
        <w:ind w:left="320" w:right="320"/>
      </w:pPr>
      <w:r>
        <w:t>„Denn wer in einer Sprache redet, redet nicht Menschen, sondern Gott; denn niemand versteht es, im Geist aber redet er Geheimnisse."</w:t>
      </w:r>
    </w:p>
    <w:p w:rsidR="00BB7EDA" w:rsidRDefault="007D72B3">
      <w:pPr>
        <w:pStyle w:val="Bodytext20"/>
        <w:shd w:val="clear" w:color="auto" w:fill="auto"/>
        <w:spacing w:before="0" w:after="180" w:line="226" w:lineRule="exact"/>
        <w:ind w:firstLine="320"/>
      </w:pPr>
      <w:r>
        <w:t>Der Heidenapostel musste sich alle Mühe geben, um der Ge</w:t>
      </w:r>
      <w:r>
        <w:softHyphen/>
        <w:t xml:space="preserve">meinde in Korinth klar zu machen, dass die Sprachenrede nur dann </w:t>
      </w:r>
      <w:r>
        <w:t>einen Sinn hat, wenn Fremdsprachige anwesend waren, oder wenn zumindest die fremdsprachige Botschaft für alle verständlich über</w:t>
      </w:r>
      <w:r>
        <w:softHyphen/>
        <w:t>setzt wurde. Hierin liegt der Grund, weshalb in IKor 14 aus der in Kapitel 12 aufgeführten Fülle von Gaben speziell zwei ausgewä</w:t>
      </w:r>
      <w:r>
        <w:t>hlt wurden, Sprachenrede und Weissagung, um anhand dieser beiden Musterbeispiele klar zu machen, dass Verständlichkeit des Gespro</w:t>
      </w:r>
      <w:r>
        <w:softHyphen/>
        <w:t>chenen zu den obersten Prioritäten gehört.</w:t>
      </w:r>
    </w:p>
    <w:p w:rsidR="00BB7EDA" w:rsidRDefault="007D72B3">
      <w:pPr>
        <w:pStyle w:val="Bodytext80"/>
        <w:numPr>
          <w:ilvl w:val="3"/>
          <w:numId w:val="185"/>
        </w:numPr>
        <w:shd w:val="clear" w:color="auto" w:fill="auto"/>
        <w:tabs>
          <w:tab w:val="left" w:pos="750"/>
        </w:tabs>
      </w:pPr>
      <w:r>
        <w:t>Nur ein Typ von Sprachenreden im NT</w:t>
      </w:r>
    </w:p>
    <w:p w:rsidR="00BB7EDA" w:rsidRDefault="007D72B3">
      <w:pPr>
        <w:pStyle w:val="Bodytext20"/>
        <w:shd w:val="clear" w:color="auto" w:fill="auto"/>
        <w:spacing w:before="0" w:after="397" w:line="226" w:lineRule="exact"/>
      </w:pPr>
      <w:r>
        <w:t>Es ist abwegig, zwei verschiedene Arten von Spr</w:t>
      </w:r>
      <w:r>
        <w:t>achenreden im NT unterscheiden zu wollen, die der Apostelgeschichte und die des 1. Korintherbriefes. IKor 14,21-22 macht ja klar, dass die Sprachen</w:t>
      </w:r>
      <w:r>
        <w:softHyphen/>
        <w:t xml:space="preserve">rede in erster Linie ein Zeichen für das ungläubige Volk Israel sein sollte. Dies nun entspricht exakt dem, </w:t>
      </w:r>
      <w:r>
        <w:t>was wir in Apg 2 in Verbin</w:t>
      </w:r>
      <w:r>
        <w:softHyphen/>
        <w:t>dung mit dem Pfingsttag vorfinden.</w:t>
      </w:r>
    </w:p>
    <w:p w:rsidR="00BB7EDA" w:rsidRDefault="007D72B3">
      <w:pPr>
        <w:pStyle w:val="Bodytext90"/>
        <w:numPr>
          <w:ilvl w:val="2"/>
          <w:numId w:val="185"/>
        </w:numPr>
        <w:shd w:val="clear" w:color="auto" w:fill="auto"/>
        <w:tabs>
          <w:tab w:val="left" w:pos="601"/>
        </w:tabs>
        <w:spacing w:after="158" w:line="180" w:lineRule="exact"/>
      </w:pPr>
      <w:r>
        <w:t>Engelsprachen</w:t>
      </w:r>
    </w:p>
    <w:p w:rsidR="00BB7EDA" w:rsidRDefault="007D72B3">
      <w:pPr>
        <w:pStyle w:val="Bodytext80"/>
        <w:numPr>
          <w:ilvl w:val="3"/>
          <w:numId w:val="185"/>
        </w:numPr>
        <w:shd w:val="clear" w:color="auto" w:fill="auto"/>
        <w:tabs>
          <w:tab w:val="left" w:pos="740"/>
        </w:tabs>
      </w:pPr>
      <w:r>
        <w:t>Zur Bedeutung von IKor 13,1</w:t>
      </w:r>
    </w:p>
    <w:p w:rsidR="00BB7EDA" w:rsidRDefault="007D72B3">
      <w:pPr>
        <w:pStyle w:val="Bodytext20"/>
        <w:shd w:val="clear" w:color="auto" w:fill="auto"/>
        <w:spacing w:before="0" w:line="226" w:lineRule="exact"/>
      </w:pPr>
      <w:r>
        <w:t xml:space="preserve">In IKor 13,1 wird von „Sprachen der Menschen und der Engel" gesprochen. Dies ist die einzige Stelle in der Bibel, wo der Begriff „Engelsprachen" </w:t>
      </w:r>
      <w:r>
        <w:t>vorkommt. Da die Heilige Schrift sich nur so spär</w:t>
      </w:r>
      <w:r>
        <w:softHyphen/>
        <w:t>lich zu diesem Thema äußert, ist es schwierig, Genaueres zur Natur der Engel-Kommunikation zu sagen.</w:t>
      </w:r>
    </w:p>
    <w:p w:rsidR="00BB7EDA" w:rsidRDefault="007D72B3">
      <w:pPr>
        <w:pStyle w:val="Bodytext20"/>
        <w:shd w:val="clear" w:color="auto" w:fill="auto"/>
        <w:spacing w:before="0" w:line="226" w:lineRule="exact"/>
        <w:ind w:firstLine="320"/>
      </w:pPr>
      <w:r>
        <w:t>Es gibt manche Stellen, in denen Engel mit Menschen sprechen, und da sprechen diese Boten natürlich immer</w:t>
      </w:r>
      <w:r>
        <w:t xml:space="preserve"> menschliche Spra</w:t>
      </w:r>
      <w:r>
        <w:softHyphen/>
        <w:t>chen.</w:t>
      </w:r>
      <w:r>
        <w:rPr>
          <w:vertAlign w:val="superscript"/>
        </w:rPr>
        <w:footnoteReference w:id="404"/>
      </w:r>
      <w:r>
        <w:t xml:space="preserve"> Selbst in Fällen, wo Engel zueinander</w:t>
      </w:r>
      <w:r>
        <w:rPr>
          <w:vertAlign w:val="superscript"/>
        </w:rPr>
        <w:footnoteReference w:id="405"/>
      </w:r>
      <w:r>
        <w:t xml:space="preserve"> oder gar direkt zu Gott sprachen, konnten Menschen ihr Reden verstehen.</w:t>
      </w:r>
      <w:r>
        <w:rPr>
          <w:vertAlign w:val="superscript"/>
        </w:rPr>
        <w:footnoteReference w:id="406"/>
      </w:r>
    </w:p>
    <w:p w:rsidR="00BB7EDA" w:rsidRDefault="007D72B3">
      <w:pPr>
        <w:pStyle w:val="Bodytext20"/>
        <w:shd w:val="clear" w:color="auto" w:fill="auto"/>
        <w:spacing w:before="0" w:after="120" w:line="226" w:lineRule="exact"/>
        <w:ind w:firstLine="320"/>
      </w:pPr>
      <w:r>
        <w:t>Es gibt keine Stelle in der Bibel, aus denen eindeutig hervorgehen würde, dass Engel andere Sprachen reden als Menschen</w:t>
      </w:r>
      <w:r>
        <w:t>. Rein sprach</w:t>
      </w:r>
      <w:r>
        <w:softHyphen/>
        <w:t>lich gesehen, ist es durchaus denkbar, dass der Ausdruck „Sprachen der Menschen und der Engel" in IKor 13,1 den Sinn hat: „die Spra</w:t>
      </w:r>
      <w:r>
        <w:softHyphen/>
        <w:t>chen, welche sowohl die Menschen als auch die Engel sprechen."</w:t>
      </w:r>
    </w:p>
    <w:p w:rsidR="00BB7EDA" w:rsidRDefault="007D72B3">
      <w:pPr>
        <w:pStyle w:val="Bodytext80"/>
        <w:numPr>
          <w:ilvl w:val="3"/>
          <w:numId w:val="185"/>
        </w:numPr>
        <w:shd w:val="clear" w:color="auto" w:fill="auto"/>
        <w:tabs>
          <w:tab w:val="left" w:pos="745"/>
        </w:tabs>
      </w:pPr>
      <w:r>
        <w:t>Ein Wenn-dann-Satz</w:t>
      </w:r>
    </w:p>
    <w:p w:rsidR="00BB7EDA" w:rsidRDefault="007D72B3">
      <w:pPr>
        <w:pStyle w:val="Bodytext20"/>
        <w:shd w:val="clear" w:color="auto" w:fill="auto"/>
        <w:spacing w:before="0" w:line="226" w:lineRule="exact"/>
      </w:pPr>
      <w:r>
        <w:t>Ferner ist darauf zu achten,</w:t>
      </w:r>
      <w:r>
        <w:t xml:space="preserve"> dass IKor 13,1 nicht eindeutig aussagt, Paulus habe in Engelsprachen geredet. In den Versen 1-3 haben wir eine Reihe von Wenn-dann-Sätzen, die z.T. offensichtlich irreale Bedeutung haben.</w:t>
      </w:r>
      <w:r>
        <w:rPr>
          <w:vertAlign w:val="superscript"/>
        </w:rPr>
        <w:footnoteReference w:id="407"/>
      </w:r>
      <w:r>
        <w:t xml:space="preserve"> Ein Beispiel mag dies verdeutlichen: Paulus hatte nur stückweise E</w:t>
      </w:r>
      <w:r>
        <w:t>rkenntnis (IKor 13,9.12), und dennoch heißt es in IKor 13,2:</w:t>
      </w:r>
    </w:p>
    <w:p w:rsidR="00BB7EDA" w:rsidRDefault="007D72B3">
      <w:pPr>
        <w:pStyle w:val="Bodytext20"/>
        <w:shd w:val="clear" w:color="auto" w:fill="auto"/>
        <w:spacing w:before="0" w:after="94" w:line="180" w:lineRule="exact"/>
        <w:ind w:firstLine="320"/>
      </w:pPr>
      <w:r>
        <w:t>„Und wenn ich... alle Erkenntnis weiss..."</w:t>
      </w:r>
    </w:p>
    <w:p w:rsidR="00BB7EDA" w:rsidRDefault="007D72B3">
      <w:pPr>
        <w:pStyle w:val="Bodytext80"/>
        <w:numPr>
          <w:ilvl w:val="3"/>
          <w:numId w:val="185"/>
        </w:numPr>
        <w:shd w:val="clear" w:color="auto" w:fill="auto"/>
        <w:tabs>
          <w:tab w:val="left" w:pos="745"/>
        </w:tabs>
        <w:spacing w:line="230" w:lineRule="exact"/>
      </w:pPr>
      <w:r>
        <w:t>Lallen</w:t>
      </w:r>
      <w:r>
        <w:rPr>
          <w:rStyle w:val="Bodytext8NotItalic"/>
        </w:rPr>
        <w:t xml:space="preserve"> - </w:t>
      </w:r>
      <w:r>
        <w:t>keine höhere Kommunikation</w:t>
      </w:r>
    </w:p>
    <w:p w:rsidR="00BB7EDA" w:rsidRDefault="007D72B3">
      <w:pPr>
        <w:pStyle w:val="Bodytext20"/>
        <w:shd w:val="clear" w:color="auto" w:fill="auto"/>
        <w:spacing w:before="0"/>
      </w:pPr>
      <w:r>
        <w:t xml:space="preserve">Ich komme hiermit zu folgendem Schluss: Aufgrund dieser Stelle ist es nicht zulässig, zu </w:t>
      </w:r>
      <w:r>
        <w:rPr>
          <w:rStyle w:val="Bodytext2Italic0"/>
        </w:rPr>
        <w:t>behaupten,</w:t>
      </w:r>
      <w:r>
        <w:t xml:space="preserve"> dass es sich bei dem in der Bibel erwähnten Sprachenreden um nicht-menschliche, überirdische Spra</w:t>
      </w:r>
      <w:r>
        <w:softHyphen/>
        <w:t>chen gehandelt habe.</w:t>
      </w:r>
    </w:p>
    <w:p w:rsidR="00BB7EDA" w:rsidRDefault="007D72B3">
      <w:pPr>
        <w:pStyle w:val="Bodytext20"/>
        <w:shd w:val="clear" w:color="auto" w:fill="auto"/>
        <w:spacing w:before="0"/>
        <w:ind w:firstLine="320"/>
      </w:pPr>
      <w:r>
        <w:t>Der Hintergrund einer derartigen Behauptungbesteht in Folgen</w:t>
      </w:r>
      <w:r>
        <w:softHyphen/>
        <w:t xml:space="preserve">dem: Es gibt Unzählige, die heutzutage Zungenreden in Form von </w:t>
      </w:r>
      <w:r>
        <w:rPr>
          <w:rStyle w:val="Bodytext2Italic0"/>
        </w:rPr>
        <w:t>unverständli</w:t>
      </w:r>
      <w:r>
        <w:rPr>
          <w:rStyle w:val="Bodytext2Italic0"/>
        </w:rPr>
        <w:t>chem Lallen mit fehlender Prosodie</w:t>
      </w:r>
      <w:r>
        <w:rPr>
          <w:vertAlign w:val="superscript"/>
        </w:rPr>
        <w:footnoteReference w:id="408"/>
      </w:r>
      <w:r>
        <w:t xml:space="preserve"> praktizieren. Da es sich in diesen Fällen offensichtlich nicht um bestehende Fremdspra</w:t>
      </w:r>
      <w:r>
        <w:softHyphen/>
        <w:t>chen handelt, möchte man diese Praktik mit dem Hinweis auf Engelsprachen als ein biblisches Phänomen hinstellen. Doch: Soll man wirkl</w:t>
      </w:r>
      <w:r>
        <w:t>ich glauben, dass Engel, die in der Bibel verschiedenste Fremdsprachen beherrschen, unter sich keine höhere Kommunika</w:t>
      </w:r>
      <w:r>
        <w:softHyphen/>
        <w:t>tion besitzen als ein Lallen?</w:t>
      </w:r>
    </w:p>
    <w:p w:rsidR="00BB7EDA" w:rsidRDefault="007D72B3">
      <w:pPr>
        <w:pStyle w:val="Bodytext20"/>
        <w:shd w:val="clear" w:color="auto" w:fill="auto"/>
        <w:spacing w:before="0" w:after="184"/>
        <w:ind w:firstLine="320"/>
      </w:pPr>
      <w:r>
        <w:t xml:space="preserve">Ganz abgesehen davon, widerspricht es dem gesunden Denken, Lallen, unartikulierte Laute, unstrukturierte </w:t>
      </w:r>
      <w:r>
        <w:t>Äußerungen als den menschlichen Kommunikationsmitteln überlegene übernatürliche Sprachen zu bezeichnen.</w:t>
      </w:r>
    </w:p>
    <w:p w:rsidR="00BB7EDA" w:rsidRDefault="007D72B3">
      <w:pPr>
        <w:pStyle w:val="Bodytext80"/>
        <w:numPr>
          <w:ilvl w:val="3"/>
          <w:numId w:val="185"/>
        </w:numPr>
        <w:shd w:val="clear" w:color="auto" w:fill="auto"/>
        <w:tabs>
          <w:tab w:val="left" w:pos="754"/>
        </w:tabs>
      </w:pPr>
      <w:r>
        <w:t>Zur Bedeutung von Rom 8,26</w:t>
      </w:r>
    </w:p>
    <w:p w:rsidR="00BB7EDA" w:rsidRDefault="007D72B3">
      <w:pPr>
        <w:pStyle w:val="Bodytext20"/>
        <w:shd w:val="clear" w:color="auto" w:fill="auto"/>
        <w:spacing w:before="0" w:after="337" w:line="226" w:lineRule="exact"/>
      </w:pPr>
      <w:r>
        <w:t>Manchmal werden die in Röm 8,26 erwähnten „unaussprechlichen Seufzer" des Heiligen Geistes mit dem Lallen des Zungenredens in</w:t>
      </w:r>
      <w:r>
        <w:t xml:space="preserve"> Verbindung gebracht. Das geht aber nicht, weil das Adjektiv „un</w:t>
      </w:r>
      <w:r>
        <w:softHyphen/>
        <w:t>aussprechlich"</w:t>
      </w:r>
      <w:r>
        <w:rPr>
          <w:vertAlign w:val="superscript"/>
        </w:rPr>
        <w:footnoteReference w:id="409"/>
      </w:r>
      <w:r>
        <w:t xml:space="preserve"> ja gerade zum Ausdruck bringt, dass es sich hier um eine wortlose, stumme Kommunikation handelt.</w:t>
      </w:r>
    </w:p>
    <w:p w:rsidR="00BB7EDA" w:rsidRDefault="007D72B3">
      <w:pPr>
        <w:pStyle w:val="Heading50"/>
        <w:keepNext/>
        <w:keepLines/>
        <w:numPr>
          <w:ilvl w:val="2"/>
          <w:numId w:val="185"/>
        </w:numPr>
        <w:shd w:val="clear" w:color="auto" w:fill="auto"/>
        <w:tabs>
          <w:tab w:val="left" w:pos="596"/>
        </w:tabs>
        <w:spacing w:after="99" w:line="180" w:lineRule="exact"/>
      </w:pPr>
      <w:bookmarkStart w:id="144" w:name="bookmark143"/>
      <w:r>
        <w:t>Keine Bewusstseins-Einschränkung</w:t>
      </w:r>
      <w:bookmarkEnd w:id="144"/>
    </w:p>
    <w:p w:rsidR="00BB7EDA" w:rsidRDefault="007D72B3">
      <w:pPr>
        <w:pStyle w:val="Bodytext20"/>
        <w:shd w:val="clear" w:color="auto" w:fill="auto"/>
        <w:spacing w:before="0"/>
      </w:pPr>
      <w:r>
        <w:t>Beim biblischen Sprachenreden handelte es sic</w:t>
      </w:r>
      <w:r>
        <w:t>h niemals um ekstati</w:t>
      </w:r>
      <w:r>
        <w:softHyphen/>
        <w:t>sche Zustände. Niemals gab es dabei ein eingeschränktes Bewusstsein.</w:t>
      </w:r>
    </w:p>
    <w:p w:rsidR="00BB7EDA" w:rsidRDefault="007D72B3">
      <w:pPr>
        <w:pStyle w:val="Bodytext20"/>
        <w:shd w:val="clear" w:color="auto" w:fill="auto"/>
        <w:spacing w:before="0" w:after="157" w:line="226" w:lineRule="exact"/>
      </w:pPr>
      <w:r>
        <w:t>Dies wäre grundsätzlich im Widerspruch zur Lehre der Heiligen Schrift. In 2Tim 4,5 befahl Paulus:</w:t>
      </w:r>
    </w:p>
    <w:p w:rsidR="00BB7EDA" w:rsidRDefault="007D72B3">
      <w:pPr>
        <w:pStyle w:val="Bodytext20"/>
        <w:shd w:val="clear" w:color="auto" w:fill="auto"/>
        <w:spacing w:before="0" w:after="108" w:line="180" w:lineRule="exact"/>
        <w:ind w:firstLine="340"/>
      </w:pPr>
      <w:r>
        <w:t>„Du aber sei nüchtern in allem..."</w:t>
      </w:r>
    </w:p>
    <w:p w:rsidR="00BB7EDA" w:rsidRDefault="007D72B3">
      <w:pPr>
        <w:pStyle w:val="Bodytext20"/>
        <w:shd w:val="clear" w:color="auto" w:fill="auto"/>
        <w:spacing w:before="0" w:after="116" w:line="226" w:lineRule="exact"/>
        <w:ind w:firstLine="340"/>
      </w:pPr>
      <w:r>
        <w:t>Das mit „nüchtern sein" übersetzt</w:t>
      </w:r>
      <w:r>
        <w:t xml:space="preserve">e Verb </w:t>
      </w:r>
      <w:r>
        <w:rPr>
          <w:rStyle w:val="Bodytext2Italic0"/>
        </w:rPr>
        <w:t>nephö</w:t>
      </w:r>
      <w:r>
        <w:t xml:space="preserve"> bedeutet gemäß dem neutestamentlichen Standardwörterbuch von Walter </w:t>
      </w:r>
      <w:r>
        <w:rPr>
          <w:rStyle w:val="Bodytext28ptSmallCaps"/>
        </w:rPr>
        <w:t>Bauer:</w:t>
      </w:r>
    </w:p>
    <w:p w:rsidR="00BB7EDA" w:rsidRDefault="007D72B3">
      <w:pPr>
        <w:pStyle w:val="Bodytext20"/>
        <w:shd w:val="clear" w:color="auto" w:fill="auto"/>
        <w:spacing w:before="0" w:after="124"/>
        <w:ind w:left="340" w:right="320"/>
      </w:pPr>
      <w:r>
        <w:t>„...frei sein von jeder geistigen und seelischen Trunkenheit, von Überschwang, Leidenschaft, Überstürzung, Verwirrung, Exaltiertheit".</w:t>
      </w:r>
      <w:r>
        <w:rPr>
          <w:vertAlign w:val="superscript"/>
        </w:rPr>
        <w:footnoteReference w:id="410"/>
      </w:r>
    </w:p>
    <w:p w:rsidR="00BB7EDA" w:rsidRDefault="007D72B3">
      <w:pPr>
        <w:pStyle w:val="Bodytext20"/>
        <w:shd w:val="clear" w:color="auto" w:fill="auto"/>
        <w:spacing w:before="0" w:line="226" w:lineRule="exact"/>
        <w:ind w:firstLine="340"/>
      </w:pPr>
      <w:r>
        <w:t xml:space="preserve">Allerdings: Große Freude ist </w:t>
      </w:r>
      <w:r>
        <w:t>selbstverständlich biblisch (vgl. z.B. Ps 100,1; Phil 4,4), aber niemals in solchen Fällen, wo die Selbst</w:t>
      </w:r>
      <w:r>
        <w:softHyphen/>
        <w:t>kontrolle irgendwie eingeschränkt oder gar aufgehoben wird. Das NT ruft llx zur Nüchternheit auf.</w:t>
      </w:r>
      <w:r>
        <w:rPr>
          <w:vertAlign w:val="superscript"/>
        </w:rPr>
        <w:footnoteReference w:id="411"/>
      </w:r>
      <w:r>
        <w:t xml:space="preserve"> Ferner findet sich dort 14x der Befehl „wachet".</w:t>
      </w:r>
      <w:r>
        <w:rPr>
          <w:vertAlign w:val="superscript"/>
        </w:rPr>
        <w:footnoteReference w:id="412"/>
      </w:r>
      <w:r>
        <w:t xml:space="preserve"> D</w:t>
      </w:r>
      <w:r>
        <w:t>as NT lehnt jegliche Passivität des Geistes ab und ruft die Gläubigen zu Wachheit und Aktivität auf, so z.B. durch die Befehle „Widerstehet!"</w:t>
      </w:r>
      <w:r>
        <w:rPr>
          <w:vertAlign w:val="superscript"/>
        </w:rPr>
        <w:footnoteReference w:id="413"/>
      </w:r>
      <w:r>
        <w:t>, „Kämpfe!"</w:t>
      </w:r>
      <w:r>
        <w:rPr>
          <w:vertAlign w:val="superscript"/>
        </w:rPr>
        <w:footnoteReference w:id="414"/>
      </w:r>
      <w:r>
        <w:t xml:space="preserve"> oder eben „Wachet!" etc.</w:t>
      </w:r>
    </w:p>
    <w:p w:rsidR="00BB7EDA" w:rsidRDefault="007D72B3">
      <w:pPr>
        <w:pStyle w:val="Bodytext20"/>
        <w:shd w:val="clear" w:color="auto" w:fill="auto"/>
        <w:spacing w:before="0" w:line="226" w:lineRule="exact"/>
        <w:ind w:firstLine="340"/>
      </w:pPr>
      <w:r>
        <w:t>Dies steht krass im Gegensatz zur Mystik in allen möglichen mit der Bibel un</w:t>
      </w:r>
      <w:r>
        <w:t>kompatiblen religiösen Praktiken wie transzendentale Meditation, Traumreisen, Yoga, Autogenes Training, Rockmusik, Drogen etc., wo Einschränkungen des Bewusstseins in allen mögli</w:t>
      </w:r>
      <w:r>
        <w:softHyphen/>
        <w:t>chen Abstufungen eine wesentliche Rolle spielen.</w:t>
      </w:r>
      <w:r>
        <w:rPr>
          <w:vertAlign w:val="superscript"/>
        </w:rPr>
        <w:footnoteReference w:id="415"/>
      </w:r>
    </w:p>
    <w:p w:rsidR="00BB7EDA" w:rsidRDefault="007D72B3">
      <w:pPr>
        <w:pStyle w:val="Bodytext20"/>
        <w:shd w:val="clear" w:color="auto" w:fill="auto"/>
        <w:spacing w:before="0" w:line="226" w:lineRule="exact"/>
        <w:ind w:firstLine="340"/>
      </w:pPr>
      <w:r>
        <w:t xml:space="preserve">Der Heilige Geist ist nach </w:t>
      </w:r>
      <w:r>
        <w:t>dem Zeugnis der Heiligen Schrift ein „Geist der Besonnenheit", der Kraft gibt zur Selbstbeherrschung, Mäßigung und zum gesunden Verstandes-Urteil (vgl. 2Tim 1,7).</w:t>
      </w:r>
      <w:r>
        <w:rPr>
          <w:vertAlign w:val="superscript"/>
        </w:rPr>
        <w:footnoteReference w:id="416"/>
      </w:r>
      <w:r>
        <w:t>Er führt den Menschen niemals in die Trance. Wenn Paulus in IKor 12 über die geistlichen Gabe</w:t>
      </w:r>
      <w:r>
        <w:t>n zu sprechen beginnt, macht er gerade in dieser Hinsicht einen auffälligen Unterschied zum Heidentum deut</w:t>
      </w:r>
      <w:r>
        <w:softHyphen/>
        <w:t>lich (IKor 12,2):</w:t>
      </w:r>
    </w:p>
    <w:p w:rsidR="00BB7EDA" w:rsidRDefault="007D72B3">
      <w:pPr>
        <w:pStyle w:val="Bodytext20"/>
        <w:shd w:val="clear" w:color="auto" w:fill="auto"/>
        <w:spacing w:before="0" w:after="457" w:line="226" w:lineRule="exact"/>
        <w:ind w:left="300"/>
        <w:jc w:val="left"/>
      </w:pPr>
      <w:r>
        <w:t xml:space="preserve">„Ihr wisst, dass ihr einst Heiden wart und </w:t>
      </w:r>
      <w:r>
        <w:rPr>
          <w:rStyle w:val="Bodytext2Italic0"/>
        </w:rPr>
        <w:t xml:space="preserve">euch fortreißen ließt </w:t>
      </w:r>
      <w:r>
        <w:t xml:space="preserve">zu den stummen Götzen, so </w:t>
      </w:r>
      <w:r>
        <w:rPr>
          <w:rStyle w:val="Bodytext2Italic0"/>
        </w:rPr>
        <w:t>wie ihr geführt wurdet</w:t>
      </w:r>
      <w:r>
        <w:t>Z'</w:t>
      </w:r>
      <w:r>
        <w:rPr>
          <w:vertAlign w:val="superscript"/>
        </w:rPr>
        <w:footnoteReference w:id="417"/>
      </w:r>
    </w:p>
    <w:p w:rsidR="00BB7EDA" w:rsidRDefault="007D72B3">
      <w:pPr>
        <w:pStyle w:val="Bodytext90"/>
        <w:numPr>
          <w:ilvl w:val="0"/>
          <w:numId w:val="195"/>
        </w:numPr>
        <w:shd w:val="clear" w:color="auto" w:fill="auto"/>
        <w:tabs>
          <w:tab w:val="left" w:pos="586"/>
        </w:tabs>
        <w:spacing w:after="219" w:line="180" w:lineRule="exact"/>
      </w:pPr>
      <w:r>
        <w:t>Erbauung durch</w:t>
      </w:r>
      <w:r>
        <w:t xml:space="preserve"> Sprachenreden</w:t>
      </w:r>
    </w:p>
    <w:p w:rsidR="00BB7EDA" w:rsidRDefault="007D72B3">
      <w:pPr>
        <w:pStyle w:val="Bodytext100"/>
        <w:numPr>
          <w:ilvl w:val="0"/>
          <w:numId w:val="196"/>
        </w:numPr>
        <w:shd w:val="clear" w:color="auto" w:fill="auto"/>
        <w:tabs>
          <w:tab w:val="left" w:pos="735"/>
        </w:tabs>
        <w:spacing w:before="0" w:line="230" w:lineRule="exact"/>
        <w:ind w:firstLine="0"/>
      </w:pPr>
      <w:r>
        <w:t>Spezialfall Korinth</w:t>
      </w:r>
    </w:p>
    <w:p w:rsidR="00BB7EDA" w:rsidRDefault="007D72B3">
      <w:pPr>
        <w:pStyle w:val="Bodytext20"/>
        <w:shd w:val="clear" w:color="auto" w:fill="auto"/>
        <w:spacing w:before="0" w:after="184"/>
      </w:pPr>
      <w:r>
        <w:t>Beim Pfingstereignis in Apg 2 waren viele Fremdsprachige zugegen. Für sie erwies sich das Sprachenreden als perfektes Kommunikati</w:t>
      </w:r>
      <w:r>
        <w:softHyphen/>
        <w:t>onsmittel. In Korinth gab es indessen oft Verständnisprobleme. Was nützte schon das Sprache</w:t>
      </w:r>
      <w:r>
        <w:t>nreden in den Fällen, wo keine Fremdspra</w:t>
      </w:r>
      <w:r>
        <w:softHyphen/>
        <w:t>chigen da waren? Wenn die Korinther, von denen ja viele aus der Unterschicht kamen,</w:t>
      </w:r>
      <w:r>
        <w:rPr>
          <w:vertAlign w:val="superscript"/>
        </w:rPr>
        <w:footnoteReference w:id="418"/>
      </w:r>
      <w:r>
        <w:t xml:space="preserve"> die Fremdsprachen nicht verstanden, so gab es keine Erbauung. Daher war in diesen Fällen „Auslegung" bzw. „Übersetzung" notwendig.</w:t>
      </w:r>
      <w:r>
        <w:rPr>
          <w:vertAlign w:val="superscript"/>
        </w:rPr>
        <w:footnoteReference w:id="419"/>
      </w:r>
      <w:r>
        <w:t xml:space="preserve"> Allein durch die Übersetzung bekam die Gemeinde „Erbauung" im Glauben (IKor 14,5). Daraus erken</w:t>
      </w:r>
      <w:r>
        <w:softHyphen/>
        <w:t>nen wir: Nicht das Sprachphänomen an sich, sondern allein die dadurch übertragene Botschaft war erbauend.</w:t>
      </w:r>
    </w:p>
    <w:p w:rsidR="00BB7EDA" w:rsidRDefault="007D72B3">
      <w:pPr>
        <w:pStyle w:val="Bodytext100"/>
        <w:numPr>
          <w:ilvl w:val="0"/>
          <w:numId w:val="196"/>
        </w:numPr>
        <w:shd w:val="clear" w:color="auto" w:fill="auto"/>
        <w:tabs>
          <w:tab w:val="left" w:pos="745"/>
        </w:tabs>
        <w:spacing w:before="0"/>
        <w:ind w:firstLine="0"/>
      </w:pPr>
      <w:r>
        <w:t>Keine Erbauung durch den Sprachklang</w:t>
      </w:r>
    </w:p>
    <w:p w:rsidR="00BB7EDA" w:rsidRDefault="007D72B3">
      <w:pPr>
        <w:pStyle w:val="Bodytext20"/>
        <w:shd w:val="clear" w:color="auto" w:fill="auto"/>
        <w:spacing w:before="0" w:line="226" w:lineRule="exact"/>
      </w:pPr>
      <w:r>
        <w:t>Man kann das eb</w:t>
      </w:r>
      <w:r>
        <w:t>en Gesagte an einem Beispiel verdeutlichen: Die Psalmen sind ursprünglich auf Hebräisch verfasst worden. Nach dem Selbstzeugnis der Heiligen Schrift sind sie vom Geist Gottes inspiriert (2Tim 3,16). Das Hebräische der Psalmen ist daher gewis</w:t>
      </w:r>
      <w:r>
        <w:softHyphen/>
        <w:t>sermaßen Sprac</w:t>
      </w:r>
      <w:r>
        <w:t>he des Heiligen Geistes. Man könnte die Psalmen im Gottesdienst auf Hebräisch rezitieren. Obwohl die warm-kehlige Sprache der Propheten zweifellos wunderschön und feierlich klingt, wird keiner der des Hebräischen nicht mächtigen Gottesdienst</w:t>
      </w:r>
      <w:r>
        <w:softHyphen/>
        <w:t>besucher davon</w:t>
      </w:r>
      <w:r>
        <w:t xml:space="preserve"> irgendeinen geistlichen Nutzen haben. Die Sprach- laute sind Träger von Information. Wer die Laute jedoch nicht aufschlüsseln kann, vermag nichts von der Information aufzuneh</w:t>
      </w:r>
      <w:r>
        <w:softHyphen/>
        <w:t>men. Die Laute an sich sind keine Kommunikation. Nur wenn der Inhalt einer Botsc</w:t>
      </w:r>
      <w:r>
        <w:t>haft übermittelt wird, hat der Empfänger einen Gewinn davon.</w:t>
      </w:r>
    </w:p>
    <w:p w:rsidR="00BB7EDA" w:rsidRDefault="007D72B3">
      <w:pPr>
        <w:pStyle w:val="Bodytext100"/>
        <w:numPr>
          <w:ilvl w:val="0"/>
          <w:numId w:val="196"/>
        </w:numPr>
        <w:shd w:val="clear" w:color="auto" w:fill="auto"/>
        <w:tabs>
          <w:tab w:val="left" w:pos="740"/>
        </w:tabs>
        <w:spacing w:before="0"/>
        <w:ind w:firstLine="0"/>
      </w:pPr>
      <w:r>
        <w:t>Was ist Kommunikation?</w:t>
      </w:r>
    </w:p>
    <w:p w:rsidR="00BB7EDA" w:rsidRDefault="007D72B3">
      <w:pPr>
        <w:pStyle w:val="Bodytext20"/>
        <w:shd w:val="clear" w:color="auto" w:fill="auto"/>
        <w:spacing w:before="0" w:after="180" w:line="226" w:lineRule="exact"/>
      </w:pPr>
      <w:r>
        <w:t>Gesprochener Dialog unter Menschen geschieht beim Reden so: Der Sender besitzt oder bildet in seinem Inneren Information. Er ver</w:t>
      </w:r>
      <w:r>
        <w:softHyphen/>
        <w:t>schlüsselt sie in Code-Zeichen, und zwar in</w:t>
      </w:r>
      <w:r>
        <w:t xml:space="preserve"> Form von Schallwellen, die er an einen Empfänger übermittelt. Der Empfänger entschlüsselt die Code-Zeichen und nimmt die Information in sich auf. Nun kann er darauf reagieren und so wird er in der eben beschriebenen Form selber zum Sender, während der vor</w:t>
      </w:r>
      <w:r>
        <w:t>herige Sender die Möglichkeit hat, auf Empfang umzuschalten.</w:t>
      </w:r>
    </w:p>
    <w:p w:rsidR="00BB7EDA" w:rsidRDefault="007D72B3">
      <w:pPr>
        <w:pStyle w:val="Bodytext100"/>
        <w:numPr>
          <w:ilvl w:val="0"/>
          <w:numId w:val="196"/>
        </w:numPr>
        <w:shd w:val="clear" w:color="auto" w:fill="auto"/>
        <w:tabs>
          <w:tab w:val="left" w:pos="750"/>
        </w:tabs>
        <w:spacing w:before="0"/>
        <w:ind w:firstLine="0"/>
      </w:pPr>
      <w:r>
        <w:t>Verfehlte Kommunikation</w:t>
      </w:r>
    </w:p>
    <w:p w:rsidR="00BB7EDA" w:rsidRDefault="007D72B3">
      <w:pPr>
        <w:pStyle w:val="Bodytext20"/>
        <w:shd w:val="clear" w:color="auto" w:fill="auto"/>
        <w:spacing w:before="0" w:line="226" w:lineRule="exact"/>
      </w:pPr>
      <w:r>
        <w:t>Wenn beim Zungenreden der Sprechende gar nicht wirklich ver</w:t>
      </w:r>
      <w:r>
        <w:softHyphen/>
        <w:t>steht, was er sagt, so wird hier am Wesen der Sprache als Kommuni</w:t>
      </w:r>
      <w:r>
        <w:softHyphen/>
        <w:t>kationsmittel vollständig vorbeigeschossen.</w:t>
      </w:r>
    </w:p>
    <w:p w:rsidR="00BB7EDA" w:rsidRDefault="007D72B3">
      <w:pPr>
        <w:pStyle w:val="Bodytext20"/>
        <w:shd w:val="clear" w:color="auto" w:fill="auto"/>
        <w:spacing w:before="0" w:after="457" w:line="226" w:lineRule="exact"/>
        <w:ind w:firstLine="320"/>
      </w:pPr>
      <w:r>
        <w:t>D</w:t>
      </w:r>
      <w:r>
        <w:t>er sich meines Erachtens fälschlicherweise auf IKor 14,2 beru</w:t>
      </w:r>
      <w:r>
        <w:softHyphen/>
        <w:t>fende Zungenredner steht ja beim Beten überhaupt nicht in einer Kommunikation mit Gott. Was er tut, verfehlt die von dem Schöpfer gewollte und von ihm so hoch eingeschätzte Sprache als Verständi</w:t>
      </w:r>
      <w:r>
        <w:softHyphen/>
        <w:t>gungsmittel zwischen Gott und Mensch. Gott spricht doch zu uns durch sein geschriebenes Wort. Wir dürfen ihm durchs Gebet ant</w:t>
      </w:r>
      <w:r>
        <w:softHyphen/>
        <w:t>worten, und zwar indem wir bei vollem Bewusstsein von Herzen auf das reagieren, was er uns sagt. Dies ist Kommunikation. Alles an</w:t>
      </w:r>
      <w:r>
        <w:t>dere liegt unter der Würde des Menschen. Bileams Eselin beherrschte die Sprache, die sie redete, nicht (4Mo 22,28-30). Doch vergessen wir nicht, sie war ein Tier und kein im Bild Gottes geschaffenes Wesen!</w:t>
      </w:r>
    </w:p>
    <w:p w:rsidR="00BB7EDA" w:rsidRDefault="007D72B3">
      <w:pPr>
        <w:pStyle w:val="Heading50"/>
        <w:keepNext/>
        <w:keepLines/>
        <w:numPr>
          <w:ilvl w:val="0"/>
          <w:numId w:val="195"/>
        </w:numPr>
        <w:shd w:val="clear" w:color="auto" w:fill="auto"/>
        <w:tabs>
          <w:tab w:val="left" w:pos="601"/>
        </w:tabs>
        <w:spacing w:after="218" w:line="180" w:lineRule="exact"/>
      </w:pPr>
      <w:bookmarkStart w:id="145" w:name="bookmark144"/>
      <w:r>
        <w:t>Sprachverständnis und Sprachbeherrschung</w:t>
      </w:r>
      <w:bookmarkEnd w:id="145"/>
    </w:p>
    <w:p w:rsidR="00BB7EDA" w:rsidRDefault="007D72B3">
      <w:pPr>
        <w:pStyle w:val="Bodytext20"/>
        <w:numPr>
          <w:ilvl w:val="0"/>
          <w:numId w:val="197"/>
        </w:numPr>
        <w:shd w:val="clear" w:color="auto" w:fill="auto"/>
        <w:tabs>
          <w:tab w:val="left" w:pos="750"/>
        </w:tabs>
        <w:spacing w:before="0" w:line="226" w:lineRule="exact"/>
      </w:pPr>
      <w:r>
        <w:rPr>
          <w:rStyle w:val="Bodytext285ptBoldItalic"/>
        </w:rPr>
        <w:t xml:space="preserve">Der </w:t>
      </w:r>
      <w:r>
        <w:rPr>
          <w:rStyle w:val="Bodytext285ptBoldItalic"/>
        </w:rPr>
        <w:t>menschliche Geist = Aktivist der Sprachenrede Wer</w:t>
      </w:r>
      <w:r>
        <w:rPr>
          <w:rStyle w:val="Bodytext2Bold0"/>
        </w:rPr>
        <w:t xml:space="preserve"> </w:t>
      </w:r>
      <w:r>
        <w:t>in einer Sprache betete, wusste genau, was er sagte. Für ihn war die Sprache nicht unverständlich: Er erbaute sich selbst (IKor 14,4). Eben haben wir gesehen, dass nicht das übernatürliche Phänomen erbaute,</w:t>
      </w:r>
      <w:r>
        <w:t xml:space="preserve"> sondern der Inhalt, das Kommunizierte, sonst wäre ja auch die Gemeinde jeweils erbaut worden, wenn keine Auslegung da war (IKor 14,17), nämlich einfach durch das übernatürliche Geschehen.</w:t>
      </w:r>
    </w:p>
    <w:p w:rsidR="00BB7EDA" w:rsidRDefault="007D72B3">
      <w:pPr>
        <w:pStyle w:val="Bodytext20"/>
        <w:shd w:val="clear" w:color="auto" w:fill="auto"/>
        <w:spacing w:before="0" w:line="226" w:lineRule="exact"/>
        <w:ind w:firstLine="320"/>
      </w:pPr>
      <w:r>
        <w:t xml:space="preserve">Beim Sprachenreden betete nach 1 Kor 14,14 </w:t>
      </w:r>
      <w:r>
        <w:rPr>
          <w:rStyle w:val="Bodytext2Italic0"/>
        </w:rPr>
        <w:t>der menschliche Geist.</w:t>
      </w:r>
      <w:r>
        <w:rPr>
          <w:rStyle w:val="Bodytext2Italic0"/>
          <w:vertAlign w:val="superscript"/>
        </w:rPr>
        <w:footnoteReference w:id="420"/>
      </w:r>
      <w:r>
        <w:rPr>
          <w:rStyle w:val="Bodytext2Italic0"/>
          <w:vertAlign w:val="superscript"/>
        </w:rPr>
        <w:t xml:space="preserve"> </w:t>
      </w:r>
      <w:r>
        <w:t>Der Geist des Menschen hat die Fähigkeit, zu „erkennen", zu „for- sehen" und zu „verstehen".</w:t>
      </w:r>
      <w:r>
        <w:rPr>
          <w:vertAlign w:val="superscript"/>
        </w:rPr>
        <w:t>505</w:t>
      </w:r>
      <w:r>
        <w:t xml:space="preserve"> Beim Sprachenreden war das Organ des Denkens und des Verstehens nicht passiv, sondern im Gegenteil voll aktiv, ja sogar Quelle der Kommunikation. Gemäß Apg 2,4 </w:t>
      </w:r>
      <w:r>
        <w:t>befähigte der Heilige Geist zur richtigen Aussprache. Doch aus IKor</w:t>
      </w:r>
    </w:p>
    <w:p w:rsidR="00BB7EDA" w:rsidRDefault="007D72B3">
      <w:pPr>
        <w:pStyle w:val="Bodytext20"/>
        <w:numPr>
          <w:ilvl w:val="0"/>
          <w:numId w:val="198"/>
        </w:numPr>
        <w:shd w:val="clear" w:color="auto" w:fill="auto"/>
        <w:tabs>
          <w:tab w:val="left" w:pos="548"/>
        </w:tabs>
        <w:spacing w:before="0" w:after="116" w:line="226" w:lineRule="exact"/>
      </w:pPr>
      <w:r>
        <w:t xml:space="preserve">geht hervor, dass der Geist des Menschen jeweils der Sprecher war. Sprachenreden hat nichts mit spiritistischer Medialität gemein, wo der Geist des Menschen passiv ist und ein anderer </w:t>
      </w:r>
      <w:r>
        <w:t>Geist aktiv durch ihn spricht.</w:t>
      </w:r>
    </w:p>
    <w:p w:rsidR="00BB7EDA" w:rsidRDefault="007D72B3">
      <w:pPr>
        <w:pStyle w:val="Bodytext100"/>
        <w:numPr>
          <w:ilvl w:val="0"/>
          <w:numId w:val="197"/>
        </w:numPr>
        <w:shd w:val="clear" w:color="auto" w:fill="auto"/>
        <w:tabs>
          <w:tab w:val="left" w:pos="745"/>
        </w:tabs>
        <w:spacing w:before="0" w:line="230" w:lineRule="exact"/>
        <w:ind w:left="320" w:hanging="320"/>
      </w:pPr>
      <w:r>
        <w:t>Nur der andere eilt Barbar</w:t>
      </w:r>
    </w:p>
    <w:p w:rsidR="00BB7EDA" w:rsidRDefault="007D72B3">
      <w:pPr>
        <w:pStyle w:val="Bodytext20"/>
        <w:shd w:val="clear" w:color="auto" w:fill="auto"/>
        <w:spacing w:before="0" w:after="168"/>
      </w:pPr>
      <w:r>
        <w:t xml:space="preserve">In IKor 14 heißt es übrigens nicht vom Sprechenden, sondern vom Zuhörer: Er ist ein </w:t>
      </w:r>
      <w:r>
        <w:rPr>
          <w:rStyle w:val="Bodytext2Italic0"/>
        </w:rPr>
        <w:t>Barbar,</w:t>
      </w:r>
      <w:r>
        <w:t xml:space="preserve"> der </w:t>
      </w:r>
      <w:r>
        <w:rPr>
          <w:rStyle w:val="Bodytext2Italic0"/>
        </w:rPr>
        <w:t>nichts versteht</w:t>
      </w:r>
      <w:r>
        <w:t xml:space="preserve"> (IKor </w:t>
      </w:r>
      <w:r>
        <w:rPr>
          <w:rStyle w:val="Bodytext2Italic0"/>
        </w:rPr>
        <w:t>14,11), er kann nicht „Amen" sagen</w:t>
      </w:r>
      <w:r>
        <w:t xml:space="preserve"> zur Bestätigung (IKor 14,16), er nimmt die St</w:t>
      </w:r>
      <w:r>
        <w:t xml:space="preserve">ellung des </w:t>
      </w:r>
      <w:r>
        <w:rPr>
          <w:rStyle w:val="Bodytext2Italic0"/>
        </w:rPr>
        <w:t>Unkundigen</w:t>
      </w:r>
      <w:r>
        <w:t xml:space="preserve"> ein (IKor 14,16). Der Sprecher wusste selbst genau, was er sagte. Er war der Aktive. Aber der nicht-fremdsprachige Zuhörer konnte mit der Mitteilung des Sprachenredners jeweils gar nichts anfangen.</w:t>
      </w:r>
    </w:p>
    <w:p w:rsidR="00BB7EDA" w:rsidRDefault="007D72B3">
      <w:pPr>
        <w:pStyle w:val="Bodytext100"/>
        <w:numPr>
          <w:ilvl w:val="0"/>
          <w:numId w:val="197"/>
        </w:numPr>
        <w:shd w:val="clear" w:color="auto" w:fill="auto"/>
        <w:tabs>
          <w:tab w:val="left" w:pos="745"/>
        </w:tabs>
        <w:spacing w:before="0" w:line="170" w:lineRule="exact"/>
        <w:ind w:left="320" w:hanging="320"/>
      </w:pPr>
      <w:r>
        <w:t>Beten um die Gabe der Auslegung?</w:t>
      </w:r>
    </w:p>
    <w:p w:rsidR="00BB7EDA" w:rsidRDefault="007D72B3">
      <w:pPr>
        <w:pStyle w:val="Bodytext20"/>
        <w:shd w:val="clear" w:color="auto" w:fill="auto"/>
        <w:spacing w:before="0" w:after="124" w:line="226" w:lineRule="exact"/>
      </w:pPr>
      <w:r>
        <w:t>Auf</w:t>
      </w:r>
      <w:r>
        <w:t xml:space="preserve"> Grund von IKor 14,13 könnte man auf den Gedanken kommen, dass der Sprachenredner zwar nicht wusste, was er sagte, dass ihm jedoch die Möglichkeit offen stand, um den Empfang der Gabe der Auslegung zu bitten. Es heißt dort:</w:t>
      </w:r>
    </w:p>
    <w:p w:rsidR="00BB7EDA" w:rsidRDefault="007D72B3">
      <w:pPr>
        <w:pStyle w:val="Bodytext20"/>
        <w:shd w:val="clear" w:color="auto" w:fill="auto"/>
        <w:spacing w:before="0" w:after="116" w:line="221" w:lineRule="exact"/>
        <w:ind w:left="320"/>
        <w:jc w:val="left"/>
      </w:pPr>
      <w:r>
        <w:t>„Darum, wer in einer Sprache red</w:t>
      </w:r>
      <w:r>
        <w:t>et, bete, auf dass er es auslege."</w:t>
      </w:r>
    </w:p>
    <w:p w:rsidR="00BB7EDA" w:rsidRDefault="007D72B3">
      <w:pPr>
        <w:pStyle w:val="Bodytext20"/>
        <w:shd w:val="clear" w:color="auto" w:fill="auto"/>
        <w:spacing w:before="0" w:after="267" w:line="226" w:lineRule="exact"/>
        <w:ind w:firstLine="320"/>
      </w:pPr>
      <w:r>
        <w:t>Beim Studium dieses Satzes im griechischen Original wird aber deutlich, dass dem nicht so ist. Die von Paulus benutzten Zeitformen weisen nicht auf ein einmaliges Ereignis hin. Der Apostel benutzt Du</w:t>
      </w:r>
      <w:r>
        <w:softHyphen/>
        <w:t>rativformen,</w:t>
      </w:r>
      <w:r>
        <w:rPr>
          <w:vertAlign w:val="superscript"/>
        </w:rPr>
        <w:t>506</w:t>
      </w:r>
      <w:r>
        <w:t xml:space="preserve"> die e</w:t>
      </w:r>
      <w:r>
        <w:t>in wiederholtes Handeln ausdrücken. Unter Berück</w:t>
      </w:r>
      <w:r>
        <w:softHyphen/>
        <w:t>sichtigung der griechischen Aspekte übersetze ich daher wie folgt:</w:t>
      </w:r>
    </w:p>
    <w:p w:rsidR="00BB7EDA" w:rsidRDefault="007D72B3">
      <w:pPr>
        <w:pStyle w:val="Bodytext60"/>
        <w:shd w:val="clear" w:color="auto" w:fill="auto"/>
        <w:spacing w:line="192" w:lineRule="exact"/>
        <w:ind w:left="320"/>
        <w:jc w:val="both"/>
      </w:pPr>
      <w:r>
        <w:t>gibt keine einzige Stelle in der Bibel, an der dieser Ausdruck im Mund eines Menschen den Heiligen Geist bezeichnen könnte. Die Wiedergabe d</w:t>
      </w:r>
      <w:r>
        <w:t>ieses Satzes in Übersetzungen wie „Hoffnung für alle", „Die gute Nachricht" etc., wo dieser Begriff auf den Geist Gottes bezogen wird, ist sachlich falsch und daher unakzeptabel.</w:t>
      </w:r>
    </w:p>
    <w:p w:rsidR="00BB7EDA" w:rsidRDefault="007D72B3">
      <w:pPr>
        <w:pStyle w:val="Bodytext60"/>
        <w:numPr>
          <w:ilvl w:val="0"/>
          <w:numId w:val="199"/>
        </w:numPr>
        <w:shd w:val="clear" w:color="auto" w:fill="auto"/>
        <w:tabs>
          <w:tab w:val="left" w:pos="308"/>
        </w:tabs>
        <w:spacing w:line="192" w:lineRule="exact"/>
        <w:ind w:left="320" w:hanging="320"/>
        <w:jc w:val="both"/>
      </w:pPr>
      <w:r>
        <w:t>Vgl. Hi 20,3; 32,8; Ps 77,7; Spr. 20,27.</w:t>
      </w:r>
    </w:p>
    <w:p w:rsidR="00BB7EDA" w:rsidRDefault="007D72B3">
      <w:pPr>
        <w:pStyle w:val="Bodytext60"/>
        <w:numPr>
          <w:ilvl w:val="0"/>
          <w:numId w:val="199"/>
        </w:numPr>
        <w:shd w:val="clear" w:color="auto" w:fill="auto"/>
        <w:tabs>
          <w:tab w:val="left" w:pos="308"/>
        </w:tabs>
        <w:spacing w:line="192" w:lineRule="exact"/>
        <w:ind w:left="320" w:hanging="320"/>
        <w:jc w:val="both"/>
      </w:pPr>
      <w:r>
        <w:t xml:space="preserve">Die Formen des so genannten </w:t>
      </w:r>
      <w:r>
        <w:t>„Präsensstammes" schildern in der Sprache des NT den Verbinhalt als nichtabgeschlossene, sich entwickelnde, fortdau</w:t>
      </w:r>
      <w:r>
        <w:softHyphen/>
        <w:t xml:space="preserve">ernde ode; siih wiederholende Handlung (vgl. </w:t>
      </w:r>
      <w:r>
        <w:rPr>
          <w:rStyle w:val="Bodytext67ptSmallCaps"/>
        </w:rPr>
        <w:t xml:space="preserve">Hofemann/von Silbenthal: </w:t>
      </w:r>
      <w:r>
        <w:t>Griechische Grammatik zum Neuen Testament, S. 304ff.</w:t>
      </w:r>
    </w:p>
    <w:p w:rsidR="00BB7EDA" w:rsidRDefault="007D72B3">
      <w:pPr>
        <w:pStyle w:val="Bodytext20"/>
        <w:shd w:val="clear" w:color="auto" w:fill="auto"/>
        <w:spacing w:before="0" w:after="180"/>
        <w:ind w:left="340"/>
        <w:jc w:val="left"/>
      </w:pPr>
      <w:r>
        <w:t>„Darum, wer [imme</w:t>
      </w:r>
      <w:r>
        <w:t>r wieder] in einer Sprache redet, bete [immer wieder], auf dass er es [immer wieder] auslege."</w:t>
      </w:r>
    </w:p>
    <w:p w:rsidR="00BB7EDA" w:rsidRDefault="007D72B3">
      <w:pPr>
        <w:pStyle w:val="Bodytext20"/>
        <w:shd w:val="clear" w:color="auto" w:fill="auto"/>
        <w:spacing w:before="0" w:after="460"/>
        <w:ind w:firstLine="340"/>
      </w:pPr>
      <w:r>
        <w:t>Es geht nicht darum, eine bestimmte Gabe zu erbitten. Der in Sprachen Redende weiß ja genau, was er sagt. Doch soll er Gott immer wieder um Hilfe bitten, um ande</w:t>
      </w:r>
      <w:r>
        <w:t>ren das Gesagte verständ</w:t>
      </w:r>
      <w:r>
        <w:softHyphen/>
        <w:t>lich zu machen.</w:t>
      </w:r>
    </w:p>
    <w:p w:rsidR="00BB7EDA" w:rsidRDefault="007D72B3">
      <w:pPr>
        <w:pStyle w:val="Heading50"/>
        <w:keepNext/>
        <w:keepLines/>
        <w:numPr>
          <w:ilvl w:val="0"/>
          <w:numId w:val="195"/>
        </w:numPr>
        <w:shd w:val="clear" w:color="auto" w:fill="auto"/>
        <w:tabs>
          <w:tab w:val="left" w:pos="591"/>
        </w:tabs>
        <w:spacing w:after="219" w:line="180" w:lineRule="exact"/>
      </w:pPr>
      <w:bookmarkStart w:id="146" w:name="bookmark145"/>
      <w:r>
        <w:t>Eine Gabe für alle Christen?</w:t>
      </w:r>
      <w:bookmarkEnd w:id="146"/>
    </w:p>
    <w:p w:rsidR="00BB7EDA" w:rsidRDefault="007D72B3">
      <w:pPr>
        <w:pStyle w:val="Bodytext20"/>
        <w:shd w:val="clear" w:color="auto" w:fill="auto"/>
        <w:spacing w:before="0" w:after="460"/>
      </w:pPr>
      <w:r>
        <w:t>Die Fragen „Reden alle in Sprachen?" und „Legen alle aus?" (IKor 12,30) fordern eine verneinende Antwort. Fragen, die mit der grie</w:t>
      </w:r>
      <w:r>
        <w:softHyphen/>
        <w:t xml:space="preserve">chischen Partikel </w:t>
      </w:r>
      <w:r>
        <w:rPr>
          <w:rStyle w:val="Bodytext2Italic0"/>
        </w:rPr>
        <w:t>me</w:t>
      </w:r>
      <w:r>
        <w:t xml:space="preserve"> gestellt werden, was in dieser Ste</w:t>
      </w:r>
      <w:r>
        <w:t>lle der Fall ist, sind rhetorische Fragen, die ein „Nein" als Antwort verlangen.</w:t>
      </w:r>
      <w:r>
        <w:rPr>
          <w:vertAlign w:val="superscript"/>
        </w:rPr>
        <w:footnoteReference w:id="421"/>
      </w:r>
      <w:r>
        <w:rPr>
          <w:vertAlign w:val="superscript"/>
        </w:rPr>
        <w:t xml:space="preserve"> </w:t>
      </w:r>
      <w:r>
        <w:t>Daraus folgern wir: Nicht alle Christen hatten die Gabe der Sprachen</w:t>
      </w:r>
      <w:r>
        <w:softHyphen/>
        <w:t>rede.</w:t>
      </w:r>
      <w:r>
        <w:rPr>
          <w:vertAlign w:val="superscript"/>
        </w:rPr>
        <w:footnoteReference w:id="422"/>
      </w:r>
    </w:p>
    <w:p w:rsidR="00BB7EDA" w:rsidRDefault="007D72B3">
      <w:pPr>
        <w:pStyle w:val="Heading50"/>
        <w:keepNext/>
        <w:keepLines/>
        <w:numPr>
          <w:ilvl w:val="0"/>
          <w:numId w:val="195"/>
        </w:numPr>
        <w:shd w:val="clear" w:color="auto" w:fill="auto"/>
        <w:tabs>
          <w:tab w:val="left" w:pos="591"/>
        </w:tabs>
        <w:spacing w:after="223" w:line="180" w:lineRule="exact"/>
      </w:pPr>
      <w:bookmarkStart w:id="147" w:name="bookmark146"/>
      <w:r>
        <w:t>Verantwortlichkeit beim Sprachenreden</w:t>
      </w:r>
      <w:bookmarkEnd w:id="147"/>
    </w:p>
    <w:p w:rsidR="00BB7EDA" w:rsidRDefault="007D72B3">
      <w:pPr>
        <w:pStyle w:val="Bodytext20"/>
        <w:shd w:val="clear" w:color="auto" w:fill="auto"/>
        <w:spacing w:before="0" w:line="226" w:lineRule="exact"/>
      </w:pPr>
      <w:r>
        <w:t>Der Herr Jesus Christus lehrte, dass wir für all unsere Wort</w:t>
      </w:r>
      <w:r>
        <w:t xml:space="preserve">e, die wir reden, verantwortlich sind (Mat 12,36.37). Der Verstand darf daher nicht ausgelöscht oder eingeschränkt werden. Die Gläubigen sollen vielmehr </w:t>
      </w:r>
      <w:r>
        <w:rPr>
          <w:rStyle w:val="Bodytext2Italic0"/>
        </w:rPr>
        <w:t>„Erwachsene/Vollkommeneam Verstand"</w:t>
      </w:r>
      <w:r>
        <w:t xml:space="preserve"> sein (IKor 14,2</w:t>
      </w:r>
      <w:r>
        <w:rPr>
          <w:rStyle w:val="Bodytext2SmallCaps"/>
        </w:rPr>
        <w:t>g).</w:t>
      </w:r>
      <w:r>
        <w:rPr>
          <w:vertAlign w:val="superscript"/>
        </w:rPr>
        <w:footnoteReference w:id="423"/>
      </w:r>
      <w:r>
        <w:rPr>
          <w:vertAlign w:val="superscript"/>
        </w:rPr>
        <w:t xml:space="preserve"> </w:t>
      </w:r>
      <w:r>
        <w:t xml:space="preserve">Der Mensch ist eine von Gott geschaffene </w:t>
      </w:r>
      <w:r>
        <w:t>Einheit von Geist, Seele und Leib (IThess 5,23). Kein Aspekt des Menschen darf verachtet und vernachlässigt werden.</w:t>
      </w:r>
    </w:p>
    <w:p w:rsidR="00BB7EDA" w:rsidRDefault="007D72B3">
      <w:pPr>
        <w:pStyle w:val="Bodytext20"/>
        <w:shd w:val="clear" w:color="auto" w:fill="auto"/>
        <w:spacing w:before="0" w:line="226" w:lineRule="exact"/>
        <w:ind w:firstLine="340"/>
      </w:pPr>
      <w:r>
        <w:t>Unter Berücksichtigung all des bisher Ausgeführten wird klar, dass es höchst problematisch und biblisch nicht zu verantworten ist, die Zunge</w:t>
      </w:r>
      <w:r>
        <w:t>nredner von heute, die sich selbst nicht verstehen und somit auch nicht wissen, was sie sagen, mit dem Sprachenreden der</w:t>
      </w:r>
    </w:p>
    <w:p w:rsidR="00BB7EDA" w:rsidRDefault="007D72B3">
      <w:pPr>
        <w:pStyle w:val="Bodytext20"/>
        <w:shd w:val="clear" w:color="auto" w:fill="auto"/>
        <w:spacing w:before="0" w:after="397" w:line="226" w:lineRule="exact"/>
      </w:pPr>
      <w:r>
        <w:t>Heiligen Schrift in Verbindung zu bringen. Nicht minder problema</w:t>
      </w:r>
      <w:r>
        <w:softHyphen/>
        <w:t xml:space="preserve">tisch sind die heutigen Zungen-Ausleger, welche die Zungenredner auch </w:t>
      </w:r>
      <w:r>
        <w:rPr>
          <w:rStyle w:val="Bodytext2Italic0"/>
        </w:rPr>
        <w:t>gar nicht verstehen (!),</w:t>
      </w:r>
      <w:r>
        <w:t xml:space="preserve"> sondern aus einer, wie auch immer gearteten Eingebung heraus-z.B. indem sie ohne zu denken einfach ihrem Redefluss freien Lauf lassen und dabei auf „Inspiration" zählen - eine Deutung geben wollen.</w:t>
      </w:r>
    </w:p>
    <w:p w:rsidR="00BB7EDA" w:rsidRDefault="007D72B3">
      <w:pPr>
        <w:pStyle w:val="Bodytext90"/>
        <w:numPr>
          <w:ilvl w:val="0"/>
          <w:numId w:val="195"/>
        </w:numPr>
        <w:shd w:val="clear" w:color="auto" w:fill="auto"/>
        <w:tabs>
          <w:tab w:val="left" w:pos="692"/>
        </w:tabs>
        <w:spacing w:after="134" w:line="180" w:lineRule="exact"/>
      </w:pPr>
      <w:r>
        <w:t>„Geist" contra „Verstand"?</w:t>
      </w:r>
    </w:p>
    <w:p w:rsidR="00BB7EDA" w:rsidRDefault="007D72B3">
      <w:pPr>
        <w:pStyle w:val="Bodytext20"/>
        <w:shd w:val="clear" w:color="auto" w:fill="auto"/>
        <w:spacing w:before="0" w:after="108" w:line="180" w:lineRule="exact"/>
      </w:pPr>
      <w:r>
        <w:t>IKor 1</w:t>
      </w:r>
      <w:r>
        <w:t>4,14.15:</w:t>
      </w:r>
    </w:p>
    <w:p w:rsidR="00BB7EDA" w:rsidRDefault="007D72B3">
      <w:pPr>
        <w:pStyle w:val="Bodytext20"/>
        <w:shd w:val="clear" w:color="auto" w:fill="auto"/>
        <w:spacing w:before="0" w:after="180" w:line="226" w:lineRule="exact"/>
        <w:ind w:left="320" w:right="320"/>
      </w:pPr>
      <w:r>
        <w:t xml:space="preserve">„[14] Denn wenn ich in einer Sprache bete, so betet </w:t>
      </w:r>
      <w:r>
        <w:rPr>
          <w:rStyle w:val="Bodytext2Italic0"/>
        </w:rPr>
        <w:t xml:space="preserve">mein Geist, </w:t>
      </w:r>
      <w:r>
        <w:t xml:space="preserve">aber </w:t>
      </w:r>
      <w:r>
        <w:rPr>
          <w:rStyle w:val="Bodytext2Italic0"/>
        </w:rPr>
        <w:t>mein Verstand</w:t>
      </w:r>
      <w:r>
        <w:t xml:space="preserve"> ist fruchtleer. [15] Was ist es nun? Ich will beten mit </w:t>
      </w:r>
      <w:r>
        <w:rPr>
          <w:rStyle w:val="Bodytext2Italic0"/>
        </w:rPr>
        <w:t>dem Geist,</w:t>
      </w:r>
      <w:r>
        <w:t xml:space="preserve"> aber ich will auch beten mit </w:t>
      </w:r>
      <w:r>
        <w:rPr>
          <w:rStyle w:val="Bodytext2Italic0"/>
        </w:rPr>
        <w:t xml:space="preserve">dem Verstand; </w:t>
      </w:r>
      <w:r>
        <w:t xml:space="preserve">ich will lobsingen mit </w:t>
      </w:r>
      <w:r>
        <w:rPr>
          <w:rStyle w:val="Bodytext2Italic0"/>
        </w:rPr>
        <w:t>dem Geist,</w:t>
      </w:r>
      <w:r>
        <w:t xml:space="preserve"> aber ich will auch l</w:t>
      </w:r>
      <w:r>
        <w:t xml:space="preserve">obsingen mit </w:t>
      </w:r>
      <w:r>
        <w:rPr>
          <w:rStyle w:val="Bodytext2Italic0"/>
        </w:rPr>
        <w:t>dem Verstand."</w:t>
      </w:r>
    </w:p>
    <w:p w:rsidR="00BB7EDA" w:rsidRDefault="007D72B3">
      <w:pPr>
        <w:pStyle w:val="Bodytext100"/>
        <w:numPr>
          <w:ilvl w:val="0"/>
          <w:numId w:val="200"/>
        </w:numPr>
        <w:shd w:val="clear" w:color="auto" w:fill="auto"/>
        <w:tabs>
          <w:tab w:val="left" w:pos="846"/>
        </w:tabs>
        <w:spacing w:before="0"/>
        <w:ind w:firstLine="0"/>
      </w:pPr>
      <w:r>
        <w:t>Zum Bedeutungsfeld von „tious"</w:t>
      </w:r>
    </w:p>
    <w:p w:rsidR="00BB7EDA" w:rsidRDefault="007D72B3">
      <w:pPr>
        <w:pStyle w:val="Bodytext20"/>
        <w:shd w:val="clear" w:color="auto" w:fill="auto"/>
        <w:spacing w:before="0" w:after="180" w:line="226" w:lineRule="exact"/>
      </w:pPr>
      <w:r>
        <w:t xml:space="preserve">In dieser Stelle scheinen die Begriffe „Geist" </w:t>
      </w:r>
      <w:r>
        <w:rPr>
          <w:rStyle w:val="Bodytext2Italic0"/>
        </w:rPr>
        <w:t>(pneuma)</w:t>
      </w:r>
      <w:r>
        <w:t xml:space="preserve"> und „Ver</w:t>
      </w:r>
      <w:r>
        <w:softHyphen/>
        <w:t xml:space="preserve">stand" </w:t>
      </w:r>
      <w:r>
        <w:rPr>
          <w:rStyle w:val="Bodytext2Italic0"/>
        </w:rPr>
        <w:t>(nous)</w:t>
      </w:r>
      <w:r>
        <w:t xml:space="preserve"> Gegensätze zu sein. Dies überrascht, denn diese Kon</w:t>
      </w:r>
      <w:r>
        <w:softHyphen/>
        <w:t>zepte können doch eigentlich gar keine Gegensätze sein! „Verstand"</w:t>
      </w:r>
      <w:r>
        <w:t xml:space="preserve"> ist doch gerade eine Fähigkeit des Geistes (Ps 77,7). Deshalb fragen wir uns: Was kann mit </w:t>
      </w:r>
      <w:r>
        <w:rPr>
          <w:rStyle w:val="Bodytext2Italic0"/>
        </w:rPr>
        <w:t>nous</w:t>
      </w:r>
      <w:r>
        <w:t xml:space="preserve"> denn sonst noch alles ausgedrückt werden? Das Wortbedeutungsfeld von </w:t>
      </w:r>
      <w:r>
        <w:rPr>
          <w:rStyle w:val="Bodytext2Italic0"/>
        </w:rPr>
        <w:t>nous</w:t>
      </w:r>
      <w:r>
        <w:t xml:space="preserve"> ist sehr groß, folgende Bedeutungen seien daraus herausgegriffen: „Verstand", „Gesin</w:t>
      </w:r>
      <w:r>
        <w:softHyphen/>
      </w:r>
      <w:r>
        <w:t xml:space="preserve">nung", „Gemüt", „Absicht", „Zweck (bei Handlungen)", </w:t>
      </w:r>
      <w:r>
        <w:rPr>
          <w:rStyle w:val="Bodytext2Italic0"/>
        </w:rPr>
        <w:t>„Sinn", „Aussage", „Bedeutung (von Wörtern"</w:t>
      </w:r>
      <w:r>
        <w:t xml:space="preserve"> etc.).</w:t>
      </w:r>
      <w:r>
        <w:rPr>
          <w:vertAlign w:val="superscript"/>
        </w:rPr>
        <w:footnoteReference w:id="424"/>
      </w:r>
    </w:p>
    <w:p w:rsidR="00BB7EDA" w:rsidRDefault="007D72B3">
      <w:pPr>
        <w:pStyle w:val="Bodytext100"/>
        <w:numPr>
          <w:ilvl w:val="0"/>
          <w:numId w:val="200"/>
        </w:numPr>
        <w:shd w:val="clear" w:color="auto" w:fill="auto"/>
        <w:tabs>
          <w:tab w:val="left" w:pos="850"/>
        </w:tabs>
        <w:spacing w:before="0"/>
        <w:ind w:firstLine="0"/>
      </w:pPr>
      <w:r>
        <w:t>Was bedeutet „fruchtleer"?</w:t>
      </w:r>
    </w:p>
    <w:p w:rsidR="00BB7EDA" w:rsidRDefault="007D72B3">
      <w:pPr>
        <w:pStyle w:val="Bodytext20"/>
        <w:shd w:val="clear" w:color="auto" w:fill="auto"/>
        <w:spacing w:before="0" w:line="226" w:lineRule="exact"/>
      </w:pPr>
      <w:r>
        <w:t>Nun stellt sich die Frage: Was bedeutet „fruchtleer" in IKor 14,14? Die Antwort ergibt sich aus dem Kontext und dem gesamten</w:t>
      </w:r>
      <w:r>
        <w:t xml:space="preserve"> Gedankenverlauf des Kapitels: „Keine Frucht bringen für andere." Man beachte, wie oft in diesem ganzen Abschnitt über den </w:t>
      </w:r>
      <w:r>
        <w:rPr>
          <w:rStyle w:val="Bodytext2Italic0"/>
        </w:rPr>
        <w:t xml:space="preserve">anderen </w:t>
      </w:r>
      <w:r>
        <w:t xml:space="preserve">bzw. die </w:t>
      </w:r>
      <w:r>
        <w:rPr>
          <w:rStyle w:val="Bodytext2Italic0"/>
        </w:rPr>
        <w:t>anderen</w:t>
      </w:r>
      <w:r>
        <w:t xml:space="preserve"> gesprochen wird. Die Zielrichtung in IKor 14 ist im gesamten Textverlauf diese: Wer eine geistliche Gabe bes</w:t>
      </w:r>
      <w:r>
        <w:t>itzt, soll sie zur Auferbauung anderer einsetzen. Es ist darauf zu achten, dass das Kommunizierte, das Mitgeteilte, zum Nutzen anderer dient (vgl. IKor 14,12). Es reicht nicht, dass man sich selbst weiterbringt und nur selber versteht, was man ausspricht (</w:t>
      </w:r>
      <w:r>
        <w:t>IKor 14,4).</w:t>
      </w:r>
    </w:p>
    <w:p w:rsidR="00BB7EDA" w:rsidRDefault="007D72B3">
      <w:pPr>
        <w:pStyle w:val="Bodytext100"/>
        <w:numPr>
          <w:ilvl w:val="0"/>
          <w:numId w:val="200"/>
        </w:numPr>
        <w:shd w:val="clear" w:color="auto" w:fill="auto"/>
        <w:tabs>
          <w:tab w:val="left" w:pos="841"/>
        </w:tabs>
        <w:spacing w:before="0"/>
        <w:ind w:firstLine="0"/>
      </w:pPr>
      <w:r>
        <w:t>Übersetzung von IKor 14,14-15</w:t>
      </w:r>
    </w:p>
    <w:p w:rsidR="00BB7EDA" w:rsidRDefault="007D72B3">
      <w:pPr>
        <w:pStyle w:val="Bodytext20"/>
        <w:shd w:val="clear" w:color="auto" w:fill="auto"/>
        <w:spacing w:before="0" w:line="226" w:lineRule="exact"/>
      </w:pPr>
      <w:r>
        <w:t>Des Paulus' Aussage in IKor 14,14-15 ist somit dieserart zu um</w:t>
      </w:r>
      <w:r>
        <w:softHyphen/>
        <w:t xml:space="preserve">schreiben: Ich will mich zwar in Fremdsprachen ausdrücken, jedoch möchte ich auch, dass andere mich dabei verstehen. Das Wort </w:t>
      </w:r>
      <w:r>
        <w:rPr>
          <w:rStyle w:val="Bodytext2Italic0"/>
        </w:rPr>
        <w:t xml:space="preserve">nous </w:t>
      </w:r>
      <w:r>
        <w:t xml:space="preserve">bedeutet daher in </w:t>
      </w:r>
      <w:r>
        <w:t>unserem Kontext: „Bedeutung", „Sinn" oder „Aus</w:t>
      </w:r>
      <w:r>
        <w:softHyphen/>
        <w:t>sagekraft des durch Fremdsprachen Ausgesagten."</w:t>
      </w:r>
    </w:p>
    <w:p w:rsidR="00BB7EDA" w:rsidRDefault="007D72B3">
      <w:pPr>
        <w:pStyle w:val="Bodytext20"/>
        <w:shd w:val="clear" w:color="auto" w:fill="auto"/>
        <w:spacing w:before="0" w:after="116" w:line="226" w:lineRule="exact"/>
        <w:ind w:left="320"/>
      </w:pPr>
      <w:r>
        <w:t>Ich übersetze daher IKor 14,14-15.19 wie folgt:</w:t>
      </w:r>
    </w:p>
    <w:p w:rsidR="00BB7EDA" w:rsidRDefault="007D72B3">
      <w:pPr>
        <w:pStyle w:val="Bodytext20"/>
        <w:shd w:val="clear" w:color="auto" w:fill="auto"/>
        <w:spacing w:before="0" w:after="228"/>
        <w:ind w:left="320" w:right="320"/>
      </w:pPr>
      <w:r>
        <w:t xml:space="preserve">„[14] Denn wenn ich in einer Fremdsprache bete, so betet </w:t>
      </w:r>
      <w:r>
        <w:rPr>
          <w:rStyle w:val="Bodytext2Italic0"/>
        </w:rPr>
        <w:t>mein Geist,</w:t>
      </w:r>
      <w:r>
        <w:t xml:space="preserve"> aber </w:t>
      </w:r>
      <w:r>
        <w:rPr>
          <w:rStyle w:val="Bodytext2Italic0"/>
        </w:rPr>
        <w:t>meine Aussage</w:t>
      </w:r>
      <w:r>
        <w:rPr>
          <w:rStyle w:val="Bodytext2Italic0"/>
          <w:vertAlign w:val="superscript"/>
        </w:rPr>
        <w:t>5</w:t>
      </w:r>
      <w:r>
        <w:rPr>
          <w:rStyle w:val="Bodytext2Italic0"/>
        </w:rPr>
        <w:t>"</w:t>
      </w:r>
      <w:r>
        <w:t xml:space="preserve"> ist [dabei] fruchtleer </w:t>
      </w:r>
      <w:r>
        <w:t>[für die Zuhö</w:t>
      </w:r>
      <w:r>
        <w:softHyphen/>
        <w:t xml:space="preserve">rer], [15] Was ist es nun? Ich will beten mit </w:t>
      </w:r>
      <w:r>
        <w:rPr>
          <w:rStyle w:val="Bodytext2Italic0"/>
        </w:rPr>
        <w:t>dem Geist,</w:t>
      </w:r>
      <w:r>
        <w:t xml:space="preserve"> aber ich will auch beten mit </w:t>
      </w:r>
      <w:r>
        <w:rPr>
          <w:rStyle w:val="Bodytext2Italic0"/>
        </w:rPr>
        <w:t>Aussagekraft;</w:t>
      </w:r>
      <w:r>
        <w:t xml:space="preserve"> ich will lobsingen mit </w:t>
      </w:r>
      <w:r>
        <w:rPr>
          <w:rStyle w:val="Bodytext2Italic0"/>
        </w:rPr>
        <w:t>dem Geist,</w:t>
      </w:r>
      <w:r>
        <w:t xml:space="preserve"> aber ich will auch lobsingen mit </w:t>
      </w:r>
      <w:r>
        <w:rPr>
          <w:rStyle w:val="Bodytext2Italic0"/>
        </w:rPr>
        <w:t>Aussagekraft.</w:t>
      </w:r>
      <w:r>
        <w:t xml:space="preserve"> ...[19] Aber in der Gemeindezusammenkunft will ich lieber fün</w:t>
      </w:r>
      <w:r>
        <w:t xml:space="preserve">f Worte reden mit </w:t>
      </w:r>
      <w:r>
        <w:rPr>
          <w:rStyle w:val="Bodytext2Italic0"/>
        </w:rPr>
        <w:t>Aussagekraft,</w:t>
      </w:r>
      <w:r>
        <w:t xml:space="preserve"> damit ich auch andere unter</w:t>
      </w:r>
      <w:r>
        <w:softHyphen/>
        <w:t>weise, als zehntausend Worte in einer Fremdsprache."</w:t>
      </w:r>
    </w:p>
    <w:p w:rsidR="00BB7EDA" w:rsidRDefault="007D72B3">
      <w:pPr>
        <w:pStyle w:val="Bodytext100"/>
        <w:numPr>
          <w:ilvl w:val="0"/>
          <w:numId w:val="200"/>
        </w:numPr>
        <w:shd w:val="clear" w:color="auto" w:fill="auto"/>
        <w:tabs>
          <w:tab w:val="left" w:pos="841"/>
        </w:tabs>
        <w:spacing w:before="0" w:after="40" w:line="170" w:lineRule="exact"/>
        <w:ind w:firstLine="0"/>
      </w:pPr>
      <w:r>
        <w:t>Zur Opposition zwischen „nous" und „phren"</w:t>
      </w:r>
    </w:p>
    <w:p w:rsidR="00BB7EDA" w:rsidRDefault="007D72B3">
      <w:pPr>
        <w:pStyle w:val="Bodytext20"/>
        <w:shd w:val="clear" w:color="auto" w:fill="auto"/>
        <w:spacing w:before="0" w:after="120" w:line="226" w:lineRule="exact"/>
      </w:pPr>
      <w:r>
        <w:t xml:space="preserve">Wenn es in IKor 14 eindeutig um intellektuelle Verstandeskraft geht, benützte Paulus auffälligerweise nicht </w:t>
      </w:r>
      <w:r>
        <w:rPr>
          <w:rStyle w:val="Bodytext2Italic0"/>
        </w:rPr>
        <w:t>nous,</w:t>
      </w:r>
      <w:r>
        <w:t xml:space="preserve"> sondern ein ande</w:t>
      </w:r>
      <w:r>
        <w:softHyphen/>
        <w:t>res, seltenes Wort, das nur hier vorkommt.</w:t>
      </w:r>
      <w:r>
        <w:rPr>
          <w:vertAlign w:val="superscript"/>
        </w:rPr>
        <w:t>512</w:t>
      </w:r>
      <w:r>
        <w:t xml:space="preserve"> Durch diese </w:t>
      </w:r>
      <w:r>
        <w:rPr>
          <w:rStyle w:val="Bodytext2Italic0"/>
        </w:rPr>
        <w:t>semantische Opposition,</w:t>
      </w:r>
      <w:r>
        <w:t xml:space="preserve"> wie man dies in der Linguistik nennt, entst</w:t>
      </w:r>
      <w:r>
        <w:t>eht eine deutliche, Missverständnisse verhütende Begriffsunterscheidung im Kontext. Dadurch wird die Verständlichkeit der Aussage erhöht. Diese Opposition kommt beim Übergang von IKor 14,19 zu 14,20 wirkungsvoll zum Tragen:</w:t>
      </w:r>
    </w:p>
    <w:p w:rsidR="00BB7EDA" w:rsidRDefault="007D72B3">
      <w:pPr>
        <w:pStyle w:val="Bodytext20"/>
        <w:shd w:val="clear" w:color="auto" w:fill="auto"/>
        <w:spacing w:before="0" w:after="120" w:line="226" w:lineRule="exact"/>
        <w:ind w:left="320" w:right="320"/>
      </w:pPr>
      <w:r>
        <w:t>„[19] Aber in der Gemeindezusamm</w:t>
      </w:r>
      <w:r>
        <w:t xml:space="preserve">enkunft will ich lieber fünf Worte reden mit </w:t>
      </w:r>
      <w:r>
        <w:rPr>
          <w:rStyle w:val="Bodytext2Italic0"/>
        </w:rPr>
        <w:t>Aussagekraft [= nous],</w:t>
      </w:r>
      <w:r>
        <w:t xml:space="preserve"> damit ich auch andere unterweise, als zehntausend Worte in einer Fremd</w:t>
      </w:r>
      <w:r>
        <w:softHyphen/>
        <w:t xml:space="preserve">sprache. [20] Brüder, werdet nicht Kinder am </w:t>
      </w:r>
      <w:r>
        <w:rPr>
          <w:rStyle w:val="Bodytext2Italic0"/>
        </w:rPr>
        <w:t>Verstand [= phren],</w:t>
      </w:r>
      <w:r>
        <w:t xml:space="preserve"> sondern an der Bosheit seid Unmündige,</w:t>
      </w:r>
      <w:r>
        <w:rPr>
          <w:vertAlign w:val="superscript"/>
        </w:rPr>
        <w:t>513</w:t>
      </w:r>
      <w:r>
        <w:t xml:space="preserve"> am </w:t>
      </w:r>
      <w:r>
        <w:rPr>
          <w:rStyle w:val="Bodytext2Italic0"/>
        </w:rPr>
        <w:t>Ver</w:t>
      </w:r>
      <w:r>
        <w:rPr>
          <w:rStyle w:val="Bodytext2Italic0"/>
        </w:rPr>
        <w:softHyphen/>
        <w:t>sta</w:t>
      </w:r>
      <w:r>
        <w:rPr>
          <w:rStyle w:val="Bodytext2Italic0"/>
        </w:rPr>
        <w:t>nd [= phren]</w:t>
      </w:r>
      <w:r>
        <w:t xml:space="preserve"> aber werdet Erwachsene."</w:t>
      </w:r>
    </w:p>
    <w:p w:rsidR="00BB7EDA" w:rsidRDefault="007D72B3">
      <w:pPr>
        <w:pStyle w:val="Bodytext20"/>
        <w:shd w:val="clear" w:color="auto" w:fill="auto"/>
        <w:spacing w:before="0" w:after="211" w:line="226" w:lineRule="exact"/>
        <w:jc w:val="right"/>
      </w:pPr>
      <w:r>
        <w:t>Die Bedeutung des Verstandes wird hier betont: Christen sollen den Verstand niemals ausschalten. Sie sollen am Verstand „Erwach-</w:t>
      </w:r>
    </w:p>
    <w:p w:rsidR="00BB7EDA" w:rsidRDefault="007D72B3">
      <w:pPr>
        <w:pStyle w:val="Bodytext60"/>
        <w:numPr>
          <w:ilvl w:val="0"/>
          <w:numId w:val="201"/>
        </w:numPr>
        <w:shd w:val="clear" w:color="auto" w:fill="auto"/>
        <w:tabs>
          <w:tab w:val="left" w:pos="298"/>
        </w:tabs>
        <w:spacing w:line="187" w:lineRule="exact"/>
        <w:ind w:left="320" w:hanging="320"/>
      </w:pPr>
      <w:r>
        <w:t xml:space="preserve">Griech. </w:t>
      </w:r>
      <w:r>
        <w:rPr>
          <w:rStyle w:val="Bodytext675ptItalic"/>
        </w:rPr>
        <w:t>nous mou =</w:t>
      </w:r>
      <w:r>
        <w:t xml:space="preserve"> w. </w:t>
      </w:r>
      <w:r>
        <w:rPr>
          <w:rStyle w:val="Bodytext675ptItalic"/>
        </w:rPr>
        <w:t>„der Sinn/die Aussage von mir</w:t>
      </w:r>
      <w:r>
        <w:t xml:space="preserve"> (d.h. der Gehalt dessen, was ich aussage)".</w:t>
      </w:r>
    </w:p>
    <w:p w:rsidR="00BB7EDA" w:rsidRDefault="007D72B3">
      <w:pPr>
        <w:pStyle w:val="Bodytext60"/>
        <w:numPr>
          <w:ilvl w:val="0"/>
          <w:numId w:val="201"/>
        </w:numPr>
        <w:shd w:val="clear" w:color="auto" w:fill="auto"/>
        <w:tabs>
          <w:tab w:val="left" w:pos="303"/>
        </w:tabs>
        <w:spacing w:line="187" w:lineRule="exact"/>
        <w:ind w:left="320" w:hanging="320"/>
      </w:pPr>
      <w:r>
        <w:t xml:space="preserve">Das in IKor 14,20 2x vorkommende Wort </w:t>
      </w:r>
      <w:r>
        <w:rPr>
          <w:rStyle w:val="Bodytext675ptItalic"/>
        </w:rPr>
        <w:t>phren</w:t>
      </w:r>
      <w:r>
        <w:t xml:space="preserve"> bedeutet „Verstand" und „Denken".</w:t>
      </w:r>
    </w:p>
    <w:p w:rsidR="00BB7EDA" w:rsidRDefault="007D72B3">
      <w:pPr>
        <w:pStyle w:val="Bodytext60"/>
        <w:numPr>
          <w:ilvl w:val="0"/>
          <w:numId w:val="201"/>
        </w:numPr>
        <w:shd w:val="clear" w:color="auto" w:fill="auto"/>
        <w:tabs>
          <w:tab w:val="left" w:pos="308"/>
        </w:tabs>
        <w:spacing w:line="187" w:lineRule="exact"/>
        <w:ind w:left="320" w:hanging="320"/>
      </w:pPr>
      <w:r>
        <w:t>Wenn es darum geht, Böses zu tun, sollen Christen darin unreif, unfähig und zurückgeblieben sein.</w:t>
      </w:r>
    </w:p>
    <w:p w:rsidR="00BB7EDA" w:rsidRDefault="007D72B3">
      <w:pPr>
        <w:pStyle w:val="Bodytext20"/>
        <w:shd w:val="clear" w:color="auto" w:fill="auto"/>
        <w:spacing w:before="0" w:line="226" w:lineRule="exact"/>
      </w:pPr>
      <w:r>
        <w:t>sene" sein. Wenn man an dieser Stel</w:t>
      </w:r>
      <w:r>
        <w:t>le bedenkt, dass das mit „Er</w:t>
      </w:r>
      <w:r>
        <w:softHyphen/>
        <w:t xml:space="preserve">wachsene" übersetzte griechische Wort </w:t>
      </w:r>
      <w:r>
        <w:rPr>
          <w:rStyle w:val="Bodytext2Italic0"/>
        </w:rPr>
        <w:t>teleioi</w:t>
      </w:r>
      <w:r>
        <w:t xml:space="preserve"> die Nebenbedeutung „Vollkommene" besitzt, so wird die Aussage weiter zugespitzt. Christen sollen den Verstand vollausgebildet einsetzen. Gerade da</w:t>
      </w:r>
      <w:r>
        <w:softHyphen/>
        <w:t>durch vermögen sie u.a. einzusehen</w:t>
      </w:r>
      <w:r>
        <w:t>, dass das Reden in Fremdspra</w:t>
      </w:r>
      <w:r>
        <w:softHyphen/>
        <w:t>chen ohne Übersetzung völlig sinnlos ist, da die rein klangliche Seite der Sprachen den Hörenden nichts bringt und mit Kommunikation, dem Hauptsinn der Sprachen, nichts zu tun hat.</w:t>
      </w:r>
    </w:p>
    <w:p w:rsidR="00BB7EDA" w:rsidRDefault="007D72B3">
      <w:pPr>
        <w:pStyle w:val="Bodytext20"/>
        <w:shd w:val="clear" w:color="auto" w:fill="auto"/>
        <w:spacing w:before="0" w:after="457" w:line="226" w:lineRule="exact"/>
        <w:ind w:firstLine="320"/>
      </w:pPr>
      <w:r>
        <w:t xml:space="preserve">In manchen Religionen hat das Rezitieren von </w:t>
      </w:r>
      <w:r>
        <w:t>unverständlichen Wörtern, Sätzen und Texten eine ausgesprochen wichtige Bedeu</w:t>
      </w:r>
      <w:r>
        <w:softHyphen/>
        <w:t>tung. Man denke z.B. an die Mantras</w:t>
      </w:r>
      <w:r>
        <w:rPr>
          <w:vertAlign w:val="superscript"/>
        </w:rPr>
        <w:footnoteReference w:id="425"/>
      </w:r>
      <w:r>
        <w:t xml:space="preserve"> und die vedischen Opfer</w:t>
      </w:r>
      <w:r>
        <w:softHyphen/>
        <w:t>texte im Hinduismus sowie an das Koran-Rezitieren in der Grund text- sprache bei Muslimen, die kein Arabisch könnend</w:t>
      </w:r>
      <w:r>
        <w:rPr>
          <w:vertAlign w:val="superscript"/>
        </w:rPr>
        <w:footnoteReference w:id="426"/>
      </w:r>
      <w:r>
        <w:t xml:space="preserve"> Da wird dem Wort magische Bedeutung zugeschrieben. Das biblische Christen</w:t>
      </w:r>
      <w:r>
        <w:softHyphen/>
        <w:t>tum distanziert sich jedoch völlig von aller Art der Magie, und damit auch von der Wortmagie.</w:t>
      </w:r>
      <w:r>
        <w:rPr>
          <w:vertAlign w:val="superscript"/>
        </w:rPr>
        <w:footnoteReference w:id="427"/>
      </w:r>
    </w:p>
    <w:p w:rsidR="00BB7EDA" w:rsidRDefault="007D72B3">
      <w:pPr>
        <w:pStyle w:val="Heading50"/>
        <w:keepNext/>
        <w:keepLines/>
        <w:numPr>
          <w:ilvl w:val="0"/>
          <w:numId w:val="195"/>
        </w:numPr>
        <w:shd w:val="clear" w:color="auto" w:fill="auto"/>
        <w:tabs>
          <w:tab w:val="left" w:pos="678"/>
        </w:tabs>
        <w:spacing w:after="223" w:line="180" w:lineRule="exact"/>
      </w:pPr>
      <w:bookmarkStart w:id="148" w:name="bookmark147"/>
      <w:r>
        <w:t>Quellen falscher Sprachenrede</w:t>
      </w:r>
      <w:bookmarkEnd w:id="148"/>
    </w:p>
    <w:p w:rsidR="00BB7EDA" w:rsidRDefault="007D72B3">
      <w:pPr>
        <w:pStyle w:val="Bodytext20"/>
        <w:shd w:val="clear" w:color="auto" w:fill="auto"/>
        <w:spacing w:before="0" w:line="226" w:lineRule="exact"/>
      </w:pPr>
      <w:r>
        <w:t>Wir haben gesehen, dass es sich beim biblischen Sprachen</w:t>
      </w:r>
      <w:r>
        <w:t>reden um die Beherrschung von Fremdsprachen handelt, die man vorher nie gelernt hat. Dies hebt sich markant von allem Lallen des Zungen</w:t>
      </w:r>
      <w:r>
        <w:softHyphen/>
        <w:t>redens, der so genannten „Glossolalie", ab, wo die Redenden sich der Passivität hingeben und wo sie ihre Laute nicht ein</w:t>
      </w:r>
      <w:r>
        <w:t>mal verste</w:t>
      </w:r>
      <w:r>
        <w:softHyphen/>
        <w:t>hen. Diese Art von Zungenreden findet man übrigens in mysti</w:t>
      </w:r>
      <w:r>
        <w:softHyphen/>
        <w:t>schen Praktiken verschiedenster Kulte, so z.B. im Hinduismus, Spiritismus und in den alten Mysterienkulten etc.</w:t>
      </w:r>
      <w:r>
        <w:rPr>
          <w:vertAlign w:val="superscript"/>
        </w:rPr>
        <w:footnoteReference w:id="428"/>
      </w:r>
      <w:r>
        <w:t xml:space="preserve"> Auch im Scha</w:t>
      </w:r>
      <w:r>
        <w:softHyphen/>
        <w:t xml:space="preserve">manismus, d.h. in animistischen Stammesreligionen, ist das </w:t>
      </w:r>
      <w:r>
        <w:t>Zungen</w:t>
      </w:r>
      <w:r>
        <w:softHyphen/>
        <w:t>reden ein bekanntes Phänomen, das eingesetzt wird, um Besessen</w:t>
      </w:r>
      <w:r>
        <w:softHyphen/>
        <w:t>heit, d.h. Machtergreifung durch einen Geist, auszulösen.</w:t>
      </w:r>
      <w:r>
        <w:rPr>
          <w:vertAlign w:val="superscript"/>
        </w:rPr>
        <w:footnoteReference w:id="429"/>
      </w:r>
      <w:r>
        <w:t xml:space="preserve"> Ferner kann es sich dort auch als Folgeerscheinung von Besessenheit einstellen,</w:t>
      </w:r>
      <w:r>
        <w:rPr>
          <w:vertAlign w:val="superscript"/>
        </w:rPr>
        <w:footnoteReference w:id="430"/>
      </w:r>
      <w:r>
        <w:t xml:space="preserve"> nebst Zittern, Zucken, Umfallen, Tierstimmen v</w:t>
      </w:r>
      <w:r>
        <w:t>on sich geben und unkontrolliert lachen etc.</w:t>
      </w:r>
      <w:r>
        <w:rPr>
          <w:vertAlign w:val="superscript"/>
        </w:rPr>
        <w:footnoteReference w:id="431"/>
      </w:r>
    </w:p>
    <w:p w:rsidR="00BB7EDA" w:rsidRDefault="007D72B3">
      <w:pPr>
        <w:pStyle w:val="Bodytext20"/>
        <w:shd w:val="clear" w:color="auto" w:fill="auto"/>
        <w:spacing w:before="0" w:after="176" w:line="226" w:lineRule="exact"/>
        <w:ind w:firstLine="340"/>
      </w:pPr>
      <w:r>
        <w:t>Aus welchen Quellen kann die „Glossolalie" in christlichem Umfeld entspringen? Es kommen verschiedene Möglichkeiten in Frage:</w:t>
      </w:r>
    </w:p>
    <w:p w:rsidR="00BB7EDA" w:rsidRDefault="007D72B3">
      <w:pPr>
        <w:pStyle w:val="Bodytext20"/>
        <w:numPr>
          <w:ilvl w:val="0"/>
          <w:numId w:val="202"/>
        </w:numPr>
        <w:shd w:val="clear" w:color="auto" w:fill="auto"/>
        <w:tabs>
          <w:tab w:val="left" w:pos="291"/>
        </w:tabs>
        <w:spacing w:before="0"/>
        <w:ind w:left="340" w:hanging="340"/>
      </w:pPr>
      <w:r>
        <w:t>Es kann sich um ein selbst produziertes Lallen oder Stammeln handeln.</w:t>
      </w:r>
      <w:r>
        <w:rPr>
          <w:vertAlign w:val="superscript"/>
        </w:rPr>
        <w:footnoteReference w:id="432"/>
      </w:r>
    </w:p>
    <w:p w:rsidR="00BB7EDA" w:rsidRDefault="007D72B3">
      <w:pPr>
        <w:pStyle w:val="Bodytext20"/>
        <w:numPr>
          <w:ilvl w:val="0"/>
          <w:numId w:val="202"/>
        </w:numPr>
        <w:shd w:val="clear" w:color="auto" w:fill="auto"/>
        <w:tabs>
          <w:tab w:val="left" w:pos="294"/>
        </w:tabs>
        <w:spacing w:before="0"/>
        <w:ind w:left="340" w:hanging="340"/>
      </w:pPr>
      <w:r>
        <w:t xml:space="preserve">Die </w:t>
      </w:r>
      <w:r>
        <w:t>Glossolalie kann aus bestimmten seelischen Zuständen her</w:t>
      </w:r>
      <w:r>
        <w:softHyphen/>
        <w:t>aus entstehen. Sie ist ein in der Psychiatrie bekanntes Phänomen, das z.B. aus seelischer Überspanntheit heraus erklärbar sein kann.</w:t>
      </w:r>
      <w:r>
        <w:rPr>
          <w:vertAlign w:val="superscript"/>
        </w:rPr>
        <w:footnoteReference w:id="433"/>
      </w:r>
    </w:p>
    <w:p w:rsidR="00BB7EDA" w:rsidRDefault="007D72B3">
      <w:pPr>
        <w:pStyle w:val="Bodytext20"/>
        <w:numPr>
          <w:ilvl w:val="0"/>
          <w:numId w:val="202"/>
        </w:numPr>
        <w:shd w:val="clear" w:color="auto" w:fill="auto"/>
        <w:tabs>
          <w:tab w:val="left" w:pos="294"/>
        </w:tabs>
        <w:spacing w:before="0" w:after="176" w:line="226" w:lineRule="exact"/>
        <w:ind w:left="340" w:hanging="340"/>
      </w:pPr>
      <w:r>
        <w:t>Zungenreden kann auch dämonischen Ursprungs sein. Ein deut</w:t>
      </w:r>
      <w:r>
        <w:softHyphen/>
        <w:t>liches</w:t>
      </w:r>
      <w:r>
        <w:t xml:space="preserve"> „christliches" Beispiel aus der Zeit der Camisarden mag dies ein wenig verdeutlichen:</w:t>
      </w:r>
      <w:r>
        <w:rPr>
          <w:vertAlign w:val="superscript"/>
        </w:rPr>
        <w:footnoteReference w:id="434"/>
      </w:r>
      <w:r>
        <w:t xml:space="preserve"> Ein Mädchen aus sozial einfach</w:t>
      </w:r>
      <w:r>
        <w:softHyphen/>
        <w:t>stem Umfeld pflegte damals im Trancezustand Hochfranzösisch zu sprechen.</w:t>
      </w:r>
      <w:r>
        <w:rPr>
          <w:vertAlign w:val="superscript"/>
        </w:rPr>
        <w:footnoteReference w:id="435"/>
      </w:r>
      <w:r>
        <w:t xml:space="preserve"> Diese Sprache konnte sie im Wachzustand nicht sprechen. In ihre</w:t>
      </w:r>
      <w:r>
        <w:t>n Botschaften forderte sie die Camisarden zu Mord auf.</w:t>
      </w:r>
      <w:r>
        <w:rPr>
          <w:vertAlign w:val="superscript"/>
        </w:rPr>
        <w:footnoteReference w:id="436"/>
      </w:r>
    </w:p>
    <w:p w:rsidR="00BB7EDA" w:rsidRDefault="007D72B3">
      <w:pPr>
        <w:pStyle w:val="Bodytext20"/>
        <w:shd w:val="clear" w:color="auto" w:fill="auto"/>
        <w:spacing w:before="0" w:after="460"/>
        <w:ind w:firstLine="340"/>
      </w:pPr>
      <w:r>
        <w:t xml:space="preserve">Es stellt sich in diesem Zusammenhang die Frage, ob bei echten Christen prinzipiell mit dämonischem Einfluss gerechnet werden kann. Aufgrund verschiedener Hinweise aus dem NT muss man dies leider mit </w:t>
      </w:r>
      <w:r>
        <w:t>Ja beantworten.</w:t>
      </w:r>
      <w:r>
        <w:rPr>
          <w:vertAlign w:val="superscript"/>
        </w:rPr>
        <w:footnoteReference w:id="437"/>
      </w:r>
    </w:p>
    <w:p w:rsidR="00BB7EDA" w:rsidRDefault="007D72B3">
      <w:pPr>
        <w:pStyle w:val="Bodytext90"/>
        <w:numPr>
          <w:ilvl w:val="0"/>
          <w:numId w:val="195"/>
        </w:numPr>
        <w:shd w:val="clear" w:color="auto" w:fill="auto"/>
        <w:tabs>
          <w:tab w:val="left" w:pos="697"/>
        </w:tabs>
        <w:spacing w:after="219" w:line="180" w:lineRule="exact"/>
      </w:pPr>
      <w:r>
        <w:t>Sprachenrede wozu?</w:t>
      </w:r>
    </w:p>
    <w:p w:rsidR="00BB7EDA" w:rsidRDefault="007D72B3">
      <w:pPr>
        <w:pStyle w:val="Bodytext100"/>
        <w:numPr>
          <w:ilvl w:val="0"/>
          <w:numId w:val="203"/>
        </w:numPr>
        <w:shd w:val="clear" w:color="auto" w:fill="auto"/>
        <w:tabs>
          <w:tab w:val="left" w:pos="841"/>
        </w:tabs>
        <w:spacing w:before="0" w:line="230" w:lineRule="exact"/>
        <w:ind w:firstLine="0"/>
      </w:pPr>
      <w:r>
        <w:t>Ein Zeichen für Israel</w:t>
      </w:r>
    </w:p>
    <w:p w:rsidR="00BB7EDA" w:rsidRDefault="007D72B3">
      <w:pPr>
        <w:pStyle w:val="Bodytext20"/>
        <w:shd w:val="clear" w:color="auto" w:fill="auto"/>
        <w:spacing w:before="0"/>
      </w:pPr>
      <w:r>
        <w:t>Wie schon weiter oben ausgeführt, bestand der erste Sinn des Sprachenredens in einem zeichenhaften Hinweis für den ungläubi</w:t>
      </w:r>
      <w:r>
        <w:softHyphen/>
        <w:t>gen Teil des Volkes Israel, der Mühe hatte, zu akzeptieren, dass in dem Z</w:t>
      </w:r>
      <w:r>
        <w:t>eitalter der Weltmission, das gewissermaßen mit Pfingsten 32 n. Chr. begonnen hatte, Nicht-Juden durch reuiges Sündenbekennt</w:t>
      </w:r>
      <w:r>
        <w:softHyphen/>
        <w:t>nis und Glaube an den Messias Jesus, ohne den Weg über das Judentum zu gehen, direkt mit Gott ins Reine kommen könnten.</w:t>
      </w:r>
    </w:p>
    <w:p w:rsidR="00BB7EDA" w:rsidRDefault="007D72B3">
      <w:pPr>
        <w:pStyle w:val="Bodytext20"/>
        <w:shd w:val="clear" w:color="auto" w:fill="auto"/>
        <w:spacing w:before="0" w:after="184"/>
        <w:ind w:firstLine="320"/>
      </w:pPr>
      <w:r>
        <w:t xml:space="preserve">In IKor </w:t>
      </w:r>
      <w:r>
        <w:t>14,21-22 erklärte Paulus die Zeichenbedeutung des Sprachenredens, indem er auf eine diesbezügliche prophetische Stelle aus dem Buch Jesaja hinwies:</w:t>
      </w:r>
    </w:p>
    <w:p w:rsidR="00BB7EDA" w:rsidRDefault="007D72B3">
      <w:pPr>
        <w:pStyle w:val="Bodytext20"/>
        <w:shd w:val="clear" w:color="auto" w:fill="auto"/>
        <w:spacing w:before="0" w:after="180" w:line="226" w:lineRule="exact"/>
        <w:ind w:left="320" w:right="320"/>
      </w:pPr>
      <w:r>
        <w:t>„[21] Es steht in dem Gesetz</w:t>
      </w:r>
      <w:r>
        <w:rPr>
          <w:vertAlign w:val="superscript"/>
        </w:rPr>
        <w:footnoteReference w:id="438"/>
      </w:r>
      <w:r>
        <w:t xml:space="preserve"> geschrieben [Jes 28,11-12]: ,Ich will in anderen Sprachen und durch andere Lip</w:t>
      </w:r>
      <w:r>
        <w:t>pen zu diesem Volk</w:t>
      </w:r>
      <w:r>
        <w:rPr>
          <w:vertAlign w:val="superscript"/>
        </w:rPr>
        <w:footnoteReference w:id="439"/>
      </w:r>
      <w:r>
        <w:t xml:space="preserve"> reden, und auch also werden sie nicht auf mich hören, spricht der Herr.' [22] Daher sind die Sprachen zu einem Zeichen, nicht den Glaubenden, sondern den Ungläubigen; die Weissagung aber nicht den Ungläubigen, sondern den Glaubenden."</w:t>
      </w:r>
    </w:p>
    <w:p w:rsidR="00BB7EDA" w:rsidRDefault="007D72B3">
      <w:pPr>
        <w:pStyle w:val="Bodytext100"/>
        <w:numPr>
          <w:ilvl w:val="0"/>
          <w:numId w:val="203"/>
        </w:numPr>
        <w:shd w:val="clear" w:color="auto" w:fill="auto"/>
        <w:tabs>
          <w:tab w:val="left" w:pos="846"/>
        </w:tabs>
        <w:spacing w:before="0"/>
        <w:ind w:firstLine="0"/>
      </w:pPr>
      <w:r>
        <w:t>G</w:t>
      </w:r>
      <w:r>
        <w:t>ott spricht zu allen Völkern</w:t>
      </w:r>
    </w:p>
    <w:p w:rsidR="00BB7EDA" w:rsidRDefault="007D72B3">
      <w:pPr>
        <w:pStyle w:val="Bodytext20"/>
        <w:shd w:val="clear" w:color="auto" w:fill="auto"/>
        <w:spacing w:before="0" w:after="120" w:line="226" w:lineRule="exact"/>
      </w:pPr>
      <w:r>
        <w:t>Das Zeichen der übernatürlichen Sprachenrede symbolisierte die damals für Juden unheimlich schwer fassbare Tatsache, dass Gott sich nun nicht mehr nur einem einzigen Volk in besonderer Weise mitteilen würde. Die Botschaft von d</w:t>
      </w:r>
      <w:r>
        <w:t>em Erlöser Jesus Christus sollte allen Völkern in ihrer Sprache gebracht werden, ganz gemäß dem göttlichen Auftrag des Messias in Jes 49,6:</w:t>
      </w:r>
    </w:p>
    <w:p w:rsidR="00BB7EDA" w:rsidRDefault="007D72B3">
      <w:pPr>
        <w:pStyle w:val="Bodytext20"/>
        <w:shd w:val="clear" w:color="auto" w:fill="auto"/>
        <w:spacing w:before="0" w:after="236" w:line="226" w:lineRule="exact"/>
        <w:ind w:left="320" w:right="340"/>
      </w:pPr>
      <w:r>
        <w:t>„Es ist zu gering, dass du mein Knecht seist, um die Stämme Jakobs aufzurichten und die Bewahrten von Israel zurückz</w:t>
      </w:r>
      <w:r>
        <w:t>u</w:t>
      </w:r>
      <w:r>
        <w:softHyphen/>
        <w:t>bringen; ich habe dich auch zum Licht der Nationen gesetzt, um mein Heil zu sein bis an das Ende der Erde."</w:t>
      </w:r>
    </w:p>
    <w:p w:rsidR="00BB7EDA" w:rsidRDefault="007D72B3">
      <w:pPr>
        <w:pStyle w:val="Bodytext100"/>
        <w:numPr>
          <w:ilvl w:val="0"/>
          <w:numId w:val="203"/>
        </w:numPr>
        <w:shd w:val="clear" w:color="auto" w:fill="auto"/>
        <w:tabs>
          <w:tab w:val="left" w:pos="846"/>
        </w:tabs>
        <w:spacing w:before="0" w:line="230" w:lineRule="exact"/>
        <w:ind w:firstLine="0"/>
      </w:pPr>
      <w:r>
        <w:t>Die Bibel für alle Völker</w:t>
      </w:r>
    </w:p>
    <w:p w:rsidR="00BB7EDA" w:rsidRDefault="007D72B3">
      <w:pPr>
        <w:pStyle w:val="Bodytext20"/>
        <w:shd w:val="clear" w:color="auto" w:fill="auto"/>
        <w:spacing w:before="0" w:after="460"/>
      </w:pPr>
      <w:r>
        <w:t>Durch eine unermüdliche Pionierarbeit konnte die ganze Bibel bzw. einzelne Bibelteile bis heute in über 2.200 Sprachen a</w:t>
      </w:r>
      <w:r>
        <w:t xml:space="preserve">us allen fünf Kontinenten übersetzt werden. Damit sind die Sprachgrenzen derart durchbrochen worden, dass heute fast alle Menschen Gottes Wort verständlich hören könnten. </w:t>
      </w:r>
      <w:r>
        <w:rPr>
          <w:rStyle w:val="Bodytext2Italic0"/>
        </w:rPr>
        <w:t>Diese gezualtige Übersetzungsarbeit ist aller</w:t>
      </w:r>
      <w:r>
        <w:rPr>
          <w:rStyle w:val="Bodytext2Italic0"/>
        </w:rPr>
        <w:softHyphen/>
        <w:t>dings im Laufe der Kirchengeschichte oh</w:t>
      </w:r>
      <w:r>
        <w:rPr>
          <w:rStyle w:val="Bodytext2Italic0"/>
        </w:rPr>
        <w:t>ne die Gabe des Sprachenredens vonstatten gegangen.</w:t>
      </w:r>
      <w:r>
        <w:t xml:space="preserve"> Es war eine Arbeit von unvorstellbaren Mühen, Gefahren und Hingabe. Es ist keine Frage, Gott hätte dieses Werk durch Sprachenreden zu einem Kinderspiel vereinfachen können. Er hat es aber nicht getan. War</w:t>
      </w:r>
      <w:r>
        <w:t>um nicht? Ganz einfach, weil sein souve</w:t>
      </w:r>
      <w:r>
        <w:softHyphen/>
        <w:t>räner Wille es anders wollte. Das Sprachenreden war nur ein Zeichen, ein Hinweis auf eine wunderbare heilsgeschichtliche Entwicklung: Die ganze Welt soll Gottes Reden in der Heiligen Schrift vernehmen.</w:t>
      </w:r>
    </w:p>
    <w:p w:rsidR="00BB7EDA" w:rsidRDefault="007D72B3">
      <w:pPr>
        <w:pStyle w:val="Heading50"/>
        <w:keepNext/>
        <w:keepLines/>
        <w:numPr>
          <w:ilvl w:val="0"/>
          <w:numId w:val="195"/>
        </w:numPr>
        <w:shd w:val="clear" w:color="auto" w:fill="auto"/>
        <w:tabs>
          <w:tab w:val="left" w:pos="687"/>
        </w:tabs>
        <w:spacing w:after="154" w:line="180" w:lineRule="exact"/>
      </w:pPr>
      <w:bookmarkStart w:id="149" w:name="bookmark148"/>
      <w:r>
        <w:t>Die Sprachenre</w:t>
      </w:r>
      <w:r>
        <w:t>de sollte einmal abklingen</w:t>
      </w:r>
      <w:bookmarkEnd w:id="149"/>
    </w:p>
    <w:p w:rsidR="00BB7EDA" w:rsidRDefault="007D72B3">
      <w:pPr>
        <w:pStyle w:val="Bodytext100"/>
        <w:numPr>
          <w:ilvl w:val="0"/>
          <w:numId w:val="204"/>
        </w:numPr>
        <w:shd w:val="clear" w:color="auto" w:fill="auto"/>
        <w:tabs>
          <w:tab w:val="left" w:pos="841"/>
        </w:tabs>
        <w:spacing w:before="0" w:line="230" w:lineRule="exact"/>
        <w:ind w:firstLine="0"/>
      </w:pPr>
      <w:r>
        <w:t>Zur Opposition zwischen „katargeö“ und „pnuö"</w:t>
      </w:r>
    </w:p>
    <w:p w:rsidR="00BB7EDA" w:rsidRDefault="007D72B3">
      <w:pPr>
        <w:pStyle w:val="Bodytext20"/>
        <w:shd w:val="clear" w:color="auto" w:fill="auto"/>
        <w:spacing w:before="0" w:after="124"/>
      </w:pPr>
      <w:r>
        <w:t>In IKor 13,8.10.13 wird erklärt, dass geistliche Gaben wie Weissa</w:t>
      </w:r>
      <w:r>
        <w:softHyphen/>
        <w:t>gung und Erkenntnis, samt allem, was „stückweise" ist, einmal „hinweggetan" werden soll (IKor 13,3-13):</w:t>
      </w:r>
    </w:p>
    <w:p w:rsidR="00BB7EDA" w:rsidRDefault="007D72B3">
      <w:pPr>
        <w:pStyle w:val="Bodytext20"/>
        <w:shd w:val="clear" w:color="auto" w:fill="auto"/>
        <w:spacing w:before="0" w:after="120" w:line="226" w:lineRule="exact"/>
        <w:ind w:left="320" w:right="340"/>
      </w:pPr>
      <w:r>
        <w:t xml:space="preserve">[8] Die Liebe vergeht nimmer; seien es aber Prophezeiungen, sie werden weggetan werden </w:t>
      </w:r>
      <w:r>
        <w:rPr>
          <w:rStyle w:val="Bodytext2Italic0"/>
        </w:rPr>
        <w:t>[katargeö];</w:t>
      </w:r>
      <w:r>
        <w:t xml:space="preserve"> seien es Sprachen, sie werden aufhören </w:t>
      </w:r>
      <w:r>
        <w:rPr>
          <w:rStyle w:val="Bodytext2Italic0"/>
        </w:rPr>
        <w:t>[pauö];</w:t>
      </w:r>
      <w:r>
        <w:t xml:space="preserve"> sei es Erkenntnis, sie wird weggetan werden </w:t>
      </w:r>
      <w:r>
        <w:rPr>
          <w:rStyle w:val="Bodytext2Italic0"/>
        </w:rPr>
        <w:t>[katargeö],</w:t>
      </w:r>
      <w:r>
        <w:t xml:space="preserve"> [9] Denn wir erkennen stückweise, und wir prophezeien </w:t>
      </w:r>
      <w:r>
        <w:t xml:space="preserve">stückweise; [10] wenn aber das Vollkommene gekommen sein wird, dann wird das, was stückweise ist, weggetan werden </w:t>
      </w:r>
      <w:r>
        <w:rPr>
          <w:rStyle w:val="Bodytext2Italic0"/>
        </w:rPr>
        <w:t>[katargeö],</w:t>
      </w:r>
      <w:r>
        <w:t xml:space="preserve"> [11] Als ich ein Kind war, redete ich wie ein Kind, dachte wie ein Kind, urteilte wie ein Kind; als ich aber ein Mann wurde, tat i</w:t>
      </w:r>
      <w:r>
        <w:t xml:space="preserve">ch weg </w:t>
      </w:r>
      <w:r>
        <w:rPr>
          <w:rStyle w:val="Bodytext2Italic0"/>
        </w:rPr>
        <w:t>[katargeö],</w:t>
      </w:r>
      <w:r>
        <w:t xml:space="preserve"> was kindisch war. [12] Denn wir sehen jetzt durch einen Spiegel, undeutlich, dann aber von Angesicht zu Angesicht. Jetzt erkenne ich stückweise, dann aber werde ich erkennen, gleich</w:t>
      </w:r>
      <w:r>
        <w:softHyphen/>
        <w:t>wie auch ich erkannt worden bin. [13] Nun aber bleibt G</w:t>
      </w:r>
      <w:r>
        <w:t>lau</w:t>
      </w:r>
      <w:r>
        <w:softHyphen/>
        <w:t>be, Hoffnung, Liebe, diese drei; die größte aber von diesen ist die Liebe.</w:t>
      </w:r>
    </w:p>
    <w:p w:rsidR="00BB7EDA" w:rsidRDefault="007D72B3">
      <w:pPr>
        <w:pStyle w:val="Bodytext20"/>
        <w:shd w:val="clear" w:color="auto" w:fill="auto"/>
        <w:spacing w:before="0" w:line="226" w:lineRule="exact"/>
        <w:ind w:firstLine="320"/>
      </w:pPr>
      <w:r>
        <w:t xml:space="preserve">Der in der Elberfelder-Übersetzung mit „hinwegtun" übersetzte griechische Wort </w:t>
      </w:r>
      <w:r>
        <w:rPr>
          <w:rStyle w:val="Bodytext2Italic0"/>
        </w:rPr>
        <w:t>katargeö</w:t>
      </w:r>
      <w:r>
        <w:t xml:space="preserve"> bedeutet u.a. auch „vernichten", „abschaf</w:t>
      </w:r>
      <w:r>
        <w:softHyphen/>
        <w:t>fen", „zunichte machen" (Heb 2,14), „entfernen"</w:t>
      </w:r>
      <w:r>
        <w:t>. Die Grundbedeu</w:t>
      </w:r>
      <w:r>
        <w:softHyphen/>
        <w:t>tung ist „herab machen".</w:t>
      </w:r>
      <w:r>
        <w:rPr>
          <w:vertAlign w:val="superscript"/>
        </w:rPr>
        <w:t>52&lt;)</w:t>
      </w:r>
      <w:r>
        <w:t xml:space="preserve"> Dieser starke Ausdruck deutet ein plötz</w:t>
      </w:r>
      <w:r>
        <w:softHyphen/>
        <w:t>liches, unmittelbares Beseitigen an, das bei der Wiederkunft Christi stattfinden soll, „wenn... das Vollkommene gekommen sein wird" (IKor 13,10), dann wenn Gläubige ihren</w:t>
      </w:r>
      <w:r>
        <w:t xml:space="preserve"> Herrn „von Angesicht zu Angesicht" sehen werden (IKor 13,12).</w:t>
      </w:r>
      <w:r>
        <w:rPr>
          <w:vertAlign w:val="superscript"/>
        </w:rPr>
        <w:footnoteReference w:id="440"/>
      </w:r>
      <w:r>
        <w:rPr>
          <w:vertAlign w:val="superscript"/>
        </w:rPr>
        <w:t xml:space="preserve"> </w:t>
      </w:r>
      <w:r>
        <w:rPr>
          <w:vertAlign w:val="superscript"/>
        </w:rPr>
        <w:footnoteReference w:id="441"/>
      </w:r>
    </w:p>
    <w:p w:rsidR="00BB7EDA" w:rsidRDefault="007D72B3">
      <w:pPr>
        <w:pStyle w:val="Bodytext20"/>
        <w:shd w:val="clear" w:color="auto" w:fill="auto"/>
        <w:spacing w:before="0" w:line="226" w:lineRule="exact"/>
        <w:ind w:firstLine="320"/>
      </w:pPr>
      <w:r>
        <w:t xml:space="preserve">Während das Wort </w:t>
      </w:r>
      <w:r>
        <w:rPr>
          <w:rStyle w:val="Bodytext2Italic0"/>
        </w:rPr>
        <w:t>katargeö</w:t>
      </w:r>
      <w:r>
        <w:t xml:space="preserve"> in IKor 13 im Zusammenhang mit „Weissagung" (IKor 13,8), „Erkenntnis" (IKor 13,8) sowie mit dem, was „stückweise" (IKor 13,10) und dem, was „kindlich" (IKor 13,11) </w:t>
      </w:r>
      <w:r>
        <w:t>ist, viermal vorkommt, wird indessen in Verbindung mit dem Ende des Sprachenredens ein ganz anderes Tätigkeits</w:t>
      </w:r>
      <w:r>
        <w:softHyphen/>
        <w:t xml:space="preserve">wort verwendet, nämlich der Begriff </w:t>
      </w:r>
      <w:r>
        <w:rPr>
          <w:rStyle w:val="Bodytext2Italic0"/>
        </w:rPr>
        <w:t>pauö,</w:t>
      </w:r>
      <w:r>
        <w:t xml:space="preserve"> der „aufhören" oder „abklingen" bedeutet. Durch </w:t>
      </w:r>
      <w:r>
        <w:rPr>
          <w:rStyle w:val="Bodytext2Italic0"/>
        </w:rPr>
        <w:t>katargeö</w:t>
      </w:r>
      <w:r>
        <w:t xml:space="preserve"> wird eher eine abrupte Hand</w:t>
      </w:r>
      <w:r>
        <w:softHyphen/>
        <w:t xml:space="preserve">lung ausgedrückt, </w:t>
      </w:r>
      <w:r>
        <w:t xml:space="preserve">durch </w:t>
      </w:r>
      <w:r>
        <w:rPr>
          <w:rStyle w:val="Bodytext2Italic0"/>
        </w:rPr>
        <w:t>pauö</w:t>
      </w:r>
      <w:r>
        <w:t xml:space="preserve"> hingegen ein Prozess. In Apg 20,1 wird dieses Wort von Lukas bei der Beschreibung eines Volks</w:t>
      </w:r>
      <w:r>
        <w:softHyphen/>
        <w:t xml:space="preserve">tumultes, der sich langsam beruhigte, gebraucht. Es leuchtet ein, dass bei der Wiederkunft Christi die Gaben in einem Nu zum ihrem Ende kommen werden. </w:t>
      </w:r>
      <w:r>
        <w:t>Wenn Paulus in Verbindung mit dem Sprachenreden jedoch im Prinzip von einem allmählichen Abklin</w:t>
      </w:r>
      <w:r>
        <w:softHyphen/>
        <w:t>gen spricht, so kann daraus mit Fug und Recht geschlossen wer</w:t>
      </w:r>
      <w:r>
        <w:softHyphen/>
        <w:t xml:space="preserve">den, dass diese Gabe irgendwann im Laufe der Kirchengeschichte </w:t>
      </w:r>
      <w:r>
        <w:rPr>
          <w:rStyle w:val="Bodytext2Italic0"/>
        </w:rPr>
        <w:t>vor</w:t>
      </w:r>
      <w:r>
        <w:t xml:space="preserve"> der Wiederkunft Christi verstum</w:t>
      </w:r>
      <w:r>
        <w:t>men würde, und zwar in einem Prozess.</w:t>
      </w:r>
    </w:p>
    <w:p w:rsidR="00BB7EDA" w:rsidRDefault="007D72B3">
      <w:pPr>
        <w:pStyle w:val="Bodytext100"/>
        <w:numPr>
          <w:ilvl w:val="0"/>
          <w:numId w:val="204"/>
        </w:numPr>
        <w:shd w:val="clear" w:color="auto" w:fill="auto"/>
        <w:tabs>
          <w:tab w:val="left" w:pos="846"/>
        </w:tabs>
        <w:spacing w:before="0"/>
        <w:ind w:firstLine="0"/>
        <w:jc w:val="left"/>
      </w:pPr>
      <w:r>
        <w:t>Kirchengeschichtliche Zeugnisse zum Aufliören des Sprachenredens</w:t>
      </w:r>
      <w:r>
        <w:rPr>
          <w:rStyle w:val="Bodytext109ptNotItalic"/>
          <w:b/>
          <w:bCs/>
        </w:rPr>
        <w:t xml:space="preserve"> / </w:t>
      </w:r>
      <w:r>
        <w:t>der apostolischen Zeichen</w:t>
      </w:r>
    </w:p>
    <w:p w:rsidR="00BB7EDA" w:rsidRDefault="007D72B3">
      <w:pPr>
        <w:pStyle w:val="Bodytext20"/>
        <w:shd w:val="clear" w:color="auto" w:fill="auto"/>
        <w:spacing w:before="0" w:after="176" w:line="226" w:lineRule="exact"/>
      </w:pPr>
      <w:r>
        <w:t>In diesem Zusammenhang ist es allerdings bemerkenswert, dass es eine Reihe von kirchengeschichtlichen Zeugnissen aus der nach</w:t>
      </w:r>
      <w:r>
        <w:softHyphen/>
        <w:t>apostolischen Zeit gibt, die verdeutlichen, dass mit dem Sterben der Apostel und derer, die durch sie zum Glauben gekommen waren,</w:t>
      </w:r>
      <w:r>
        <w:rPr>
          <w:vertAlign w:val="superscript"/>
        </w:rPr>
        <w:footnoteReference w:id="442"/>
      </w:r>
      <w:r>
        <w:rPr>
          <w:vertAlign w:val="superscript"/>
        </w:rPr>
        <w:t xml:space="preserve"> </w:t>
      </w:r>
      <w:r>
        <w:t>die Zeichen und Wunder der Frühzeit tatsächlich verschwanden. Augustinus schrieb um 392 n. Chr.:</w:t>
      </w:r>
    </w:p>
    <w:p w:rsidR="00BB7EDA" w:rsidRDefault="007D72B3">
      <w:pPr>
        <w:pStyle w:val="Bodytext20"/>
        <w:shd w:val="clear" w:color="auto" w:fill="auto"/>
        <w:spacing w:before="0" w:after="184"/>
        <w:ind w:left="340" w:right="320"/>
      </w:pPr>
      <w:r>
        <w:t>„Warum geschehen heute solc</w:t>
      </w:r>
      <w:r>
        <w:t>he Dinge nicht? Sie würden niemanden bewegen, wenn sie nicht wunderbar wären... Gott ist darum in Weisheit mit uns umgegangen, indem er sie ein für alle Mal gab, um die Welt zu überzeugen, damit sie sich in der Folge auf die Menge verlasse, die auf diese W</w:t>
      </w:r>
      <w:r>
        <w:t>eise über</w:t>
      </w:r>
      <w:r>
        <w:softHyphen/>
        <w:t>führt wurde."</w:t>
      </w:r>
      <w:r>
        <w:rPr>
          <w:vertAlign w:val="superscript"/>
        </w:rPr>
        <w:footnoteReference w:id="443"/>
      </w:r>
    </w:p>
    <w:p w:rsidR="00BB7EDA" w:rsidRDefault="007D72B3">
      <w:pPr>
        <w:pStyle w:val="Bodytext20"/>
        <w:shd w:val="clear" w:color="auto" w:fill="auto"/>
        <w:spacing w:before="0" w:after="180" w:line="226" w:lineRule="exact"/>
        <w:ind w:firstLine="340"/>
      </w:pPr>
      <w:r>
        <w:t>Augustinus äußerte sich nicht allein zu den apostolischen Zei</w:t>
      </w:r>
      <w:r>
        <w:softHyphen/>
        <w:t>chen im Allgemeinen, sondern ebenso spezifisch zum Zeichen des Sprachenredens. Dieser bedeutende Kirchenlehrer seiner Zeit er</w:t>
      </w:r>
      <w:r>
        <w:softHyphen/>
        <w:t>klärte, dass durch die Sprachenrede das Kom</w:t>
      </w:r>
      <w:r>
        <w:t>men des Heiligen Geistes durch ein sichtbares Zeugnis unter Beweis gestellt wurde. Ferner habe das Sprachenreden Gottes Plan der Weltmission deut</w:t>
      </w:r>
      <w:r>
        <w:softHyphen/>
        <w:t>lich gemacht, dass nämlich die Frohe Botschaft von Jesus Christus nun allen Menschen in allen Sprachen verkünd</w:t>
      </w:r>
      <w:r>
        <w:t>igt werden sollte. Das Zeichen der Sprachenrede habe sich ereignet, doch danach sei es versch w unden:</w:t>
      </w:r>
      <w:r>
        <w:rPr>
          <w:vertAlign w:val="superscript"/>
        </w:rPr>
        <w:footnoteReference w:id="444"/>
      </w:r>
    </w:p>
    <w:p w:rsidR="00BB7EDA" w:rsidRDefault="007D72B3">
      <w:pPr>
        <w:pStyle w:val="Bodytext20"/>
        <w:shd w:val="clear" w:color="auto" w:fill="auto"/>
        <w:spacing w:before="0" w:line="226" w:lineRule="exact"/>
        <w:ind w:left="340" w:right="320"/>
      </w:pPr>
      <w:r>
        <w:t>„Denn es war nötig, dass der Heilige Geist so mit allen Sprachen zeichenhaft bezeugt würde, weil Gottes Evangeli</w:t>
      </w:r>
      <w:r>
        <w:softHyphen/>
        <w:t xml:space="preserve">um mit allen Sprachen dem ganzen </w:t>
      </w:r>
      <w:r>
        <w:t>Erdkreis zulaufen sollte. Jenes wurde zeichenhaft bezeugt, und (danach) verging es."</w:t>
      </w:r>
      <w:r>
        <w:rPr>
          <w:vertAlign w:val="superscript"/>
        </w:rPr>
        <w:footnoteReference w:id="445"/>
      </w:r>
    </w:p>
    <w:p w:rsidR="00BB7EDA" w:rsidRDefault="007D72B3">
      <w:pPr>
        <w:pStyle w:val="Bodytext20"/>
        <w:shd w:val="clear" w:color="auto" w:fill="auto"/>
        <w:spacing w:before="0" w:after="120" w:line="226" w:lineRule="exact"/>
        <w:ind w:firstLine="320"/>
      </w:pPr>
      <w:r>
        <w:t>Chrysostomos, der große Prediger des 4. Jahrhunderts, äußerte sich im Blick auf die Wunder zur Zeit der ersten Christen wie folgt:</w:t>
      </w:r>
    </w:p>
    <w:p w:rsidR="00BB7EDA" w:rsidRDefault="007D72B3">
      <w:pPr>
        <w:pStyle w:val="Bodytext20"/>
        <w:shd w:val="clear" w:color="auto" w:fill="auto"/>
        <w:spacing w:before="0" w:after="217" w:line="226" w:lineRule="exact"/>
        <w:ind w:left="320" w:right="320"/>
      </w:pPr>
      <w:r>
        <w:t>„Behaupte nicht, Wunder geschahen damal</w:t>
      </w:r>
      <w:r>
        <w:t>s nicht, weil sie heute nicht geschehen... In jenen Tagen waren sie nützlich, heute aber nicht. Von Wunderkräften ist nicht die geringste Spur geblieben."</w:t>
      </w:r>
      <w:r>
        <w:rPr>
          <w:vertAlign w:val="superscript"/>
        </w:rPr>
        <w:footnoteReference w:id="446"/>
      </w:r>
    </w:p>
    <w:p w:rsidR="00BB7EDA" w:rsidRDefault="007D72B3">
      <w:pPr>
        <w:pStyle w:val="Bodytext20"/>
        <w:shd w:val="clear" w:color="auto" w:fill="auto"/>
        <w:spacing w:before="0" w:after="99" w:line="180" w:lineRule="exact"/>
        <w:ind w:firstLine="320"/>
      </w:pPr>
      <w:r>
        <w:t>Isidor v. Pelusium (4. Jh.) spekulierte:</w:t>
      </w:r>
    </w:p>
    <w:p w:rsidR="00BB7EDA" w:rsidRDefault="007D72B3">
      <w:pPr>
        <w:pStyle w:val="Bodytext20"/>
        <w:shd w:val="clear" w:color="auto" w:fill="auto"/>
        <w:spacing w:before="0" w:after="180"/>
        <w:ind w:left="320" w:right="320"/>
      </w:pPr>
      <w:r>
        <w:t>„Vielleicht würden heute auch Wunder geschehen, wenn das Le</w:t>
      </w:r>
      <w:r>
        <w:t>ben der Lehrer dem der Apostel an Bedeutung entsprä</w:t>
      </w:r>
      <w:r>
        <w:softHyphen/>
        <w:t>che."</w:t>
      </w:r>
      <w:r>
        <w:rPr>
          <w:vertAlign w:val="superscript"/>
        </w:rPr>
        <w:footnoteReference w:id="447"/>
      </w:r>
    </w:p>
    <w:p w:rsidR="00BB7EDA" w:rsidRDefault="007D72B3">
      <w:pPr>
        <w:pStyle w:val="Bodytext20"/>
        <w:shd w:val="clear" w:color="auto" w:fill="auto"/>
        <w:spacing w:before="0" w:after="124"/>
        <w:ind w:firstLine="320"/>
      </w:pPr>
      <w:r>
        <w:t>Sogar noch im 7. Jahrhundert, als Aberglauben und Jagd nach Übernatürlichem längst einen großen Platz in der römischen Kirche eingenommen hatten, schrieb Isidor von Sevilla:</w:t>
      </w:r>
    </w:p>
    <w:p w:rsidR="00BB7EDA" w:rsidRDefault="007D72B3">
      <w:pPr>
        <w:pStyle w:val="Bodytext20"/>
        <w:shd w:val="clear" w:color="auto" w:fill="auto"/>
        <w:spacing w:before="0" w:after="433" w:line="226" w:lineRule="exact"/>
        <w:ind w:left="320" w:right="320"/>
      </w:pPr>
      <w:r>
        <w:t>„Der Grund, warum die K</w:t>
      </w:r>
      <w:r>
        <w:t>irche heute nicht die Wunder wirkt, wie zur Zeit der Apostel, ist der, dass die Wunder damals notwendig waren, die Welt von der Wahrheit des Christen</w:t>
      </w:r>
      <w:r>
        <w:softHyphen/>
        <w:t>tums zu überzeugen; jetzt steht ihr zu, nachdem sie überzeugt ist, durch gute Werke zu leuchten... Wer heu</w:t>
      </w:r>
      <w:r>
        <w:t>te als Gläubiger nach Wunderkräften strebt, trachtet nach eitler Ehre und menschlichem Beifall."</w:t>
      </w:r>
      <w:r>
        <w:rPr>
          <w:vertAlign w:val="superscript"/>
        </w:rPr>
        <w:footnoteReference w:id="448"/>
      </w:r>
    </w:p>
    <w:p w:rsidR="00BB7EDA" w:rsidRDefault="007D72B3">
      <w:pPr>
        <w:pStyle w:val="Heading40"/>
        <w:keepNext/>
        <w:keepLines/>
        <w:numPr>
          <w:ilvl w:val="0"/>
          <w:numId w:val="205"/>
        </w:numPr>
        <w:shd w:val="clear" w:color="auto" w:fill="auto"/>
        <w:tabs>
          <w:tab w:val="left" w:pos="505"/>
        </w:tabs>
        <w:spacing w:after="212" w:line="210" w:lineRule="exact"/>
      </w:pPr>
      <w:bookmarkStart w:id="150" w:name="bookmark149"/>
      <w:r>
        <w:t>Fazit</w:t>
      </w:r>
      <w:bookmarkEnd w:id="150"/>
    </w:p>
    <w:p w:rsidR="00BB7EDA" w:rsidRDefault="007D72B3">
      <w:pPr>
        <w:pStyle w:val="Bodytext20"/>
        <w:shd w:val="clear" w:color="auto" w:fill="auto"/>
        <w:spacing w:before="0" w:line="226" w:lineRule="exact"/>
      </w:pPr>
      <w:r>
        <w:t>Das Phänomen des Sprachenredens zur Zeit der Entstehung des Christentums ist durch Lukas und Paulus historisch glaubwürdig bezeugt.</w:t>
      </w:r>
    </w:p>
    <w:p w:rsidR="00BB7EDA" w:rsidRDefault="007D72B3">
      <w:pPr>
        <w:pStyle w:val="Bodytext20"/>
        <w:shd w:val="clear" w:color="auto" w:fill="auto"/>
        <w:spacing w:before="0" w:line="226" w:lineRule="exact"/>
        <w:ind w:firstLine="320"/>
      </w:pPr>
      <w:r>
        <w:t xml:space="preserve">Menschen konnten </w:t>
      </w:r>
      <w:r>
        <w:t>ohne vorherigen Lernprozess plötzlich ihnen zuvor unbekannte Sprachen beherrschen. Selbst der Akzent war perfekt.</w:t>
      </w:r>
    </w:p>
    <w:p w:rsidR="00BB7EDA" w:rsidRDefault="007D72B3">
      <w:pPr>
        <w:pStyle w:val="Bodytext20"/>
        <w:shd w:val="clear" w:color="auto" w:fill="auto"/>
        <w:spacing w:before="0" w:line="226" w:lineRule="exact"/>
        <w:ind w:firstLine="320"/>
      </w:pPr>
      <w:r>
        <w:t>Es handelte sich um ein heilsgeschichtliches Zeichen, insbeson</w:t>
      </w:r>
      <w:r>
        <w:softHyphen/>
        <w:t>dere als Zeugnis für das Volk Israel: Gott will zu allen Menschen in allen Spra</w:t>
      </w:r>
      <w:r>
        <w:t xml:space="preserve">chen reden, nicht mehr nur in </w:t>
      </w:r>
      <w:r>
        <w:rPr>
          <w:rStyle w:val="Bodytext2Italic0"/>
        </w:rPr>
        <w:t>einer</w:t>
      </w:r>
      <w:r>
        <w:t xml:space="preserve"> Sprache zu </w:t>
      </w:r>
      <w:r>
        <w:rPr>
          <w:rStyle w:val="Bodytext2Italic0"/>
        </w:rPr>
        <w:t>einem</w:t>
      </w:r>
      <w:r>
        <w:t xml:space="preserve"> Volk.</w:t>
      </w:r>
    </w:p>
    <w:p w:rsidR="00BB7EDA" w:rsidRDefault="007D72B3">
      <w:pPr>
        <w:pStyle w:val="Bodytext20"/>
        <w:shd w:val="clear" w:color="auto" w:fill="auto"/>
        <w:spacing w:before="0" w:line="226" w:lineRule="exact"/>
      </w:pPr>
      <w:r>
        <w:t>Das Sprachenreden vermittelte eine missionstheologisch tiefgehen</w:t>
      </w:r>
      <w:r>
        <w:softHyphen/>
        <w:t>de Aussage mit gewaltigen kirchengeschichtlichen Konsequenzen.</w:t>
      </w:r>
    </w:p>
    <w:p w:rsidR="00BB7EDA" w:rsidRDefault="007D72B3">
      <w:pPr>
        <w:pStyle w:val="Bodytext20"/>
        <w:shd w:val="clear" w:color="auto" w:fill="auto"/>
        <w:spacing w:before="0" w:line="226" w:lineRule="exact"/>
        <w:ind w:firstLine="320"/>
      </w:pPr>
      <w:r>
        <w:t>Weitgehend geschah in diesen Fällen dasselbe, was die Bibel im Zusamm</w:t>
      </w:r>
      <w:r>
        <w:t>enhang mit der Sprachverwirrung zur Zeit der Urgeschich</w:t>
      </w:r>
      <w:r>
        <w:softHyphen/>
        <w:t>te berichtet. Auch damals konnten Menschen, ohne es vorher lernen zu müssen, eine neue Sprache sprechen. Während jedoch in Gen 11 bei denen, die neue Sprachen redeten, die alte „Oberflächenstruktur" g</w:t>
      </w:r>
      <w:r>
        <w:t xml:space="preserve">elöscht war, blieb sie den Sprachenrednern des NT erhalten. Ein weiterer Unterschied war der: Die Menschen zu Babel konnten jeweils nur </w:t>
      </w:r>
      <w:r>
        <w:rPr>
          <w:rStyle w:val="Bodytext2Italic0"/>
        </w:rPr>
        <w:t>eine</w:t>
      </w:r>
      <w:r>
        <w:t xml:space="preserve"> Sprache sprechen, während neutestamentliche Sprachenredner befähigt waren, eine Vielzahl neuer Sprachen zu beherrsc</w:t>
      </w:r>
      <w:r>
        <w:t>hen (IKor 14,18).</w:t>
      </w:r>
    </w:p>
    <w:p w:rsidR="00BB7EDA" w:rsidRDefault="007D72B3">
      <w:pPr>
        <w:pStyle w:val="Bodytext20"/>
        <w:shd w:val="clear" w:color="auto" w:fill="auto"/>
        <w:spacing w:before="0" w:line="226" w:lineRule="exact"/>
        <w:ind w:firstLine="320"/>
      </w:pPr>
      <w:r>
        <w:t>Somit ist das neutestamentliche Sprachenreden, das historisch glaubwürdig bezeugt ist, eine indirekte Bestätigung für die Geschichtlichkeit der Sprachenverwirrung, ein Zeugnis dafür, dass ein solches Phänomen nichts Mythisches an sich hat</w:t>
      </w:r>
      <w:r>
        <w:t>.</w:t>
      </w:r>
    </w:p>
    <w:p w:rsidR="00BB7EDA" w:rsidRDefault="007D72B3">
      <w:pPr>
        <w:pStyle w:val="Bodytext20"/>
        <w:shd w:val="clear" w:color="auto" w:fill="auto"/>
        <w:spacing w:before="0" w:line="226" w:lineRule="exact"/>
        <w:ind w:firstLine="320"/>
        <w:sectPr w:rsidR="00BB7EDA">
          <w:pgSz w:w="7266" w:h="11422"/>
          <w:pgMar w:top="796" w:right="715" w:bottom="1136" w:left="881" w:header="0" w:footer="3" w:gutter="0"/>
          <w:cols w:space="720"/>
          <w:noEndnote/>
          <w:docGrid w:linePitch="360"/>
        </w:sectPr>
      </w:pPr>
      <w:r>
        <w:t>Das Sprachenreden, bei dem, wie gesagt, Menschen ohne voran</w:t>
      </w:r>
      <w:r>
        <w:softHyphen/>
        <w:t>gegangenen Lernprozess eine Sprache beherrschen konnten, ist eben</w:t>
      </w:r>
      <w:r>
        <w:softHyphen/>
        <w:t>so eine indirekte Bestätigung für die Glaubwürdigkeit des Berichts in Gen 1 und 2, wo über Adams Befähigung</w:t>
      </w:r>
      <w:r>
        <w:t xml:space="preserve"> zur Sprache am Tag seiner Erschaffung gesprochen wird.</w:t>
      </w:r>
    </w:p>
    <w:p w:rsidR="00BB7EDA" w:rsidRDefault="007D72B3">
      <w:pPr>
        <w:pStyle w:val="Heading30"/>
        <w:keepNext/>
        <w:keepLines/>
        <w:numPr>
          <w:ilvl w:val="0"/>
          <w:numId w:val="206"/>
        </w:numPr>
        <w:shd w:val="clear" w:color="auto" w:fill="auto"/>
        <w:tabs>
          <w:tab w:val="left" w:pos="467"/>
        </w:tabs>
        <w:spacing w:after="474" w:line="336" w:lineRule="exact"/>
        <w:ind w:right="440"/>
        <w:jc w:val="left"/>
      </w:pPr>
      <w:bookmarkStart w:id="151" w:name="bookmark150"/>
      <w:r>
        <w:t>Ergebnisse der vorliegenden Forschungsarbeit</w:t>
      </w:r>
      <w:bookmarkEnd w:id="151"/>
    </w:p>
    <w:p w:rsidR="00BB7EDA" w:rsidRDefault="007D72B3">
      <w:pPr>
        <w:pStyle w:val="Heading40"/>
        <w:keepNext/>
        <w:keepLines/>
        <w:numPr>
          <w:ilvl w:val="1"/>
          <w:numId w:val="206"/>
        </w:numPr>
        <w:shd w:val="clear" w:color="auto" w:fill="auto"/>
        <w:tabs>
          <w:tab w:val="left" w:pos="495"/>
        </w:tabs>
        <w:spacing w:after="215" w:line="269" w:lineRule="exact"/>
        <w:jc w:val="left"/>
      </w:pPr>
      <w:bookmarkStart w:id="152" w:name="bookmark151"/>
      <w:r>
        <w:t>Konsequenzen für die Evolutions- und für die Schöpfungslehre</w:t>
      </w:r>
      <w:bookmarkEnd w:id="152"/>
    </w:p>
    <w:p w:rsidR="00BB7EDA" w:rsidRDefault="007D72B3">
      <w:pPr>
        <w:pStyle w:val="Bodytext20"/>
        <w:shd w:val="clear" w:color="auto" w:fill="auto"/>
        <w:spacing w:before="0" w:after="416" w:line="226" w:lineRule="exact"/>
      </w:pPr>
      <w:r>
        <w:t xml:space="preserve">Wir haben in den vorangegangen Ausführungen gesehen, dass sich keine der drei Deduktionen aus </w:t>
      </w:r>
      <w:r>
        <w:t>dem Evolutionsmodell be</w:t>
      </w:r>
      <w:r>
        <w:softHyphen/>
        <w:t>wahrheitet haben. Alle Voraussagen, die sich aus diesem Stand</w:t>
      </w:r>
      <w:r>
        <w:softHyphen/>
        <w:t>punkt durch logische Überlegungen ergaben, sind krass fehlge- gangen.</w:t>
      </w:r>
    </w:p>
    <w:p w:rsidR="00BB7EDA" w:rsidRDefault="007D72B3">
      <w:pPr>
        <w:pStyle w:val="Heading50"/>
        <w:keepNext/>
        <w:keepLines/>
        <w:numPr>
          <w:ilvl w:val="2"/>
          <w:numId w:val="206"/>
        </w:numPr>
        <w:shd w:val="clear" w:color="auto" w:fill="auto"/>
        <w:tabs>
          <w:tab w:val="left" w:pos="572"/>
        </w:tabs>
        <w:spacing w:after="184" w:line="230" w:lineRule="exact"/>
        <w:jc w:val="left"/>
      </w:pPr>
      <w:bookmarkStart w:id="153" w:name="bookmark152"/>
      <w:r>
        <w:t>Das Evolutionsmodell - unbrauchbar zur Klärung des Sprachursprungs</w:t>
      </w:r>
      <w:bookmarkEnd w:id="153"/>
    </w:p>
    <w:p w:rsidR="00BB7EDA" w:rsidRDefault="007D72B3">
      <w:pPr>
        <w:pStyle w:val="Bodytext20"/>
        <w:shd w:val="clear" w:color="auto" w:fill="auto"/>
        <w:spacing w:before="0" w:after="416" w:line="226" w:lineRule="exact"/>
      </w:pPr>
      <w:r>
        <w:t>Auch zahlreiche weitere Forschung</w:t>
      </w:r>
      <w:r>
        <w:t xml:space="preserve">sergebnisse haben uns immer wieder gezeigt, dass sie im Rahmen des Evolutionsdogmas nicht befriedigend eingeordnet und erklärt werden können. </w:t>
      </w:r>
      <w:r>
        <w:rPr>
          <w:rStyle w:val="Bodytext2Italic0"/>
        </w:rPr>
        <w:t>Aus all dem wird klar und deutlich, dass das Evolutionsmodell zur Klärung der Frage nach dem Ursprung der Sprachen</w:t>
      </w:r>
      <w:r>
        <w:rPr>
          <w:rStyle w:val="Bodytext2Italic0"/>
        </w:rPr>
        <w:t xml:space="preserve"> unbrauchbar ist und deshalb verworfen werden sollte.</w:t>
      </w:r>
    </w:p>
    <w:p w:rsidR="00BB7EDA" w:rsidRDefault="007D72B3">
      <w:pPr>
        <w:pStyle w:val="Heading50"/>
        <w:keepNext/>
        <w:keepLines/>
        <w:numPr>
          <w:ilvl w:val="2"/>
          <w:numId w:val="206"/>
        </w:numPr>
        <w:shd w:val="clear" w:color="auto" w:fill="auto"/>
        <w:tabs>
          <w:tab w:val="left" w:pos="596"/>
        </w:tabs>
        <w:spacing w:after="184" w:line="230" w:lineRule="exact"/>
        <w:ind w:right="700"/>
        <w:jc w:val="left"/>
      </w:pPr>
      <w:bookmarkStart w:id="154" w:name="bookmark153"/>
      <w:r>
        <w:t>Das Schöpfungsmodell - ideale Ausgangslage für weitere Forschungen</w:t>
      </w:r>
      <w:bookmarkEnd w:id="154"/>
    </w:p>
    <w:p w:rsidR="00BB7EDA" w:rsidRDefault="007D72B3">
      <w:pPr>
        <w:pStyle w:val="Bodytext20"/>
        <w:shd w:val="clear" w:color="auto" w:fill="auto"/>
        <w:spacing w:before="0" w:line="226" w:lineRule="exact"/>
      </w:pPr>
      <w:r>
        <w:t>Die Schlussfolgerungen aus den biblischen Zeugnissen bezüglich der Entstehung der Sprachen haben sich jedoch alle auf eindrückliche Art</w:t>
      </w:r>
      <w:r>
        <w:t xml:space="preserve"> und Weise als korrekt erwiesen. Zahlreiche weitere Fakten aus der Sprachwissenschaft haben immer wieder gezeigt, dass sie im Rahmen der Schöpfungslehre sehr gut eingeordnet und erklärt wer</w:t>
      </w:r>
      <w:r>
        <w:softHyphen/>
        <w:t>den können.</w:t>
      </w:r>
    </w:p>
    <w:p w:rsidR="00BB7EDA" w:rsidRDefault="007D72B3">
      <w:pPr>
        <w:pStyle w:val="Bodytext20"/>
        <w:shd w:val="clear" w:color="auto" w:fill="auto"/>
        <w:spacing w:before="0" w:line="226" w:lineRule="exact"/>
        <w:ind w:firstLine="320"/>
      </w:pPr>
      <w:r>
        <w:t>Aus all diesen in der vorliegenden Arbeit zusammengefü</w:t>
      </w:r>
      <w:r>
        <w:t>hrten Einsichten sollte unbedingt die Konsequenz gezogen werden, dass die Frage nach dem Ursprung der Sprachen im Rahmen der bibli</w:t>
      </w:r>
      <w:r>
        <w:softHyphen/>
        <w:t>schen Sicht volle Beachtung verdient. Somit sollte das Studium der Sprachgeschichte in Zukunft vermehrt im Rahmen -..lei Bibe</w:t>
      </w:r>
      <w:r>
        <w:t>l und dem in ihr verwurzelten Schöpfungsmodell betrieben werden.</w:t>
      </w:r>
      <w:r>
        <w:br w:type="page"/>
      </w:r>
    </w:p>
    <w:p w:rsidR="00BB7EDA" w:rsidRDefault="007D72B3">
      <w:pPr>
        <w:pStyle w:val="Heading40"/>
        <w:keepNext/>
        <w:keepLines/>
        <w:numPr>
          <w:ilvl w:val="1"/>
          <w:numId w:val="206"/>
        </w:numPr>
        <w:shd w:val="clear" w:color="auto" w:fill="auto"/>
        <w:tabs>
          <w:tab w:val="left" w:pos="500"/>
        </w:tabs>
        <w:spacing w:after="0" w:line="264" w:lineRule="exact"/>
        <w:ind w:left="320" w:hanging="320"/>
      </w:pPr>
      <w:bookmarkStart w:id="155" w:name="bookmark154"/>
      <w:r>
        <w:t>Zusammenfassung der wichtigsten Argumente</w:t>
      </w:r>
      <w:bookmarkEnd w:id="155"/>
    </w:p>
    <w:p w:rsidR="00BB7EDA" w:rsidRDefault="007D72B3">
      <w:pPr>
        <w:pStyle w:val="Heading40"/>
        <w:keepNext/>
        <w:keepLines/>
        <w:shd w:val="clear" w:color="auto" w:fill="auto"/>
        <w:spacing w:after="87" w:line="264" w:lineRule="exact"/>
        <w:jc w:val="left"/>
      </w:pPr>
      <w:bookmarkStart w:id="156" w:name="bookmark155"/>
      <w:r>
        <w:t>gegen eine Sprachevolution bzw. für die Lehre des göttlichen Sprachursprungs</w:t>
      </w:r>
      <w:bookmarkEnd w:id="156"/>
    </w:p>
    <w:p w:rsidR="00BB7EDA" w:rsidRDefault="007D72B3">
      <w:pPr>
        <w:pStyle w:val="Bodytext20"/>
        <w:numPr>
          <w:ilvl w:val="0"/>
          <w:numId w:val="207"/>
        </w:numPr>
        <w:shd w:val="clear" w:color="auto" w:fill="auto"/>
        <w:tabs>
          <w:tab w:val="left" w:pos="285"/>
        </w:tabs>
        <w:spacing w:before="0" w:after="60"/>
        <w:ind w:left="320" w:hanging="320"/>
      </w:pPr>
      <w:r>
        <w:t>Die ältesten bekannten Sprachen der Welt sind extrem komplex und besitz</w:t>
      </w:r>
      <w:r>
        <w:t>en keinen Hauch von Primitivität.</w:t>
      </w:r>
      <w:r>
        <w:rPr>
          <w:vertAlign w:val="superscript"/>
        </w:rPr>
        <w:t>538</w:t>
      </w:r>
    </w:p>
    <w:p w:rsidR="00BB7EDA" w:rsidRDefault="007D72B3">
      <w:pPr>
        <w:pStyle w:val="Bodytext20"/>
        <w:numPr>
          <w:ilvl w:val="0"/>
          <w:numId w:val="207"/>
        </w:numPr>
        <w:shd w:val="clear" w:color="auto" w:fill="auto"/>
        <w:tabs>
          <w:tab w:val="left" w:pos="285"/>
        </w:tabs>
        <w:spacing w:before="0" w:after="64"/>
        <w:ind w:left="320" w:hanging="320"/>
      </w:pPr>
      <w:r>
        <w:t>Die ältesten Sprachen der Welt besitzen komplexe morphologi</w:t>
      </w:r>
      <w:r>
        <w:softHyphen/>
        <w:t>sche Strukturen, die man in modernen Sprachen der abendländi</w:t>
      </w:r>
      <w:r>
        <w:softHyphen/>
        <w:t>schen Hochkultur vergeblich sucht.</w:t>
      </w:r>
      <w:r>
        <w:rPr>
          <w:vertAlign w:val="superscript"/>
        </w:rPr>
        <w:t>539</w:t>
      </w:r>
    </w:p>
    <w:p w:rsidR="00BB7EDA" w:rsidRDefault="007D72B3">
      <w:pPr>
        <w:pStyle w:val="Bodytext20"/>
        <w:numPr>
          <w:ilvl w:val="0"/>
          <w:numId w:val="207"/>
        </w:numPr>
        <w:shd w:val="clear" w:color="auto" w:fill="auto"/>
        <w:tabs>
          <w:tab w:val="left" w:pos="285"/>
        </w:tabs>
        <w:spacing w:before="0" w:after="60" w:line="226" w:lineRule="exact"/>
        <w:ind w:left="320" w:hanging="320"/>
      </w:pPr>
      <w:r>
        <w:t xml:space="preserve">Die ältesten bekannten Sprachen der Welt sind von Anfang an </w:t>
      </w:r>
      <w:r>
        <w:t>voll entwickelt. Man kann im weiteren zeitlichen Verlauf keinen Zu</w:t>
      </w:r>
      <w:r>
        <w:softHyphen/>
        <w:t>sammenhang zwischen der fortschreitenden Kulturentwicklung einerseits und der Sprachentwicklung andererseits feststellen.</w:t>
      </w:r>
      <w:r>
        <w:rPr>
          <w:vertAlign w:val="superscript"/>
        </w:rPr>
        <w:t>540</w:t>
      </w:r>
    </w:p>
    <w:p w:rsidR="00BB7EDA" w:rsidRDefault="007D72B3">
      <w:pPr>
        <w:pStyle w:val="Bodytext20"/>
        <w:numPr>
          <w:ilvl w:val="0"/>
          <w:numId w:val="207"/>
        </w:numPr>
        <w:shd w:val="clear" w:color="auto" w:fill="auto"/>
        <w:tabs>
          <w:tab w:val="left" w:pos="285"/>
        </w:tabs>
        <w:spacing w:before="0" w:after="60" w:line="226" w:lineRule="exact"/>
        <w:ind w:left="320" w:hanging="320"/>
      </w:pPr>
      <w:r>
        <w:t xml:space="preserve">Es gibt auf der ganzen Welt keine einzige primitive menschliche </w:t>
      </w:r>
      <w:r>
        <w:t>Sprache, auch nicht unter den Eingeborenen-Stämmen. Sie sind alle wunderbare in sich abgerundete Kommunikations-Mittel mit erstaunlich vielfältigen logischen Denkkategorien.</w:t>
      </w:r>
      <w:r>
        <w:rPr>
          <w:vertAlign w:val="superscript"/>
        </w:rPr>
        <w:t>541</w:t>
      </w:r>
    </w:p>
    <w:p w:rsidR="00BB7EDA" w:rsidRDefault="007D72B3">
      <w:pPr>
        <w:pStyle w:val="Bodytext20"/>
        <w:numPr>
          <w:ilvl w:val="0"/>
          <w:numId w:val="207"/>
        </w:numPr>
        <w:shd w:val="clear" w:color="auto" w:fill="auto"/>
        <w:tabs>
          <w:tab w:val="left" w:pos="285"/>
        </w:tabs>
        <w:spacing w:before="0" w:after="176" w:line="226" w:lineRule="exact"/>
        <w:ind w:left="320" w:hanging="320"/>
      </w:pPr>
      <w:r>
        <w:t>Manche Eingeborenen-Sprachen besitzen hochkomplexe Struk</w:t>
      </w:r>
      <w:r>
        <w:softHyphen/>
        <w:t>turen, die in den Spra</w:t>
      </w:r>
      <w:r>
        <w:t>chen der abendländischen Hochkultur ohne Parallelen sind.</w:t>
      </w:r>
      <w:r>
        <w:rPr>
          <w:vertAlign w:val="superscript"/>
        </w:rPr>
        <w:t>542</w:t>
      </w:r>
    </w:p>
    <w:p w:rsidR="00BB7EDA" w:rsidRDefault="007D72B3">
      <w:pPr>
        <w:pStyle w:val="Bodytext20"/>
        <w:numPr>
          <w:ilvl w:val="0"/>
          <w:numId w:val="207"/>
        </w:numPr>
        <w:shd w:val="clear" w:color="auto" w:fill="auto"/>
        <w:tabs>
          <w:tab w:val="left" w:pos="285"/>
        </w:tabs>
        <w:spacing w:before="0" w:after="64"/>
        <w:ind w:left="320" w:hanging="320"/>
      </w:pPr>
      <w:r>
        <w:t>Zwischen dem kulturellen Niveau einer Sprachgemeinschaft und der Komplexität ihrer Langue besteht kein Zusammenhang.</w:t>
      </w:r>
      <w:r>
        <w:rPr>
          <w:vertAlign w:val="superscript"/>
        </w:rPr>
        <w:t>543</w:t>
      </w:r>
    </w:p>
    <w:p w:rsidR="00BB7EDA" w:rsidRDefault="007D72B3">
      <w:pPr>
        <w:pStyle w:val="Bodytext20"/>
        <w:numPr>
          <w:ilvl w:val="0"/>
          <w:numId w:val="207"/>
        </w:numPr>
        <w:shd w:val="clear" w:color="auto" w:fill="auto"/>
        <w:tabs>
          <w:tab w:val="left" w:pos="285"/>
        </w:tabs>
        <w:spacing w:before="0" w:after="327" w:line="226" w:lineRule="exact"/>
        <w:ind w:left="320" w:hanging="320"/>
      </w:pPr>
      <w:r>
        <w:t>Menschen ohne jegliche linguistische Schulung benützen die komplexen Strukt</w:t>
      </w:r>
      <w:r>
        <w:t>uren ihrer Sprache ohne Mühe. Sie wissen Dinge, von denen sie gar nicht wissen, dass sie sie wissen. Dies illustriert, dass der Mensch zwar in der Lage ist, vorpubertär jedes noch so komplexe vorgegebene Sprachsystem unbewusst zu erfassen und „nachschöpfer</w:t>
      </w:r>
      <w:r>
        <w:t>isch"</w:t>
      </w:r>
      <w:r>
        <w:rPr>
          <w:vertAlign w:val="superscript"/>
        </w:rPr>
        <w:t>544</w:t>
      </w:r>
      <w:r>
        <w:t xml:space="preserve"> einzusetzen, ohne jedoch</w:t>
      </w:r>
    </w:p>
    <w:p w:rsidR="00BB7EDA" w:rsidRDefault="007D72B3">
      <w:pPr>
        <w:pStyle w:val="Bodytext60"/>
        <w:shd w:val="clear" w:color="auto" w:fill="auto"/>
        <w:spacing w:line="192" w:lineRule="exact"/>
        <w:ind w:left="320"/>
        <w:jc w:val="both"/>
      </w:pPr>
      <w:r>
        <w:pict>
          <v:shape id="_x0000_s1195" type="#_x0000_t202" style="position:absolute;left:0;text-align:left;margin-left:-3.2pt;margin-top:-6pt;width:11.75pt;height:70.05pt;z-index:-125829341;mso-wrap-distance-left:5pt;mso-wrap-distance-right:5pt;mso-wrap-distance-bottom:27.75pt;mso-position-horizontal-relative:margin" filled="f" stroked="f">
            <v:textbox style="mso-fit-shape-to-text:t" inset="0,0,0,0">
              <w:txbxContent>
                <w:p w:rsidR="00BB7EDA" w:rsidRDefault="007D72B3">
                  <w:pPr>
                    <w:pStyle w:val="Bodytext150"/>
                    <w:shd w:val="clear" w:color="auto" w:fill="auto"/>
                    <w:jc w:val="left"/>
                  </w:pPr>
                  <w:r>
                    <w:rPr>
                      <w:rStyle w:val="Bodytext15Exact"/>
                    </w:rPr>
                    <w:t>538</w:t>
                  </w:r>
                </w:p>
                <w:p w:rsidR="00BB7EDA" w:rsidRDefault="007D72B3">
                  <w:pPr>
                    <w:pStyle w:val="Bodytext150"/>
                    <w:shd w:val="clear" w:color="auto" w:fill="auto"/>
                    <w:jc w:val="left"/>
                  </w:pPr>
                  <w:r>
                    <w:rPr>
                      <w:rStyle w:val="Bodytext15Exact"/>
                    </w:rPr>
                    <w:t>539</w:t>
                  </w:r>
                </w:p>
                <w:p w:rsidR="00BB7EDA" w:rsidRDefault="007D72B3">
                  <w:pPr>
                    <w:pStyle w:val="Bodytext150"/>
                    <w:shd w:val="clear" w:color="auto" w:fill="auto"/>
                    <w:jc w:val="left"/>
                  </w:pPr>
                  <w:r>
                    <w:rPr>
                      <w:rStyle w:val="Bodytext15Exact"/>
                    </w:rPr>
                    <w:t>540</w:t>
                  </w:r>
                </w:p>
                <w:p w:rsidR="00BB7EDA" w:rsidRDefault="007D72B3">
                  <w:pPr>
                    <w:pStyle w:val="Bodytext150"/>
                    <w:shd w:val="clear" w:color="auto" w:fill="auto"/>
                    <w:jc w:val="left"/>
                  </w:pPr>
                  <w:r>
                    <w:rPr>
                      <w:rStyle w:val="Bodytext15Exact"/>
                    </w:rPr>
                    <w:t>541</w:t>
                  </w:r>
                </w:p>
                <w:p w:rsidR="00BB7EDA" w:rsidRDefault="007D72B3">
                  <w:pPr>
                    <w:pStyle w:val="Bodytext150"/>
                    <w:shd w:val="clear" w:color="auto" w:fill="auto"/>
                    <w:jc w:val="left"/>
                  </w:pPr>
                  <w:r>
                    <w:rPr>
                      <w:rStyle w:val="Bodytext15Exact"/>
                    </w:rPr>
                    <w:t>542</w:t>
                  </w:r>
                </w:p>
                <w:p w:rsidR="00BB7EDA" w:rsidRDefault="007D72B3">
                  <w:pPr>
                    <w:pStyle w:val="Bodytext150"/>
                    <w:shd w:val="clear" w:color="auto" w:fill="auto"/>
                    <w:jc w:val="left"/>
                  </w:pPr>
                  <w:r>
                    <w:rPr>
                      <w:rStyle w:val="Bodytext15Exact"/>
                    </w:rPr>
                    <w:t>543</w:t>
                  </w:r>
                </w:p>
                <w:p w:rsidR="00BB7EDA" w:rsidRDefault="007D72B3">
                  <w:pPr>
                    <w:pStyle w:val="Bodytext150"/>
                    <w:shd w:val="clear" w:color="auto" w:fill="auto"/>
                    <w:jc w:val="left"/>
                  </w:pPr>
                  <w:r>
                    <w:rPr>
                      <w:rStyle w:val="Bodytext15Exact"/>
                    </w:rPr>
                    <w:t>544</w:t>
                  </w:r>
                </w:p>
              </w:txbxContent>
            </v:textbox>
            <w10:wrap type="square" side="right" anchorx="margin"/>
          </v:shape>
        </w:pict>
      </w:r>
      <w:r>
        <w:t>Vgl. 6.</w:t>
      </w:r>
    </w:p>
    <w:p w:rsidR="00BB7EDA" w:rsidRDefault="007D72B3">
      <w:pPr>
        <w:pStyle w:val="Bodytext60"/>
        <w:shd w:val="clear" w:color="auto" w:fill="auto"/>
        <w:spacing w:line="192" w:lineRule="exact"/>
        <w:ind w:left="320"/>
        <w:jc w:val="both"/>
      </w:pPr>
      <w:r>
        <w:t>Vgl. 6.</w:t>
      </w:r>
    </w:p>
    <w:p w:rsidR="00BB7EDA" w:rsidRDefault="007D72B3">
      <w:pPr>
        <w:pStyle w:val="Bodytext60"/>
        <w:shd w:val="clear" w:color="auto" w:fill="auto"/>
        <w:spacing w:line="192" w:lineRule="exact"/>
        <w:ind w:left="320"/>
        <w:jc w:val="both"/>
      </w:pPr>
      <w:r>
        <w:t>Vgl. 6.</w:t>
      </w:r>
    </w:p>
    <w:p w:rsidR="00BB7EDA" w:rsidRDefault="007D72B3">
      <w:pPr>
        <w:pStyle w:val="Bodytext60"/>
        <w:shd w:val="clear" w:color="auto" w:fill="auto"/>
        <w:spacing w:line="192" w:lineRule="exact"/>
        <w:ind w:left="320"/>
        <w:jc w:val="both"/>
      </w:pPr>
      <w:r>
        <w:t>Vgl. 7.</w:t>
      </w:r>
    </w:p>
    <w:p w:rsidR="00BB7EDA" w:rsidRDefault="007D72B3">
      <w:pPr>
        <w:pStyle w:val="Bodytext60"/>
        <w:shd w:val="clear" w:color="auto" w:fill="auto"/>
        <w:spacing w:line="192" w:lineRule="exact"/>
        <w:ind w:left="320"/>
        <w:jc w:val="both"/>
      </w:pPr>
      <w:r>
        <w:t>Vgl. 7.</w:t>
      </w:r>
    </w:p>
    <w:p w:rsidR="00BB7EDA" w:rsidRDefault="007D72B3">
      <w:pPr>
        <w:pStyle w:val="Bodytext60"/>
        <w:shd w:val="clear" w:color="auto" w:fill="auto"/>
        <w:spacing w:line="192" w:lineRule="exact"/>
        <w:ind w:left="320"/>
        <w:jc w:val="both"/>
      </w:pPr>
      <w:r>
        <w:t>Vgl. 7.</w:t>
      </w:r>
    </w:p>
    <w:p w:rsidR="00BB7EDA" w:rsidRDefault="007D72B3">
      <w:pPr>
        <w:pStyle w:val="Bodytext60"/>
        <w:shd w:val="clear" w:color="auto" w:fill="auto"/>
        <w:spacing w:line="192" w:lineRule="exact"/>
        <w:ind w:left="320"/>
        <w:jc w:val="both"/>
      </w:pPr>
      <w:r>
        <w:t xml:space="preserve">Dies ist ein Begriff aus der Musik. Die Leistung eines Musikers, der ein vorgegebenes Werk am Instrument interpretiert, bezeichnet man als </w:t>
      </w:r>
      <w:r>
        <w:t>„nach</w:t>
      </w:r>
      <w:r>
        <w:softHyphen/>
        <w:t>schöpferische Tätigkeit", im Gegensatz zur Arbeit des Komponisten, der das Stück geschaffen hat.</w:t>
      </w:r>
      <w:r>
        <w:br w:type="page"/>
      </w:r>
    </w:p>
    <w:p w:rsidR="00BB7EDA" w:rsidRDefault="007D72B3">
      <w:pPr>
        <w:pStyle w:val="Bodytext20"/>
        <w:shd w:val="clear" w:color="auto" w:fill="auto"/>
        <w:spacing w:before="0" w:after="60"/>
        <w:ind w:left="320"/>
      </w:pPr>
      <w:r>
        <w:t>die Fähigkeit zu haben, eine eigene Sprache quasi „aus dem Nichts" zu erschaffen.</w:t>
      </w:r>
      <w:r>
        <w:rPr>
          <w:vertAlign w:val="superscript"/>
        </w:rPr>
        <w:footnoteReference w:id="449"/>
      </w:r>
    </w:p>
    <w:p w:rsidR="00BB7EDA" w:rsidRDefault="007D72B3">
      <w:pPr>
        <w:pStyle w:val="Bodytext20"/>
        <w:numPr>
          <w:ilvl w:val="0"/>
          <w:numId w:val="207"/>
        </w:numPr>
        <w:shd w:val="clear" w:color="auto" w:fill="auto"/>
        <w:tabs>
          <w:tab w:val="left" w:pos="281"/>
        </w:tabs>
        <w:spacing w:before="0" w:after="60"/>
        <w:ind w:left="320" w:hanging="320"/>
      </w:pPr>
      <w:r>
        <w:t>Die Sprachgeschichte macht deutlich, dass der Bereich der For</w:t>
      </w:r>
      <w:r>
        <w:softHyphen/>
        <w:t>menlehr</w:t>
      </w:r>
      <w:r>
        <w:t>e, der sich der menschlichen Kreativität weitestgehend entzieht, nach und nach in einem drastischen Reduktionsprozess zerfällt. Agglutinierende und flektierende Sprachen bewegen sich mit unterschiedlichem Tempo durch Abbaumechanismen in Richtung auf den is</w:t>
      </w:r>
      <w:r>
        <w:t>olierenden Typus zu. Vollformen werden zu Kurzformen vermindert.</w:t>
      </w:r>
      <w:r>
        <w:rPr>
          <w:vertAlign w:val="superscript"/>
        </w:rPr>
        <w:footnoteReference w:id="450"/>
      </w:r>
    </w:p>
    <w:p w:rsidR="00BB7EDA" w:rsidRDefault="007D72B3">
      <w:pPr>
        <w:pStyle w:val="Bodytext20"/>
        <w:numPr>
          <w:ilvl w:val="0"/>
          <w:numId w:val="207"/>
        </w:numPr>
        <w:shd w:val="clear" w:color="auto" w:fill="auto"/>
        <w:tabs>
          <w:tab w:val="left" w:pos="281"/>
        </w:tabs>
        <w:spacing w:before="0" w:after="64"/>
        <w:ind w:left="320" w:hanging="320"/>
      </w:pPr>
      <w:r>
        <w:t>Es gibt keine Beispiele für isolierende Sprachen, die sich später zu agglutinierenden bzw. zu flektierenden Sprachen entwickelt hätten.</w:t>
      </w:r>
      <w:r>
        <w:rPr>
          <w:vertAlign w:val="superscript"/>
        </w:rPr>
        <w:footnoteReference w:id="451"/>
      </w:r>
    </w:p>
    <w:p w:rsidR="00BB7EDA" w:rsidRDefault="007D72B3">
      <w:pPr>
        <w:pStyle w:val="Bodytext20"/>
        <w:numPr>
          <w:ilvl w:val="0"/>
          <w:numId w:val="207"/>
        </w:numPr>
        <w:shd w:val="clear" w:color="auto" w:fill="auto"/>
        <w:tabs>
          <w:tab w:val="left" w:pos="342"/>
        </w:tabs>
        <w:spacing w:before="0" w:after="60" w:line="226" w:lineRule="exact"/>
        <w:ind w:left="320" w:hanging="320"/>
      </w:pPr>
      <w:r>
        <w:t>Die Bereiche der Sprache, die offen sind für kreative</w:t>
      </w:r>
      <w:r>
        <w:t xml:space="preserve"> Weiterent</w:t>
      </w:r>
      <w:r>
        <w:softHyphen/>
        <w:t>wicklungen, d.h. insbesondere das Vokabular, die Semantik und die Syntax, setzen stets ein schon bestehendes Sprachsystem voraus. Diese Entwicklungen sind Leistungen durch Rekombi</w:t>
      </w:r>
      <w:r>
        <w:softHyphen/>
        <w:t>nation dessen, was bereits in bestehenden Sprachen vorhanden ist.</w:t>
      </w:r>
      <w:r>
        <w:t xml:space="preserve"> Dies widerspricht aber der evolutionistischen Erwartung, dass diese Bereiche einst durch den Menschen quasi „aus dem Nichts" entwickelt worden seien, denn in dieser Hinsicht hat sich der Mensch als unkreativ erwiesen.</w:t>
      </w:r>
      <w:r>
        <w:rPr>
          <w:vertAlign w:val="superscript"/>
        </w:rPr>
        <w:footnoteReference w:id="452"/>
      </w:r>
    </w:p>
    <w:p w:rsidR="00BB7EDA" w:rsidRDefault="007D72B3">
      <w:pPr>
        <w:pStyle w:val="Bodytext20"/>
        <w:numPr>
          <w:ilvl w:val="0"/>
          <w:numId w:val="207"/>
        </w:numPr>
        <w:shd w:val="clear" w:color="auto" w:fill="auto"/>
        <w:tabs>
          <w:tab w:val="left" w:pos="346"/>
        </w:tabs>
        <w:spacing w:before="0" w:after="60" w:line="226" w:lineRule="exact"/>
        <w:ind w:left="320" w:hanging="320"/>
      </w:pPr>
      <w:r>
        <w:t>Sprachen sind im Wesentlichen arbitr</w:t>
      </w:r>
      <w:r>
        <w:t>äre Systeme. Etymologi</w:t>
      </w:r>
      <w:r>
        <w:softHyphen/>
        <w:t>sche Untersuchungen, selbst an den ältesten semitischen Wort</w:t>
      </w:r>
      <w:r>
        <w:softHyphen/>
        <w:t>wurzeln, stehen im Gegensatz zu evolutionistischen Annahmen, bei denen man davon ausgeht, dass Urwörter aus Laut</w:t>
      </w:r>
      <w:r>
        <w:softHyphen/>
        <w:t>nachahmungen entstanden seien.</w:t>
      </w:r>
      <w:r>
        <w:rPr>
          <w:vertAlign w:val="superscript"/>
        </w:rPr>
        <w:footnoteReference w:id="453"/>
      </w:r>
    </w:p>
    <w:p w:rsidR="00BB7EDA" w:rsidRDefault="007D72B3">
      <w:pPr>
        <w:pStyle w:val="Bodytext20"/>
        <w:numPr>
          <w:ilvl w:val="0"/>
          <w:numId w:val="207"/>
        </w:numPr>
        <w:shd w:val="clear" w:color="auto" w:fill="auto"/>
        <w:tabs>
          <w:tab w:val="left" w:pos="346"/>
        </w:tabs>
        <w:spacing w:before="0" w:line="226" w:lineRule="exact"/>
        <w:ind w:left="320" w:hanging="320"/>
      </w:pPr>
      <w:r>
        <w:t>Noch nie hat man erlebt, au</w:t>
      </w:r>
      <w:r>
        <w:t>ch nicht im Zusammenhang mit Wolfskindern, dass Menschen ohne vorgegebene Langue selber eine Laut-Sprache schaffen. Offensichtlich ist der Mensch ohne vorgegebene Sprache nicht in der Lage, sich selber eine Sprache zu schaffen. Es ist offenkundig, dass Kin</w:t>
      </w:r>
      <w:r>
        <w:t>der, die keinen sprachli</w:t>
      </w:r>
      <w:r>
        <w:softHyphen/>
        <w:t>chen Input von ihrer Umwelt bekommen, nie selber eine Sprache entwickeln.</w:t>
      </w:r>
      <w:r>
        <w:rPr>
          <w:vertAlign w:val="superscript"/>
        </w:rPr>
        <w:footnoteReference w:id="454"/>
      </w:r>
    </w:p>
    <w:p w:rsidR="00BB7EDA" w:rsidRDefault="007D72B3">
      <w:pPr>
        <w:pStyle w:val="Bodytext20"/>
        <w:numPr>
          <w:ilvl w:val="0"/>
          <w:numId w:val="207"/>
        </w:numPr>
        <w:shd w:val="clear" w:color="auto" w:fill="auto"/>
        <w:tabs>
          <w:tab w:val="left" w:pos="346"/>
        </w:tabs>
        <w:spacing w:before="0" w:after="56" w:line="226" w:lineRule="exact"/>
        <w:ind w:left="320" w:hanging="320"/>
      </w:pPr>
      <w:r>
        <w:t>Wir haben den engen Zusammenhang zwischen Denken und Sprache erkannt. Das höhere Denken rankt sich an den in der Langue vorgegebenen Kategorien und Struktur</w:t>
      </w:r>
      <w:r>
        <w:t xml:space="preserve">en hinauf. Dies führt uns dazu, dem Prinzip des </w:t>
      </w:r>
      <w:r>
        <w:rPr>
          <w:rStyle w:val="Bodytext2Italic0"/>
        </w:rPr>
        <w:t xml:space="preserve">„Süssmilch'sehen Paradoxon" </w:t>
      </w:r>
      <w:r>
        <w:t xml:space="preserve">zustimmen zu müssen: Der Mensch konnte ohne den Besitz seines höheren Denkvermögens die Sprache gar nicht erfinden. Das höhere Denken seinerseits ist aber von der bestehenden </w:t>
      </w:r>
      <w:r>
        <w:t>Existenz der Sprache abhängig. Die Evolutionslehre kann diesen Widerspruch, im Gegensatz zur Schöpfungslehre, nicht befriedi</w:t>
      </w:r>
      <w:r>
        <w:softHyphen/>
        <w:t>gend lösen.</w:t>
      </w:r>
      <w:r>
        <w:rPr>
          <w:vertAlign w:val="superscript"/>
        </w:rPr>
        <w:footnoteReference w:id="455"/>
      </w:r>
    </w:p>
    <w:p w:rsidR="00BB7EDA" w:rsidRDefault="007D72B3">
      <w:pPr>
        <w:pStyle w:val="Bodytext20"/>
        <w:numPr>
          <w:ilvl w:val="0"/>
          <w:numId w:val="207"/>
        </w:numPr>
        <w:shd w:val="clear" w:color="auto" w:fill="auto"/>
        <w:tabs>
          <w:tab w:val="left" w:pos="346"/>
        </w:tabs>
        <w:spacing w:before="0" w:after="64"/>
        <w:ind w:left="320" w:hanging="320"/>
      </w:pPr>
      <w:r>
        <w:t>Es ist nicht möglich, die Tausenden von heute existierenden Sprachen auf eine einzige Ursprache zurückzuführen. Sprach</w:t>
      </w:r>
      <w:r>
        <w:t>- geschichtliche Rückführungen fordern eine Reihe von selbstän</w:t>
      </w:r>
      <w:r>
        <w:softHyphen/>
        <w:t>digen und voneinander unabhängigen Ursprachen. Konsequen</w:t>
      </w:r>
      <w:r>
        <w:softHyphen/>
        <w:t xml:space="preserve">tes evolutionistisches Denken verlangt jedoch viel eher eine monophyletische Entstehung der Sprachen, doch die Fakten sprechen für eine </w:t>
      </w:r>
      <w:r>
        <w:t>polyphyletische Genese, ganz entsprechend dem biblischen Bericht in Gen 11.</w:t>
      </w:r>
      <w:r>
        <w:rPr>
          <w:vertAlign w:val="superscript"/>
        </w:rPr>
        <w:footnoteReference w:id="456"/>
      </w:r>
    </w:p>
    <w:p w:rsidR="00BB7EDA" w:rsidRDefault="007D72B3">
      <w:pPr>
        <w:pStyle w:val="Bodytext20"/>
        <w:numPr>
          <w:ilvl w:val="0"/>
          <w:numId w:val="207"/>
        </w:numPr>
        <w:shd w:val="clear" w:color="auto" w:fill="auto"/>
        <w:tabs>
          <w:tab w:val="left" w:pos="351"/>
        </w:tabs>
        <w:spacing w:before="0" w:after="60" w:line="226" w:lineRule="exact"/>
        <w:ind w:left="320" w:hanging="320"/>
      </w:pPr>
      <w:r>
        <w:t>Die weltweit vorkommenden Sintflut-, Turmbau- und Sprachen- verwirrungs-Erzählungen stellen eine Bestätigung der Geschicht</w:t>
      </w:r>
      <w:r>
        <w:softHyphen/>
        <w:t>lichkeit der biblischen Berichte über die Entstehung der</w:t>
      </w:r>
      <w:r>
        <w:t xml:space="preserve"> Völker und Sprachen dar.</w:t>
      </w:r>
      <w:r>
        <w:rPr>
          <w:vertAlign w:val="superscript"/>
        </w:rPr>
        <w:footnoteReference w:id="457"/>
      </w:r>
    </w:p>
    <w:p w:rsidR="00BB7EDA" w:rsidRDefault="007D72B3">
      <w:pPr>
        <w:pStyle w:val="Bodytext20"/>
        <w:numPr>
          <w:ilvl w:val="0"/>
          <w:numId w:val="207"/>
        </w:numPr>
        <w:shd w:val="clear" w:color="auto" w:fill="auto"/>
        <w:tabs>
          <w:tab w:val="left" w:pos="351"/>
        </w:tabs>
        <w:spacing w:before="0" w:after="56" w:line="226" w:lineRule="exact"/>
        <w:ind w:left="320" w:hanging="320"/>
      </w:pPr>
      <w:r>
        <w:t xml:space="preserve">Die Daten und Fakten der Bevölkerungsstatistik fügen sich auf sehr natürliche Weise in den zeitlichen Rahmen des in der Bibel präsentierten Geschichts-Schema von Sintflut, Turmbau und Sprachenverwirrung ein. Für den Zeitrahmen </w:t>
      </w:r>
      <w:r>
        <w:t>der Evolution ergeben sich hier dagegen gewichtige Probleme.</w:t>
      </w:r>
      <w:r>
        <w:rPr>
          <w:vertAlign w:val="superscript"/>
        </w:rPr>
        <w:footnoteReference w:id="458"/>
      </w:r>
    </w:p>
    <w:p w:rsidR="00BB7EDA" w:rsidRDefault="007D72B3">
      <w:pPr>
        <w:pStyle w:val="Bodytext20"/>
        <w:numPr>
          <w:ilvl w:val="0"/>
          <w:numId w:val="207"/>
        </w:numPr>
        <w:shd w:val="clear" w:color="auto" w:fill="auto"/>
        <w:tabs>
          <w:tab w:val="left" w:pos="351"/>
        </w:tabs>
        <w:spacing w:before="0" w:after="64"/>
        <w:ind w:left="320" w:hanging="320"/>
      </w:pPr>
      <w:r>
        <w:t>Die Entstehung der Rassen lässt sich aus genetischer Sicht mit Hilfe der durch die Sintflut und durch die Sprachenverwirrung ausgelösten Populations-Engpässe erklären.</w:t>
      </w:r>
      <w:r>
        <w:rPr>
          <w:vertAlign w:val="superscript"/>
        </w:rPr>
        <w:footnoteReference w:id="459"/>
      </w:r>
    </w:p>
    <w:p w:rsidR="00BB7EDA" w:rsidRDefault="007D72B3">
      <w:pPr>
        <w:pStyle w:val="Bodytext20"/>
        <w:numPr>
          <w:ilvl w:val="0"/>
          <w:numId w:val="207"/>
        </w:numPr>
        <w:shd w:val="clear" w:color="auto" w:fill="auto"/>
        <w:tabs>
          <w:tab w:val="left" w:pos="351"/>
        </w:tabs>
        <w:spacing w:before="0" w:after="56" w:line="226" w:lineRule="exact"/>
        <w:ind w:left="320" w:hanging="320"/>
      </w:pPr>
      <w:r>
        <w:t>Die Geschichtlichkeit der</w:t>
      </w:r>
      <w:r>
        <w:t xml:space="preserve"> Erscheinung des neutestamentlichen Sprachenredens stellt eine indirekte Bestätigung für die Glaub</w:t>
      </w:r>
      <w:r>
        <w:softHyphen/>
        <w:t>würdigkeit der biblischen Erzählung von der Entstehung der Sprachen in Eden und in Babel dar. Anhand der Apostelgeschich</w:t>
      </w:r>
      <w:r>
        <w:softHyphen/>
        <w:t xml:space="preserve">te und des 1. Korintherbriefes kann </w:t>
      </w:r>
      <w:r>
        <w:t>historisch glaubwürdig die prinzipielle Möglichkeitaufgezeigt werden, dass Menschen plötz</w:t>
      </w:r>
      <w:r>
        <w:softHyphen/>
        <w:t>lich und ohne vorheriges Lernen, ein gesamtes für sie neues Sprachsystem beherrschen.</w:t>
      </w:r>
      <w:r>
        <w:rPr>
          <w:vertAlign w:val="superscript"/>
        </w:rPr>
        <w:footnoteReference w:id="460"/>
      </w:r>
    </w:p>
    <w:p w:rsidR="00BB7EDA" w:rsidRDefault="007D72B3">
      <w:pPr>
        <w:pStyle w:val="Bodytext20"/>
        <w:numPr>
          <w:ilvl w:val="0"/>
          <w:numId w:val="207"/>
        </w:numPr>
        <w:shd w:val="clear" w:color="auto" w:fill="auto"/>
        <w:tabs>
          <w:tab w:val="left" w:pos="351"/>
        </w:tabs>
        <w:spacing w:before="0" w:after="64"/>
        <w:ind w:left="320" w:hanging="320"/>
      </w:pPr>
      <w:r>
        <w:t xml:space="preserve">Aus der Sicht der </w:t>
      </w:r>
      <w:r>
        <w:rPr>
          <w:rStyle w:val="Bodytext2Italic0"/>
        </w:rPr>
        <w:t>mathematischen Wahrscheinlichkeitsrechnung</w:t>
      </w:r>
      <w:r>
        <w:t xml:space="preserve"> ist eine zufällige</w:t>
      </w:r>
      <w:r>
        <w:t xml:space="preserve"> Entwicklung der neurobiologischen Vorausset</w:t>
      </w:r>
      <w:r>
        <w:softHyphen/>
        <w:t>zungen für die menschliche Sprache (inkl. der „Tiefenstruktur") durch Mutation und Selektion abzulehnen. Dies gilt noch viel mehr für die Annahme eines Mega-Mutationssprunges.</w:t>
      </w:r>
      <w:r>
        <w:rPr>
          <w:vertAlign w:val="superscript"/>
        </w:rPr>
        <w:footnoteReference w:id="461"/>
      </w:r>
    </w:p>
    <w:p w:rsidR="00BB7EDA" w:rsidRDefault="007D72B3">
      <w:pPr>
        <w:pStyle w:val="Bodytext20"/>
        <w:numPr>
          <w:ilvl w:val="0"/>
          <w:numId w:val="207"/>
        </w:numPr>
        <w:shd w:val="clear" w:color="auto" w:fill="auto"/>
        <w:tabs>
          <w:tab w:val="left" w:pos="356"/>
        </w:tabs>
        <w:spacing w:before="0" w:after="60" w:line="226" w:lineRule="exact"/>
        <w:ind w:left="320" w:hanging="320"/>
      </w:pPr>
      <w:r>
        <w:t>Man hat bis heute keine einzige ne</w:t>
      </w:r>
      <w:r>
        <w:t>nnenswerte Komplexitätszu</w:t>
      </w:r>
      <w:r>
        <w:softHyphen/>
        <w:t>nahme durch Mikromutation beobachten können. Alle bisher beobachteten Mutationen bewegen sich in ganz engen artspezifi</w:t>
      </w:r>
      <w:r>
        <w:softHyphen/>
        <w:t xml:space="preserve">schen Grenzen. Somit ist auch aus der Sicht der modernen </w:t>
      </w:r>
      <w:r>
        <w:rPr>
          <w:rStyle w:val="Bodytext2Italic0"/>
        </w:rPr>
        <w:t>Gene</w:t>
      </w:r>
      <w:r>
        <w:rPr>
          <w:rStyle w:val="Bodytext2Italic0"/>
        </w:rPr>
        <w:softHyphen/>
        <w:t>tik</w:t>
      </w:r>
      <w:r>
        <w:t xml:space="preserve"> der Glaube an eine zufällige Entwicklung der </w:t>
      </w:r>
      <w:r>
        <w:t>neurobiologi</w:t>
      </w:r>
      <w:r>
        <w:softHyphen/>
        <w:t>schen Voraussetzungen für die menschliche Sprache (inkl. der „Tiefenstruktur") abzulehnen.</w:t>
      </w:r>
      <w:r>
        <w:rPr>
          <w:vertAlign w:val="superscript"/>
        </w:rPr>
        <w:footnoteReference w:id="462"/>
      </w:r>
    </w:p>
    <w:p w:rsidR="00BB7EDA" w:rsidRDefault="007D72B3">
      <w:pPr>
        <w:pStyle w:val="Bodytext20"/>
        <w:numPr>
          <w:ilvl w:val="0"/>
          <w:numId w:val="207"/>
        </w:numPr>
        <w:shd w:val="clear" w:color="auto" w:fill="auto"/>
        <w:tabs>
          <w:tab w:val="left" w:pos="356"/>
        </w:tabs>
        <w:spacing w:before="0" w:after="60" w:line="226" w:lineRule="exact"/>
        <w:ind w:left="320" w:hanging="320"/>
      </w:pPr>
      <w:r>
        <w:t>In der Fachliteratur sind bisher keine unumstrittenen Ubergangs</w:t>
      </w:r>
      <w:r>
        <w:softHyphen/>
        <w:t>glieder, die eine graduelle Transformation eines menschenaffen</w:t>
      </w:r>
      <w:r>
        <w:softHyphen/>
        <w:t>ähnlichen Gehirns in ein</w:t>
      </w:r>
      <w:r>
        <w:t xml:space="preserve"> menschenähnliches Gehirn belegen, beschrieben worden. Damit spricht der Befund der </w:t>
      </w:r>
      <w:r>
        <w:rPr>
          <w:rStyle w:val="Bodytext2Italic0"/>
        </w:rPr>
        <w:t xml:space="preserve">Paläontologie </w:t>
      </w:r>
      <w:r>
        <w:t>gegen die Entstehung der neurobiologischen Voraussetzung für die menschliche Sprache in einem Evolutionsprozess.</w:t>
      </w:r>
      <w:r>
        <w:rPr>
          <w:vertAlign w:val="superscript"/>
        </w:rPr>
        <w:footnoteReference w:id="463"/>
      </w:r>
    </w:p>
    <w:p w:rsidR="00BB7EDA" w:rsidRDefault="007D72B3">
      <w:pPr>
        <w:pStyle w:val="Bodytext20"/>
        <w:numPr>
          <w:ilvl w:val="0"/>
          <w:numId w:val="207"/>
        </w:numPr>
        <w:shd w:val="clear" w:color="auto" w:fill="auto"/>
        <w:tabs>
          <w:tab w:val="left" w:pos="361"/>
        </w:tabs>
        <w:spacing w:before="0" w:after="60" w:line="226" w:lineRule="exact"/>
        <w:ind w:left="320" w:hanging="320"/>
      </w:pPr>
      <w:r>
        <w:t>Menschliche Sprache ist von prinzipiell ande</w:t>
      </w:r>
      <w:r>
        <w:t>rer Art als tierische Kommunikation. Es ist unmöglich, erstere aus letzterer abzulei</w:t>
      </w:r>
      <w:r>
        <w:softHyphen/>
        <w:t>ten („Chomsky-Argument").</w:t>
      </w:r>
      <w:r>
        <w:rPr>
          <w:vertAlign w:val="superscript"/>
        </w:rPr>
        <w:footnoteReference w:id="464"/>
      </w:r>
    </w:p>
    <w:p w:rsidR="00BB7EDA" w:rsidRDefault="007D72B3">
      <w:pPr>
        <w:pStyle w:val="Bodytext20"/>
        <w:numPr>
          <w:ilvl w:val="0"/>
          <w:numId w:val="207"/>
        </w:numPr>
        <w:shd w:val="clear" w:color="auto" w:fill="auto"/>
        <w:tabs>
          <w:tab w:val="left" w:pos="361"/>
        </w:tabs>
        <w:spacing w:before="0" w:after="56" w:line="226" w:lineRule="exact"/>
        <w:ind w:left="320" w:hanging="320"/>
      </w:pPr>
      <w:r>
        <w:t>Die „Aua-", die „Hauruck-", die „Ding-Dong-", die „Tata-", die „Tarabumm-" und die „Singsang-Theorie" etc. stellen allesamt Ansätze dar, die sic</w:t>
      </w:r>
      <w:r>
        <w:t>h auf keine Fakten abstützen können und spekulativer Natur sind.</w:t>
      </w:r>
      <w:r>
        <w:rPr>
          <w:vertAlign w:val="superscript"/>
        </w:rPr>
        <w:footnoteReference w:id="465"/>
      </w:r>
    </w:p>
    <w:p w:rsidR="00BB7EDA" w:rsidRDefault="007D72B3">
      <w:pPr>
        <w:pStyle w:val="Bodytext20"/>
        <w:numPr>
          <w:ilvl w:val="0"/>
          <w:numId w:val="207"/>
        </w:numPr>
        <w:shd w:val="clear" w:color="auto" w:fill="auto"/>
        <w:tabs>
          <w:tab w:val="left" w:pos="361"/>
        </w:tabs>
        <w:spacing w:before="0" w:after="60"/>
        <w:ind w:left="320" w:hanging="320"/>
      </w:pPr>
      <w:r>
        <w:t>Die ontogenetische Sprachentstehungstheorie scheitert an den fehlenden Parallelen wesentlicher Faktoren zwischen einer stammesgeschichtlichen Sprachentstehung und dem klein</w:t>
      </w:r>
      <w:r>
        <w:softHyphen/>
        <w:t xml:space="preserve">kindlichen </w:t>
      </w:r>
      <w:r>
        <w:t>Spracherwerb. Ein Kind lernt eine Sprache anhand einer bereits vorhandenen Langue, während bei einer stammes</w:t>
      </w:r>
      <w:r>
        <w:softHyphen/>
        <w:t>geschichtlichen Sprachentstehung ein solcher Input fehlen wür</w:t>
      </w:r>
      <w:r>
        <w:softHyphen/>
        <w:t>de. Ferner verlaufen diachrone Sprachentwicklungen z.T. gera</w:t>
      </w:r>
      <w:r>
        <w:softHyphen/>
        <w:t>de konträr zur kindliche</w:t>
      </w:r>
      <w:r>
        <w:t>n Sprachentwicklung.</w:t>
      </w:r>
      <w:r>
        <w:rPr>
          <w:vertAlign w:val="superscript"/>
        </w:rPr>
        <w:footnoteReference w:id="466"/>
      </w:r>
    </w:p>
    <w:p w:rsidR="00BB7EDA" w:rsidRDefault="007D72B3">
      <w:pPr>
        <w:pStyle w:val="Bodytext20"/>
        <w:numPr>
          <w:ilvl w:val="0"/>
          <w:numId w:val="207"/>
        </w:numPr>
        <w:shd w:val="clear" w:color="auto" w:fill="auto"/>
        <w:tabs>
          <w:tab w:val="left" w:pos="361"/>
        </w:tabs>
        <w:spacing w:before="0" w:after="60"/>
        <w:ind w:left="340" w:hanging="340"/>
      </w:pPr>
      <w:r>
        <w:t>Die in Theorie der Mutter-Kind-Beziehung vermutete Entwick</w:t>
      </w:r>
      <w:r>
        <w:softHyphen/>
        <w:t>lung des Sprachproduktionszentrums durch höhere Beanspru</w:t>
      </w:r>
      <w:r>
        <w:softHyphen/>
        <w:t>chung der linken Gehirn-Hemisphäre prähistorischer Mütter ist aus neurobiologischer Sicht absurd. Die Sprachgenese dur</w:t>
      </w:r>
      <w:r>
        <w:t>ch die Mütter scheitert an den Tatsachen, dass a) der Mensch keine Sprachkreativität besitzt, um aus dem Nichts eine Langue zu schaffen</w:t>
      </w:r>
      <w:r>
        <w:rPr>
          <w:vertAlign w:val="superscript"/>
        </w:rPr>
        <w:footnoteReference w:id="467"/>
      </w:r>
      <w:r>
        <w:t xml:space="preserve"> und b) dass im mütterlichen Alter die vorpubertäre sprachsensible Phase bereits vorüber ist.</w:t>
      </w:r>
      <w:r>
        <w:rPr>
          <w:vertAlign w:val="superscript"/>
        </w:rPr>
        <w:footnoteReference w:id="468"/>
      </w:r>
    </w:p>
    <w:p w:rsidR="00BB7EDA" w:rsidRDefault="007D72B3">
      <w:pPr>
        <w:pStyle w:val="Bodytext20"/>
        <w:numPr>
          <w:ilvl w:val="0"/>
          <w:numId w:val="207"/>
        </w:numPr>
        <w:shd w:val="clear" w:color="auto" w:fill="auto"/>
        <w:tabs>
          <w:tab w:val="left" w:pos="361"/>
        </w:tabs>
        <w:spacing w:before="0"/>
        <w:ind w:left="340" w:hanging="340"/>
      </w:pPr>
      <w:r>
        <w:t>Die Evolutionslehre stütz</w:t>
      </w:r>
      <w:r>
        <w:t>t sich auf eine naturphilosophische Spekulation ab. Die Schöpfungslehre hingegen steht auf dem Fundament der Bibel. Die Heilige Schrift kann u.a. durch die erfüllte Prophetie als Gottes Wort ausgewiesen werden.</w:t>
      </w:r>
      <w:r>
        <w:rPr>
          <w:vertAlign w:val="superscript"/>
        </w:rPr>
        <w:footnoteReference w:id="469"/>
      </w:r>
    </w:p>
    <w:p w:rsidR="00BB7EDA" w:rsidRDefault="007D72B3">
      <w:pPr>
        <w:pStyle w:val="Heading30"/>
        <w:keepNext/>
        <w:keepLines/>
        <w:numPr>
          <w:ilvl w:val="0"/>
          <w:numId w:val="206"/>
        </w:numPr>
        <w:shd w:val="clear" w:color="auto" w:fill="auto"/>
        <w:tabs>
          <w:tab w:val="left" w:pos="475"/>
        </w:tabs>
        <w:spacing w:after="418" w:line="260" w:lineRule="exact"/>
      </w:pPr>
      <w:bookmarkStart w:id="157" w:name="bookmark156"/>
      <w:r>
        <w:t>Im Anfang war das Wort</w:t>
      </w:r>
      <w:bookmarkEnd w:id="157"/>
    </w:p>
    <w:p w:rsidR="00BB7EDA" w:rsidRDefault="007D72B3">
      <w:pPr>
        <w:pStyle w:val="Heading40"/>
        <w:keepNext/>
        <w:keepLines/>
        <w:shd w:val="clear" w:color="auto" w:fill="auto"/>
        <w:spacing w:after="433" w:line="210" w:lineRule="exact"/>
      </w:pPr>
      <w:bookmarkStart w:id="158" w:name="bookmark157"/>
      <w:r>
        <w:t>12.1 Zur Grundlage de</w:t>
      </w:r>
      <w:r>
        <w:t>s Schöpfungsmodells</w:t>
      </w:r>
      <w:bookmarkEnd w:id="158"/>
    </w:p>
    <w:p w:rsidR="00BB7EDA" w:rsidRDefault="007D72B3">
      <w:pPr>
        <w:pStyle w:val="Bodytext90"/>
        <w:numPr>
          <w:ilvl w:val="0"/>
          <w:numId w:val="208"/>
        </w:numPr>
        <w:shd w:val="clear" w:color="auto" w:fill="auto"/>
        <w:tabs>
          <w:tab w:val="left" w:pos="586"/>
        </w:tabs>
        <w:spacing w:after="159" w:line="180" w:lineRule="exact"/>
      </w:pPr>
      <w:r>
        <w:t>Die Bibel = Gottes Wort</w:t>
      </w:r>
    </w:p>
    <w:p w:rsidR="00BB7EDA" w:rsidRDefault="007D72B3">
      <w:pPr>
        <w:pStyle w:val="Bodytext20"/>
        <w:shd w:val="clear" w:color="auto" w:fill="auto"/>
        <w:spacing w:before="0" w:after="120"/>
      </w:pPr>
      <w:r>
        <w:t xml:space="preserve">Das Fundament der Schöpfungslehre ist die Bibel. Dieses Buch behauptet von sich selbst, </w:t>
      </w:r>
      <w:r>
        <w:rPr>
          <w:rStyle w:val="Bodytext2Italic0"/>
        </w:rPr>
        <w:t>Gottes Wort</w:t>
      </w:r>
      <w:r>
        <w:t xml:space="preserve"> zu sein (vgl. 2Tim 3,16):</w:t>
      </w:r>
    </w:p>
    <w:p w:rsidR="00BB7EDA" w:rsidRDefault="007D72B3">
      <w:pPr>
        <w:pStyle w:val="Bodytext20"/>
        <w:shd w:val="clear" w:color="auto" w:fill="auto"/>
        <w:spacing w:before="0" w:after="124"/>
        <w:ind w:left="320" w:right="320"/>
      </w:pPr>
      <w:r>
        <w:t>„Alle Schrift ist von Gott eingegeben</w:t>
      </w:r>
      <w:r>
        <w:rPr>
          <w:vertAlign w:val="superscript"/>
        </w:rPr>
        <w:footnoteReference w:id="470"/>
      </w:r>
      <w:r>
        <w:t xml:space="preserve"> und nütze zur Beleh</w:t>
      </w:r>
      <w:r>
        <w:softHyphen/>
        <w:t xml:space="preserve">rung, zur Überführung, zur </w:t>
      </w:r>
      <w:r>
        <w:t>Zurechtweisung, zur Unterwei</w:t>
      </w:r>
      <w:r>
        <w:softHyphen/>
        <w:t>sung in der Gerechtigkeit..."</w:t>
      </w:r>
    </w:p>
    <w:p w:rsidR="00BB7EDA" w:rsidRDefault="007D72B3">
      <w:pPr>
        <w:pStyle w:val="Bodytext20"/>
        <w:shd w:val="clear" w:color="auto" w:fill="auto"/>
        <w:spacing w:before="0" w:after="120" w:line="226" w:lineRule="exact"/>
        <w:ind w:firstLine="320"/>
      </w:pPr>
      <w:r>
        <w:t xml:space="preserve">Dieser Anspruch steht im krassen Gegensatz zur Basis der Evolutionslehre, die auf der Grundlage </w:t>
      </w:r>
      <w:r>
        <w:rPr>
          <w:rStyle w:val="Bodytext2Italic0"/>
        </w:rPr>
        <w:t>menschlicher Spekulation</w:t>
      </w:r>
      <w:r>
        <w:t xml:space="preserve"> natur</w:t>
      </w:r>
      <w:r>
        <w:softHyphen/>
        <w:t>philosophischer Art ruht. Im Blick auf diese Art von Denkgrundlage sch</w:t>
      </w:r>
      <w:r>
        <w:t>rieb Paulus (Kol 2,8):</w:t>
      </w:r>
    </w:p>
    <w:p w:rsidR="00BB7EDA" w:rsidRDefault="007D72B3">
      <w:pPr>
        <w:pStyle w:val="Bodytext20"/>
        <w:shd w:val="clear" w:color="auto" w:fill="auto"/>
        <w:spacing w:before="0" w:after="120" w:line="226" w:lineRule="exact"/>
        <w:ind w:left="320" w:right="320"/>
      </w:pPr>
      <w:r>
        <w:t>„Seht zu, dass nicht jemand sei, der euch als Beute wegführe durch die Philosophie und durch leeren Betrug, gemäß der Überlieferung der Menschen, gemäß den Axiomen der Welt, und nicht Christus gemäß."</w:t>
      </w:r>
    </w:p>
    <w:p w:rsidR="00BB7EDA" w:rsidRDefault="007D72B3">
      <w:pPr>
        <w:pStyle w:val="Bodytext20"/>
        <w:shd w:val="clear" w:color="auto" w:fill="auto"/>
        <w:spacing w:before="0" w:after="120" w:line="226" w:lineRule="exact"/>
        <w:ind w:firstLine="320"/>
      </w:pPr>
      <w:r>
        <w:t>Wir haben gesehen, dass die ling</w:t>
      </w:r>
      <w:r>
        <w:t>uistischen Tatsachen die Aussa</w:t>
      </w:r>
      <w:r>
        <w:softHyphen/>
        <w:t xml:space="preserve">gen der Bibel bezüglich des Ursprungs der Sprachen eindrücklich bestätigen und zum Schluss führen, dass </w:t>
      </w:r>
      <w:r>
        <w:rPr>
          <w:rStyle w:val="Bodytext2Italic0"/>
        </w:rPr>
        <w:t>Gott, der Schöpfer, der Urheber der menschlichen Sprachen und all der in ihnen vorlwndenen logischen Denkkategorien ist.</w:t>
      </w:r>
    </w:p>
    <w:p w:rsidR="00BB7EDA" w:rsidRDefault="007D72B3">
      <w:pPr>
        <w:pStyle w:val="Bodytext100"/>
        <w:numPr>
          <w:ilvl w:val="0"/>
          <w:numId w:val="209"/>
        </w:numPr>
        <w:shd w:val="clear" w:color="auto" w:fill="auto"/>
        <w:tabs>
          <w:tab w:val="left" w:pos="740"/>
        </w:tabs>
        <w:spacing w:before="0"/>
        <w:ind w:firstLine="0"/>
      </w:pPr>
      <w:r>
        <w:t>Prophetie</w:t>
      </w:r>
      <w:r>
        <w:rPr>
          <w:rStyle w:val="Bodytext109ptNotItalic"/>
          <w:b/>
          <w:bCs/>
        </w:rPr>
        <w:t xml:space="preserve"> - </w:t>
      </w:r>
      <w:r>
        <w:t>Gottes Siegel auf die Bibel</w:t>
      </w:r>
    </w:p>
    <w:p w:rsidR="00BB7EDA" w:rsidRDefault="007D72B3">
      <w:pPr>
        <w:pStyle w:val="Bodytext20"/>
        <w:shd w:val="clear" w:color="auto" w:fill="auto"/>
        <w:spacing w:before="0" w:line="226" w:lineRule="exact"/>
      </w:pPr>
      <w:r>
        <w:t>Wenn sich nun belegen ließe, dass die Bibel tatsächlich Gottes Wort ist, so bekämen die eben gemachten Aussagen noch ungemein größeres Gewicht.</w:t>
      </w:r>
    </w:p>
    <w:p w:rsidR="00BB7EDA" w:rsidRDefault="007D72B3">
      <w:pPr>
        <w:pStyle w:val="Bodytext20"/>
        <w:shd w:val="clear" w:color="auto" w:fill="auto"/>
        <w:spacing w:before="0" w:line="226" w:lineRule="exact"/>
        <w:ind w:firstLine="320"/>
      </w:pPr>
      <w:r>
        <w:t>Einen besonders überzeugenden Beleg für die göttliche Inspirati</w:t>
      </w:r>
      <w:r>
        <w:softHyphen/>
        <w:t>on der B</w:t>
      </w:r>
      <w:r>
        <w:t xml:space="preserve">ibel liefert z.B. die </w:t>
      </w:r>
      <w:r>
        <w:rPr>
          <w:rStyle w:val="Bodytext2Italic0"/>
        </w:rPr>
        <w:t>erfüllte Prophetie.</w:t>
      </w:r>
      <w:r>
        <w:t xml:space="preserve"> Sie ist ein göttliches Siegel auf die Bibel.</w:t>
      </w:r>
    </w:p>
    <w:p w:rsidR="00BB7EDA" w:rsidRDefault="007D72B3">
      <w:pPr>
        <w:pStyle w:val="Bodytext20"/>
        <w:shd w:val="clear" w:color="auto" w:fill="auto"/>
        <w:spacing w:before="0" w:line="226" w:lineRule="exact"/>
        <w:ind w:firstLine="320"/>
      </w:pPr>
      <w:r>
        <w:t>Zu erwähnen wären in diesem Zusammenhang zunächst die messianischen Prophezeiungen auf Jesus Christus hin:</w:t>
      </w:r>
    </w:p>
    <w:p w:rsidR="00BB7EDA" w:rsidRDefault="007D72B3">
      <w:pPr>
        <w:pStyle w:val="Bodytext100"/>
        <w:numPr>
          <w:ilvl w:val="0"/>
          <w:numId w:val="209"/>
        </w:numPr>
        <w:shd w:val="clear" w:color="auto" w:fill="auto"/>
        <w:tabs>
          <w:tab w:val="left" w:pos="754"/>
        </w:tabs>
        <w:spacing w:before="0"/>
        <w:ind w:firstLine="0"/>
      </w:pPr>
      <w:r>
        <w:t>Messianische Prophetie</w:t>
      </w:r>
    </w:p>
    <w:p w:rsidR="00BB7EDA" w:rsidRDefault="007D72B3">
      <w:pPr>
        <w:pStyle w:val="Bodytext20"/>
        <w:shd w:val="clear" w:color="auto" w:fill="auto"/>
        <w:spacing w:before="0" w:after="180" w:line="226" w:lineRule="exact"/>
      </w:pPr>
      <w:r>
        <w:t>Im Alten Testament wurde das Kommen des</w:t>
      </w:r>
      <w:r>
        <w:t xml:space="preserve"> leidenden „Messias", des versprochenen Erlösers, durch über 300 äußerst genaue und differenzierte Prophezeiungen angekündigt. Diese prophetischen Verheißungen wurden nachweislich in vorchristlicher Zeit abgefasst. In dem historischen Jesus von Nazareth wu</w:t>
      </w:r>
      <w:r>
        <w:t>rden all diese Weissa</w:t>
      </w:r>
      <w:r>
        <w:softHyphen/>
        <w:t>gungen wörtlich erfüllt. Es handelt sich um Voraussagen mit Bezug auf den genauen Zeitpunkt seines Kommens, seinen Geburtsort, seine Kreuzigung, seine Ablehnung durch die Masse des jüdischen Volkes, die darauf folgende Zerstörung Jeru</w:t>
      </w:r>
      <w:r>
        <w:t>salems, die weltweite Zerstreuung der Juden usw. In meinem Buch „Der verheißene Erlö</w:t>
      </w:r>
      <w:r>
        <w:softHyphen/>
        <w:t>ser"</w:t>
      </w:r>
      <w:r>
        <w:rPr>
          <w:vertAlign w:val="superscript"/>
        </w:rPr>
        <w:footnoteReference w:id="471"/>
      </w:r>
      <w:r>
        <w:t xml:space="preserve"> habe ich dies ausführlich dokumentiert.</w:t>
      </w:r>
    </w:p>
    <w:p w:rsidR="00BB7EDA" w:rsidRDefault="007D72B3">
      <w:pPr>
        <w:pStyle w:val="Bodytext100"/>
        <w:numPr>
          <w:ilvl w:val="0"/>
          <w:numId w:val="209"/>
        </w:numPr>
        <w:shd w:val="clear" w:color="auto" w:fill="auto"/>
        <w:tabs>
          <w:tab w:val="left" w:pos="754"/>
        </w:tabs>
        <w:spacing w:before="0"/>
        <w:ind w:firstLine="0"/>
      </w:pPr>
      <w:r>
        <w:t>Prophetie über Weltgeschichte</w:t>
      </w:r>
    </w:p>
    <w:p w:rsidR="00BB7EDA" w:rsidRDefault="007D72B3">
      <w:pPr>
        <w:pStyle w:val="Bodytext20"/>
        <w:shd w:val="clear" w:color="auto" w:fill="auto"/>
        <w:spacing w:before="0" w:line="226" w:lineRule="exact"/>
      </w:pPr>
      <w:r>
        <w:t>Hinzu kommen noch viel mehr erfüllte Prophezeiungen über Welt</w:t>
      </w:r>
      <w:r>
        <w:softHyphen/>
        <w:t xml:space="preserve">geschichte. Die alten Propheten </w:t>
      </w:r>
      <w:r>
        <w:t>Israels haben ausführlich über den Aufstieg und Niedergang verschiedener Weltreiche, sowie über das Los zahlreicher Völker und bedeutender Städte gesprochen. Allein im Buch Daniel finden sich schon über 200 in Erfüllung gegangene Weissagungen zu diesem The</w:t>
      </w:r>
      <w:r>
        <w:t>ma. Unter dem Titel „Weltgeschichte im Visier des Propheten Daniel"</w:t>
      </w:r>
      <w:r>
        <w:rPr>
          <w:vertAlign w:val="superscript"/>
        </w:rPr>
        <w:footnoteReference w:id="472"/>
      </w:r>
      <w:r>
        <w:t xml:space="preserve"> habe ich dies im Blick auf das Buch Daniel ausführlich behandelt. Ich habe auch ins Einzelne gehend dargelegt, dass diese Schrift tatsächlich bereits im 6. Jahr</w:t>
      </w:r>
      <w:r>
        <w:softHyphen/>
        <w:t>hundert v. Chr. verfasst w</w:t>
      </w:r>
      <w:r>
        <w:t xml:space="preserve">orden ist, d.h. eindeutig </w:t>
      </w:r>
      <w:r>
        <w:rPr>
          <w:rStyle w:val="Bodytext2Italic0"/>
        </w:rPr>
        <w:t>vor</w:t>
      </w:r>
      <w:r>
        <w:t xml:space="preserve"> den darin prophezeiten Ereignissen.</w:t>
      </w:r>
    </w:p>
    <w:p w:rsidR="00BB7EDA" w:rsidRDefault="007D72B3">
      <w:pPr>
        <w:pStyle w:val="Bodytext20"/>
        <w:shd w:val="clear" w:color="auto" w:fill="auto"/>
        <w:spacing w:before="0" w:line="226" w:lineRule="exact"/>
        <w:ind w:firstLine="320"/>
      </w:pPr>
      <w:r>
        <w:t xml:space="preserve">Keine Religion oder Weltanschauung, keine esoterische Lehre und keine Ideologie kann sich durch detaillierte Prophetie, die sich über Jahrhunderte und Jahrtausende hinweg erstreckt und sich </w:t>
      </w:r>
      <w:r>
        <w:t>unfehlbar erfüllt hat, ausweisen. Die Bibel steht hier allein und über jedem Vergleich. Dieser Tatbestand spricht dafür, dass der Gott der Bibel der allein wahre Gott ist (vgl. Joh 17,3 und Jes 41,21- 29; 43,9-13; 44,6-8; 46,8-11). Die erfüllte Prophetie i</w:t>
      </w:r>
      <w:r>
        <w:t>st eine gewaltige Bestätigung dafür, dass die Bibel Gottes Wort ist.</w:t>
      </w:r>
      <w:r>
        <w:rPr>
          <w:vertAlign w:val="superscript"/>
        </w:rPr>
        <w:footnoteReference w:id="473"/>
      </w:r>
      <w:r>
        <w:t xml:space="preserve"> Sie vermag tiefes Vertrauen in die Aussagen der Heiligen Schrift zu wecken, letztlich selbst da, wo wir - bedingt durch unsere menschliche Beschränkung - gar nicht in der Lage sind, ihre</w:t>
      </w:r>
      <w:r>
        <w:t xml:space="preserve"> Aussagen zu überprüfen.</w:t>
      </w:r>
    </w:p>
    <w:p w:rsidR="00BB7EDA" w:rsidRDefault="007D72B3">
      <w:pPr>
        <w:pStyle w:val="Bodytext20"/>
        <w:shd w:val="clear" w:color="auto" w:fill="auto"/>
        <w:spacing w:before="0" w:line="226" w:lineRule="exact"/>
        <w:ind w:firstLine="320"/>
      </w:pPr>
      <w:r>
        <w:t>Es lohnt sich daher, nicht nur auf das zu achten, was die Bibel über die Entstehung der Sprachen sagt, sondern auch auf all ihre Aussagen, die darüber hinausgehen und ganz besonders da, wo sie von entscheidender Bedeutung für das H</w:t>
      </w:r>
      <w:r>
        <w:t>eil des Menschen sind.</w:t>
      </w:r>
    </w:p>
    <w:p w:rsidR="00BB7EDA" w:rsidRDefault="007D72B3">
      <w:pPr>
        <w:pStyle w:val="Bodytext20"/>
        <w:shd w:val="clear" w:color="auto" w:fill="auto"/>
        <w:spacing w:before="0" w:line="226" w:lineRule="exact"/>
        <w:ind w:firstLine="320"/>
      </w:pPr>
      <w:r>
        <w:t>Wenn die Bibel nachweislich unfehlbar die Zukunft über Jahr</w:t>
      </w:r>
      <w:r>
        <w:softHyphen/>
        <w:t>tausende Voraussagen kann, dann sind doch erst recht ihre Informa</w:t>
      </w:r>
      <w:r>
        <w:softHyphen/>
        <w:t>tionen über die Vergangenheit, und somit auch über die menschli</w:t>
      </w:r>
      <w:r>
        <w:softHyphen/>
        <w:t>che Urgeschichte, vernünftigerweise glaubwü</w:t>
      </w:r>
      <w:r>
        <w:t>rdig.</w:t>
      </w:r>
    </w:p>
    <w:p w:rsidR="00BB7EDA" w:rsidRDefault="007D72B3">
      <w:pPr>
        <w:pStyle w:val="Bodytext20"/>
        <w:shd w:val="clear" w:color="auto" w:fill="auto"/>
        <w:spacing w:before="0" w:after="493" w:line="226" w:lineRule="exact"/>
        <w:ind w:firstLine="320"/>
      </w:pPr>
      <w:r>
        <w:t>Indem wir ins Auge fassen, auf welch festem Fundament sich die linguistische Schöpfungsforschung abstützen kann, möchte ich im Folgenden noch auf einige biblisch-theologische Punkte hin- weisen, die in engem Zusammenhang mit dem Thema „Sprachen" steh</w:t>
      </w:r>
      <w:r>
        <w:t>en.</w:t>
      </w:r>
    </w:p>
    <w:p w:rsidR="00BB7EDA" w:rsidRDefault="007D72B3">
      <w:pPr>
        <w:pStyle w:val="Heading40"/>
        <w:keepNext/>
        <w:keepLines/>
        <w:numPr>
          <w:ilvl w:val="0"/>
          <w:numId w:val="210"/>
        </w:numPr>
        <w:shd w:val="clear" w:color="auto" w:fill="auto"/>
        <w:tabs>
          <w:tab w:val="left" w:pos="510"/>
        </w:tabs>
        <w:spacing w:after="212" w:line="210" w:lineRule="exact"/>
      </w:pPr>
      <w:bookmarkStart w:id="159" w:name="bookmark158"/>
      <w:r>
        <w:t>Der Mensch: zur Kommunikation geschaffen</w:t>
      </w:r>
      <w:bookmarkEnd w:id="159"/>
    </w:p>
    <w:p w:rsidR="00BB7EDA" w:rsidRDefault="007D72B3">
      <w:pPr>
        <w:pStyle w:val="Bodytext20"/>
        <w:shd w:val="clear" w:color="auto" w:fill="auto"/>
        <w:spacing w:before="0" w:line="226" w:lineRule="exact"/>
      </w:pPr>
      <w:r>
        <w:t>Die Mitteilungen der Bibel, aber auch die Tatsachen der Wissen</w:t>
      </w:r>
      <w:r>
        <w:softHyphen/>
        <w:t>schaft, stehen der Meinung völlig entgegen, dass der Mensch eine Art „sprechender Affe" sei.</w:t>
      </w:r>
    </w:p>
    <w:p w:rsidR="00BB7EDA" w:rsidRDefault="007D72B3">
      <w:pPr>
        <w:pStyle w:val="Bodytext20"/>
        <w:shd w:val="clear" w:color="auto" w:fill="auto"/>
        <w:spacing w:before="0" w:line="226" w:lineRule="exact"/>
        <w:ind w:firstLine="320"/>
      </w:pPr>
      <w:r>
        <w:t>Aus Gen 1 und 2 geht hervor, dass Gott den Menschen als</w:t>
      </w:r>
      <w:r>
        <w:t xml:space="preserve"> besonderes Wesen in seinem Bild und nach seinem Gleichnis ge</w:t>
      </w:r>
      <w:r>
        <w:softHyphen/>
        <w:t>schaffen hat. Die in der Schöpfung dem Menschen zugedachte Stellung übersteigt daher diejenige der Tiere.</w:t>
      </w:r>
    </w:p>
    <w:p w:rsidR="00BB7EDA" w:rsidRDefault="007D72B3">
      <w:pPr>
        <w:pStyle w:val="Bodytext20"/>
        <w:shd w:val="clear" w:color="auto" w:fill="auto"/>
        <w:spacing w:before="0" w:after="553" w:line="226" w:lineRule="exact"/>
        <w:ind w:firstLine="320"/>
      </w:pPr>
      <w:r>
        <w:t>Wir haben bereits gesehen, dass die ersten Kapitel der Heiligen Schrift bezeugen, dass G</w:t>
      </w:r>
      <w:r>
        <w:t>ott den Menschen von Anfang an zur Kommunikation befähigt hat, sowohl zur Kommunikation mit dem Mitmenschen als auch zur Kommunikation mit Gott. Diese Befähi</w:t>
      </w:r>
      <w:r>
        <w:softHyphen/>
        <w:t>gung unterscheidet den Menschen markant von den Tieren.</w:t>
      </w:r>
    </w:p>
    <w:p w:rsidR="00BB7EDA" w:rsidRDefault="007D72B3">
      <w:pPr>
        <w:pStyle w:val="Heading40"/>
        <w:keepNext/>
        <w:keepLines/>
        <w:numPr>
          <w:ilvl w:val="0"/>
          <w:numId w:val="210"/>
        </w:numPr>
        <w:shd w:val="clear" w:color="auto" w:fill="auto"/>
        <w:tabs>
          <w:tab w:val="left" w:pos="505"/>
        </w:tabs>
        <w:spacing w:after="212" w:line="210" w:lineRule="exact"/>
      </w:pPr>
      <w:bookmarkStart w:id="160" w:name="bookmark159"/>
      <w:r>
        <w:t>Gott: ein Gott der Kommunikation</w:t>
      </w:r>
      <w:bookmarkEnd w:id="160"/>
    </w:p>
    <w:p w:rsidR="00BB7EDA" w:rsidRDefault="007D72B3">
      <w:pPr>
        <w:pStyle w:val="Bodytext20"/>
        <w:shd w:val="clear" w:color="auto" w:fill="auto"/>
        <w:spacing w:before="0" w:line="226" w:lineRule="exact"/>
      </w:pPr>
      <w:r>
        <w:t xml:space="preserve">Sprache </w:t>
      </w:r>
      <w:r>
        <w:t>und Kommunikation ist zutiefst mit dem Wesen Gottes verbunden. Schon im Buch Hiob wird davon gesprochen, dass in der Gottheit selbst eine Kommunikation besteht. Eliphas, der Temaniter, fragte Hiob mit ironischem Unterton (Hi 15,8):</w:t>
      </w:r>
    </w:p>
    <w:p w:rsidR="00BB7EDA" w:rsidRDefault="007D72B3">
      <w:pPr>
        <w:pStyle w:val="Bodytext20"/>
        <w:shd w:val="clear" w:color="auto" w:fill="auto"/>
        <w:spacing w:before="0" w:after="176" w:line="226" w:lineRule="exact"/>
        <w:ind w:left="320" w:right="320"/>
      </w:pPr>
      <w:r>
        <w:t>„Hast du im geheimen Rat</w:t>
      </w:r>
      <w:r>
        <w:t xml:space="preserve"> Gottes zugehört, und die Weisheit an dich gerissen?“</w:t>
      </w:r>
      <w:r>
        <w:rPr>
          <w:vertAlign w:val="superscript"/>
        </w:rPr>
        <w:footnoteReference w:id="474"/>
      </w:r>
    </w:p>
    <w:p w:rsidR="00BB7EDA" w:rsidRDefault="007D72B3">
      <w:pPr>
        <w:pStyle w:val="Bodytext20"/>
        <w:shd w:val="clear" w:color="auto" w:fill="auto"/>
        <w:spacing w:before="0"/>
        <w:ind w:firstLine="320"/>
      </w:pPr>
      <w:r>
        <w:t>Besonders durch das Neue Testament, wo die Lehre der Trinität, der Dreieinheit Gottes (Vater, Sohn und Heiliger Geist) klar entfaltet ist,</w:t>
      </w:r>
      <w:r>
        <w:rPr>
          <w:vertAlign w:val="superscript"/>
        </w:rPr>
        <w:footnoteReference w:id="475"/>
      </w:r>
      <w:r>
        <w:t xml:space="preserve"> wird verständlich, was man unter diesem „geheimen Rat Gottes"</w:t>
      </w:r>
      <w:r>
        <w:t xml:space="preserve"> zu verstehen hat.</w:t>
      </w:r>
    </w:p>
    <w:p w:rsidR="00BB7EDA" w:rsidRDefault="007D72B3">
      <w:pPr>
        <w:pStyle w:val="Bodytext20"/>
        <w:shd w:val="clear" w:color="auto" w:fill="auto"/>
        <w:spacing w:before="0" w:after="184" w:line="235" w:lineRule="exact"/>
        <w:ind w:firstLine="320"/>
      </w:pPr>
      <w:r>
        <w:t>Gemäß Tit 1,1-3 gab es diese Kommunikation in der Gottheit schon vor Erschaffung der Welt:</w:t>
      </w:r>
    </w:p>
    <w:p w:rsidR="00BB7EDA" w:rsidRDefault="007D72B3">
      <w:pPr>
        <w:pStyle w:val="Bodytext20"/>
        <w:shd w:val="clear" w:color="auto" w:fill="auto"/>
        <w:spacing w:before="0" w:after="184"/>
        <w:ind w:left="320" w:right="320"/>
      </w:pPr>
      <w:r>
        <w:t>„[1] Paulus, Knecht Gottes, aber Apostel Jesu Christi, nach dem Glauben der Auserwählten Gottes und nach der Er</w:t>
      </w:r>
      <w:r>
        <w:softHyphen/>
        <w:t>kenntnis der Wahrheit, die nach de</w:t>
      </w:r>
      <w:r>
        <w:t xml:space="preserve">r Gottseligkeit ist, [2] in der Hoffnung </w:t>
      </w:r>
      <w:r>
        <w:rPr>
          <w:rStyle w:val="Bodytext2Italic0"/>
        </w:rPr>
        <w:t>des ewigen Lebens, welches Gott, der nicht lügen kann, verheißen hat vor ewigen Zeiten,</w:t>
      </w:r>
      <w:r>
        <w:t xml:space="preserve"> [3] zu seiner Zeit aber sein Wort geoffenbart hat durch die Predigt, die mir anvertraut worden ist nach Befehl unseres Heilandg</w:t>
      </w:r>
      <w:r>
        <w:t>ottes..."</w:t>
      </w:r>
    </w:p>
    <w:p w:rsidR="00BB7EDA" w:rsidRDefault="007D72B3">
      <w:pPr>
        <w:pStyle w:val="Bodytext20"/>
        <w:shd w:val="clear" w:color="auto" w:fill="auto"/>
        <w:spacing w:before="0" w:line="226" w:lineRule="exact"/>
        <w:ind w:firstLine="320"/>
      </w:pPr>
      <w:r>
        <w:t>Dieser Stelle können wir entnehmen, dass bevor irgendetwas erschaffen war, eben „vor ewigen Zeiten", Gott seinem Sohn gegen</w:t>
      </w:r>
      <w:r>
        <w:softHyphen/>
        <w:t>über eine Verheißung abgegeben hat bezüglich des ewigen Lebens, das glaubende Menschen einst bekommen würden.</w:t>
      </w:r>
    </w:p>
    <w:p w:rsidR="00BB7EDA" w:rsidRDefault="007D72B3">
      <w:pPr>
        <w:pStyle w:val="Bodytext20"/>
        <w:shd w:val="clear" w:color="auto" w:fill="auto"/>
        <w:spacing w:before="0" w:after="180" w:line="226" w:lineRule="exact"/>
        <w:ind w:firstLine="320"/>
      </w:pPr>
      <w:r>
        <w:t>Bemerkenswer</w:t>
      </w:r>
      <w:r>
        <w:t>terweise wird der Sohn Gottes, Jesus Christus, in Joh 1 das „Wort" genannt (Joh 1,1.3.14):</w:t>
      </w:r>
    </w:p>
    <w:p w:rsidR="00BB7EDA" w:rsidRDefault="007D72B3">
      <w:pPr>
        <w:pStyle w:val="Bodytext20"/>
        <w:shd w:val="clear" w:color="auto" w:fill="auto"/>
        <w:spacing w:before="0" w:line="226" w:lineRule="exact"/>
        <w:ind w:left="320" w:right="320"/>
      </w:pPr>
      <w:r>
        <w:t xml:space="preserve">„ [1 ] Im Anfang war </w:t>
      </w:r>
      <w:r>
        <w:rPr>
          <w:rStyle w:val="Bodytext2Italic0"/>
        </w:rPr>
        <w:t>das Wort,</w:t>
      </w:r>
      <w:r>
        <w:t xml:space="preserve"> und </w:t>
      </w:r>
      <w:r>
        <w:rPr>
          <w:rStyle w:val="Bodytext2Italic0"/>
        </w:rPr>
        <w:t>das Wort</w:t>
      </w:r>
      <w:r>
        <w:t xml:space="preserve"> war bei Gott, und </w:t>
      </w:r>
      <w:r>
        <w:rPr>
          <w:rStyle w:val="Bodytext2Italic0"/>
        </w:rPr>
        <w:t>das Wort</w:t>
      </w:r>
      <w:r>
        <w:t xml:space="preserve"> war Gott. [2] Dieses war im Anfang bei Gott. [3] Alles kam durch dasselbe ins Dasein, und ohne</w:t>
      </w:r>
      <w:r>
        <w:t xml:space="preserve"> dasselbe kam auch nicht ein Ding ins Dasein, das ins Dasein gekommen ist. ...[14] Und </w:t>
      </w:r>
      <w:r>
        <w:rPr>
          <w:rStyle w:val="Bodytext2Italic0"/>
        </w:rPr>
        <w:t>das Wort</w:t>
      </w:r>
      <w:r>
        <w:t xml:space="preserve"> wurde Fleisch</w:t>
      </w:r>
      <w:r>
        <w:rPr>
          <w:vertAlign w:val="superscript"/>
        </w:rPr>
        <w:footnoteReference w:id="476"/>
      </w:r>
      <w:r>
        <w:t xml:space="preserve"> und wohnte unter uns (und wir haben seine Herrlichkeit angeschaut, eine Herrlichkeit als Ein</w:t>
      </w:r>
      <w:r>
        <w:softHyphen/>
        <w:t>geborener des Vaters,) voller Gnade und Wahrheit."</w:t>
      </w:r>
    </w:p>
    <w:p w:rsidR="00BB7EDA" w:rsidRDefault="007D72B3">
      <w:pPr>
        <w:pStyle w:val="Bodytext20"/>
        <w:shd w:val="clear" w:color="auto" w:fill="auto"/>
        <w:spacing w:before="0" w:after="116" w:line="226" w:lineRule="exact"/>
        <w:ind w:firstLine="320"/>
      </w:pPr>
      <w:r>
        <w:t xml:space="preserve">Im griechischen Grundtext steht für „Wort" der Ausdruck </w:t>
      </w:r>
      <w:r>
        <w:rPr>
          <w:rStyle w:val="Bodytext2Italic0"/>
        </w:rPr>
        <w:t xml:space="preserve">logos, </w:t>
      </w:r>
      <w:r>
        <w:t>was unter anderem „Rede", „Darstellung", „Erzählung", „Beschrei</w:t>
      </w:r>
      <w:r>
        <w:softHyphen/>
        <w:t xml:space="preserve">bung" bedeutet. Mit der Bezeichnung </w:t>
      </w:r>
      <w:r>
        <w:rPr>
          <w:rStyle w:val="Bodytext2Italic0"/>
        </w:rPr>
        <w:t>logos</w:t>
      </w:r>
      <w:r>
        <w:t xml:space="preserve"> soll zum Ausdruck gebracht werden, dass Gott sich durch den Sohn Gottes mitteilen bzw. </w:t>
      </w:r>
      <w:r>
        <w:t>offenbaren will. Deshalb heißt es auch in Joh 1,18:</w:t>
      </w:r>
    </w:p>
    <w:p w:rsidR="00BB7EDA" w:rsidRDefault="007D72B3">
      <w:pPr>
        <w:pStyle w:val="Bodytext20"/>
        <w:shd w:val="clear" w:color="auto" w:fill="auto"/>
        <w:spacing w:before="0" w:after="120"/>
        <w:ind w:left="320" w:right="320"/>
      </w:pPr>
      <w:r>
        <w:t>„Niemand hat Gott jemals gesehen; der eingeborene Sohn, der im Schoß des Vaters ist, der hat ihn kundgemacht."</w:t>
      </w:r>
    </w:p>
    <w:p w:rsidR="00BB7EDA" w:rsidRDefault="007D72B3">
      <w:pPr>
        <w:pStyle w:val="Bodytext20"/>
        <w:shd w:val="clear" w:color="auto" w:fill="auto"/>
        <w:spacing w:before="0"/>
        <w:ind w:firstLine="320"/>
      </w:pPr>
      <w:r>
        <w:t>Um den gegen 7.000 x im AT vorkommenden Eigennamen Got</w:t>
      </w:r>
      <w:r>
        <w:softHyphen/>
        <w:t>tes nicht zum Eitlen auszusprechen (vg</w:t>
      </w:r>
      <w:r>
        <w:t xml:space="preserve">l. 2Mo 20,7), hat man im Judentum bereits in vorchristlicher Zeit begonnen, „JAHWE" durch andere Ausdrücke zu ersetzen. Der bekannteste Ersatz ist die oft im NT vorkommende Benennung „HERR". In den aramäischen Targumim findet sich oft der Begriff </w:t>
      </w:r>
      <w:r>
        <w:rPr>
          <w:rStyle w:val="Bodytext2Italic0"/>
        </w:rPr>
        <w:t>memra' 'a</w:t>
      </w:r>
      <w:r>
        <w:rPr>
          <w:rStyle w:val="Bodytext2Italic0"/>
        </w:rPr>
        <w:t>donai</w:t>
      </w:r>
      <w:r>
        <w:t xml:space="preserve"> als Bezeichnung des wahren Gottes, der sich durch die Heilige Schrift geoffenbart hat.</w:t>
      </w:r>
      <w:r>
        <w:rPr>
          <w:vertAlign w:val="superscript"/>
        </w:rPr>
        <w:footnoteReference w:id="477"/>
      </w:r>
      <w:r>
        <w:t xml:space="preserve"> Auf dieser Gottes-Benennung baut Joh 1,1-3 auf.</w:t>
      </w:r>
    </w:p>
    <w:p w:rsidR="00BB7EDA" w:rsidRDefault="007D72B3">
      <w:pPr>
        <w:pStyle w:val="Bodytext20"/>
        <w:shd w:val="clear" w:color="auto" w:fill="auto"/>
        <w:spacing w:before="0" w:after="120"/>
        <w:ind w:firstLine="320"/>
      </w:pPr>
      <w:r>
        <w:t xml:space="preserve">Gott offenbart sich immer </w:t>
      </w:r>
      <w:r>
        <w:rPr>
          <w:rStyle w:val="Bodytext2Italic0"/>
        </w:rPr>
        <w:t>durch den Sohn.</w:t>
      </w:r>
      <w:r>
        <w:t xml:space="preserve"> Deshalb kann man Gott nur kennen lernen, indem man den Sohn Gottes kennen lernt. Der Herr Jesus Christus sagte selbst (Joh 14,6):</w:t>
      </w:r>
    </w:p>
    <w:p w:rsidR="00BB7EDA" w:rsidRDefault="007D72B3">
      <w:pPr>
        <w:pStyle w:val="Bodytext20"/>
        <w:shd w:val="clear" w:color="auto" w:fill="auto"/>
        <w:spacing w:before="0" w:after="436"/>
        <w:ind w:left="320" w:right="320"/>
      </w:pPr>
      <w:r>
        <w:t>„Ich bin der Weg, die Wahrheit und das Leben. Niemand kommt zum Vater als nur durch mich."</w:t>
      </w:r>
    </w:p>
    <w:p w:rsidR="00BB7EDA" w:rsidRDefault="007D72B3">
      <w:pPr>
        <w:pStyle w:val="Heading40"/>
        <w:keepNext/>
        <w:keepLines/>
        <w:numPr>
          <w:ilvl w:val="0"/>
          <w:numId w:val="210"/>
        </w:numPr>
        <w:shd w:val="clear" w:color="auto" w:fill="auto"/>
        <w:tabs>
          <w:tab w:val="left" w:pos="510"/>
        </w:tabs>
        <w:spacing w:after="157" w:line="210" w:lineRule="exact"/>
      </w:pPr>
      <w:bookmarkStart w:id="161" w:name="bookmark160"/>
      <w:r>
        <w:t>Gott hat gesprochen</w:t>
      </w:r>
      <w:bookmarkEnd w:id="161"/>
    </w:p>
    <w:p w:rsidR="00BB7EDA" w:rsidRDefault="007D72B3">
      <w:pPr>
        <w:pStyle w:val="Bodytext20"/>
        <w:shd w:val="clear" w:color="auto" w:fill="auto"/>
        <w:spacing w:before="0" w:line="226" w:lineRule="exact"/>
      </w:pPr>
      <w:r>
        <w:t>Gott will sich</w:t>
      </w:r>
      <w:r>
        <w:t xml:space="preserve"> also dem Menschen durch sein Sprechen kundtun. Vom Anfang der Schöpfung an, und durch die ganze Geschichte des Volkes Israels hindurch, bis zum Kommen von Jesus Christus, teilte sich Gott stets durch sein Reden mit. Über 3.800 Mal erwähnt das AT, dass Got</w:t>
      </w:r>
      <w:r>
        <w:t>t gesprochen hat.</w:t>
      </w:r>
      <w:r>
        <w:rPr>
          <w:vertAlign w:val="superscript"/>
        </w:rPr>
        <w:footnoteReference w:id="478"/>
      </w:r>
    </w:p>
    <w:p w:rsidR="00BB7EDA" w:rsidRDefault="007D72B3">
      <w:pPr>
        <w:pStyle w:val="Bodytext20"/>
        <w:shd w:val="clear" w:color="auto" w:fill="auto"/>
        <w:spacing w:before="0" w:after="124"/>
        <w:ind w:firstLine="320"/>
      </w:pPr>
      <w:r>
        <w:t>Gott ließ sein Wort an die Menschen schriftlich fixieren. Petrus bezeugte in seinem letzten Brief aus der Todeszelle, dass die bibli</w:t>
      </w:r>
      <w:r>
        <w:softHyphen/>
        <w:t>schen Propheten von Gott inspiriert waren (2Pet 1,20-21):</w:t>
      </w:r>
    </w:p>
    <w:p w:rsidR="00BB7EDA" w:rsidRDefault="007D72B3">
      <w:pPr>
        <w:pStyle w:val="Bodytext20"/>
        <w:shd w:val="clear" w:color="auto" w:fill="auto"/>
        <w:spacing w:before="0" w:line="226" w:lineRule="exact"/>
        <w:ind w:left="320" w:right="320"/>
        <w:sectPr w:rsidR="00BB7EDA">
          <w:pgSz w:w="7266" w:h="11422"/>
          <w:pgMar w:top="837" w:right="816" w:bottom="1113" w:left="786" w:header="0" w:footer="3" w:gutter="0"/>
          <w:cols w:space="720"/>
          <w:noEndnote/>
          <w:docGrid w:linePitch="360"/>
        </w:sectPr>
      </w:pPr>
      <w:r>
        <w:t xml:space="preserve">„...[20] indem ihr dies </w:t>
      </w:r>
      <w:r>
        <w:t>zuerst wisst, dass keine Weissagung der Schrift von eigener Auslegung ist. [21 ] Denn die Weissa</w:t>
      </w:r>
      <w:r>
        <w:softHyphen/>
        <w:t>gung wurde niemals durch den Willen des Menschen hervor-</w:t>
      </w:r>
    </w:p>
    <w:p w:rsidR="00BB7EDA" w:rsidRDefault="007D72B3">
      <w:pPr>
        <w:pStyle w:val="Bodytext120"/>
        <w:shd w:val="clear" w:color="auto" w:fill="auto"/>
        <w:spacing w:before="0" w:after="138" w:line="150" w:lineRule="exact"/>
      </w:pPr>
      <w:r>
        <w:t xml:space="preserve">irj n.-i^.y« ^KiTtsn^yii -rty </w:t>
      </w:r>
      <w:r>
        <w:rPr>
          <w:rStyle w:val="Bodytext12SmallCaps"/>
        </w:rPr>
        <w:t>&gt;n</w:t>
      </w:r>
      <w:r>
        <w:t xml:space="preserve"> yjj^H Kva* </w:t>
      </w:r>
      <w:r>
        <w:rPr>
          <w:rStyle w:val="Bodytext12PalatinoLinotype4ptBoldItalicSpacing0pt"/>
        </w:rPr>
        <w:t>*x*vz£</w:t>
      </w:r>
      <w:r>
        <w:t xml:space="preserve"> pti</w:t>
      </w:r>
      <w:r>
        <w:rPr>
          <w:vertAlign w:val="superscript"/>
        </w:rPr>
        <w:t>1</w:t>
      </w:r>
      <w:r>
        <w:t xml:space="preserve"> 'tHih </w:t>
      </w:r>
      <w:r>
        <w:rPr>
          <w:rStyle w:val="Bodytext12SmallCaps"/>
          <w:vertAlign w:val="superscript"/>
        </w:rPr>
        <w:t>/</w:t>
      </w:r>
      <w:r>
        <w:rPr>
          <w:rStyle w:val="Bodytext12SmallCaps"/>
        </w:rPr>
        <w:t>^k</w:t>
      </w:r>
      <w:r>
        <w:t xml:space="preserve"> t</w:t>
      </w:r>
    </w:p>
    <w:p w:rsidR="00BB7EDA" w:rsidRPr="007D72B3" w:rsidRDefault="007D72B3">
      <w:pPr>
        <w:pStyle w:val="Bodytext120"/>
        <w:shd w:val="clear" w:color="auto" w:fill="auto"/>
        <w:tabs>
          <w:tab w:val="left" w:pos="3724"/>
        </w:tabs>
        <w:spacing w:before="0" w:after="106" w:line="150" w:lineRule="exact"/>
        <w:rPr>
          <w:lang w:val="en-US"/>
        </w:rPr>
      </w:pPr>
      <w:r w:rsidRPr="007D72B3">
        <w:rPr>
          <w:lang w:val="en-US"/>
        </w:rPr>
        <w:t xml:space="preserve">rv&lt;i w\iw •rrr'yny -frw </w:t>
      </w:r>
      <w:r w:rsidRPr="007D72B3">
        <w:rPr>
          <w:rStyle w:val="Bodytext12SmallCaps"/>
          <w:lang w:val="en-US"/>
        </w:rPr>
        <w:t>k*s</w:t>
      </w:r>
      <w:r w:rsidRPr="007D72B3">
        <w:rPr>
          <w:lang w:val="en-US"/>
        </w:rPr>
        <w:t xml:space="preserve"> *</w:t>
      </w:r>
      <w:r w:rsidRPr="007D72B3">
        <w:rPr>
          <w:vertAlign w:val="superscript"/>
          <w:lang w:val="en-US"/>
        </w:rPr>
        <w:t>r</w:t>
      </w:r>
      <w:r w:rsidRPr="007D72B3">
        <w:rPr>
          <w:lang w:val="en-US"/>
        </w:rPr>
        <w:t>!2ö-</w:t>
      </w:r>
      <w:r w:rsidRPr="007D72B3">
        <w:rPr>
          <w:lang w:val="en-US"/>
        </w:rPr>
        <w:t xml:space="preserve">-&gt;nth </w:t>
      </w:r>
      <w:r w:rsidRPr="007D72B3">
        <w:rPr>
          <w:rStyle w:val="Bodytext12SmallCaps"/>
          <w:lang w:val="en-US"/>
        </w:rPr>
        <w:t>tt</w:t>
      </w:r>
      <w:r w:rsidRPr="007D72B3">
        <w:rPr>
          <w:lang w:val="en-US"/>
        </w:rPr>
        <w:tab/>
        <w:t xml:space="preserve">-rtaycs* </w:t>
      </w:r>
      <w:r w:rsidRPr="007D72B3">
        <w:rPr>
          <w:vertAlign w:val="superscript"/>
          <w:lang w:val="en-US"/>
        </w:rPr>
        <w:t>,</w:t>
      </w:r>
      <w:r w:rsidRPr="007D72B3">
        <w:rPr>
          <w:lang w:val="en-US"/>
        </w:rPr>
        <w:t xml:space="preserve">2rK‘t»K </w:t>
      </w:r>
      <w:r w:rsidRPr="007D72B3">
        <w:rPr>
          <w:rStyle w:val="Bodytext12SmallCaps"/>
          <w:lang w:val="en-US"/>
        </w:rPr>
        <w:t>&gt;k</w:t>
      </w:r>
      <w:r w:rsidRPr="007D72B3">
        <w:rPr>
          <w:lang w:val="en-US"/>
        </w:rPr>
        <w:t xml:space="preserve"> tts</w:t>
      </w:r>
    </w:p>
    <w:p w:rsidR="00BB7EDA" w:rsidRPr="007D72B3" w:rsidRDefault="007D72B3">
      <w:pPr>
        <w:pStyle w:val="Bodytext290"/>
        <w:shd w:val="clear" w:color="auto" w:fill="auto"/>
        <w:spacing w:before="0" w:after="104" w:line="160" w:lineRule="exact"/>
        <w:rPr>
          <w:lang w:val="en-US"/>
        </w:rPr>
      </w:pPr>
      <w:r w:rsidRPr="007D72B3">
        <w:rPr>
          <w:lang w:val="en-US"/>
        </w:rPr>
        <w:t xml:space="preserve">v 7tr^^TÖtayyi^3*fftSn^Jsv^'j </w:t>
      </w:r>
      <w:r w:rsidRPr="007D72B3">
        <w:rPr>
          <w:rStyle w:val="Bodytext29SmallCaps"/>
          <w:b/>
          <w:bCs/>
          <w:lang w:val="en-US"/>
        </w:rPr>
        <w:t>-tPi</w:t>
      </w:r>
      <w:r w:rsidRPr="007D72B3">
        <w:rPr>
          <w:lang w:val="en-US"/>
        </w:rPr>
        <w:t xml:space="preserve"> ,tfir&lt; hrü Vvyj'Til'H'» $iy</w:t>
      </w:r>
    </w:p>
    <w:p w:rsidR="00BB7EDA" w:rsidRPr="007D72B3" w:rsidRDefault="007D72B3">
      <w:pPr>
        <w:pStyle w:val="Bodytext290"/>
        <w:shd w:val="clear" w:color="auto" w:fill="auto"/>
        <w:tabs>
          <w:tab w:val="left" w:pos="3724"/>
        </w:tabs>
        <w:spacing w:before="0" w:after="0" w:line="154" w:lineRule="exact"/>
        <w:ind w:left="2140"/>
        <w:rPr>
          <w:lang w:val="en-US"/>
        </w:rPr>
      </w:pPr>
      <w:r w:rsidRPr="007D72B3">
        <w:rPr>
          <w:lang w:val="en-US"/>
        </w:rPr>
        <w:t xml:space="preserve">Tiftixi </w:t>
      </w:r>
      <w:r w:rsidRPr="007D72B3">
        <w:rPr>
          <w:rStyle w:val="Bodytext29SmallCaps"/>
          <w:b/>
          <w:bCs/>
          <w:lang w:val="en-US"/>
        </w:rPr>
        <w:t>Sua</w:t>
      </w:r>
      <w:r w:rsidRPr="007D72B3">
        <w:rPr>
          <w:lang w:val="en-US"/>
        </w:rPr>
        <w:t xml:space="preserve"> tu</w:t>
      </w:r>
      <w:r w:rsidRPr="007D72B3">
        <w:rPr>
          <w:lang w:val="en-US"/>
        </w:rPr>
        <w:tab/>
      </w:r>
      <w:r w:rsidRPr="007D72B3">
        <w:rPr>
          <w:rStyle w:val="Bodytext29Georgia85ptNotBold"/>
          <w:lang w:val="en-US"/>
        </w:rPr>
        <w:t>»71</w:t>
      </w:r>
      <w:r w:rsidRPr="007D72B3">
        <w:rPr>
          <w:lang w:val="en-US"/>
        </w:rPr>
        <w:t xml:space="preserve"> -H-ivn na -yyojA -w</w:t>
      </w:r>
    </w:p>
    <w:p w:rsidR="00BB7EDA" w:rsidRPr="007D72B3" w:rsidRDefault="007D72B3">
      <w:pPr>
        <w:pStyle w:val="Bodytext300"/>
        <w:shd w:val="clear" w:color="auto" w:fill="auto"/>
        <w:tabs>
          <w:tab w:val="left" w:pos="3917"/>
          <w:tab w:val="left" w:pos="4315"/>
          <w:tab w:val="left" w:pos="5141"/>
        </w:tabs>
        <w:ind w:left="960"/>
        <w:rPr>
          <w:lang w:val="en-US"/>
        </w:rPr>
      </w:pPr>
      <w:r w:rsidRPr="007D72B3">
        <w:rPr>
          <w:lang w:val="en-US"/>
        </w:rPr>
        <w:t>| ,</w:t>
      </w:r>
      <w:r w:rsidRPr="007D72B3">
        <w:rPr>
          <w:lang w:val="en-US"/>
        </w:rPr>
        <w:tab/>
        <w:t>1</w:t>
      </w:r>
      <w:r w:rsidRPr="007D72B3">
        <w:rPr>
          <w:lang w:val="en-US"/>
        </w:rPr>
        <w:tab/>
      </w:r>
      <w:r w:rsidRPr="007D72B3">
        <w:rPr>
          <w:rStyle w:val="Bodytext30Georgia"/>
          <w:b w:val="0"/>
          <w:bCs w:val="0"/>
          <w:lang w:val="en-US"/>
        </w:rPr>
        <w:t>1</w:t>
      </w:r>
      <w:r w:rsidRPr="007D72B3">
        <w:rPr>
          <w:lang w:val="en-US"/>
        </w:rPr>
        <w:t xml:space="preserve"> i</w:t>
      </w:r>
      <w:r w:rsidRPr="007D72B3">
        <w:rPr>
          <w:lang w:val="en-US"/>
        </w:rPr>
        <w:tab/>
        <w:t>1</w:t>
      </w:r>
    </w:p>
    <w:p w:rsidR="00BB7EDA" w:rsidRPr="007D72B3" w:rsidRDefault="007D72B3">
      <w:pPr>
        <w:pStyle w:val="Bodytext310"/>
        <w:shd w:val="clear" w:color="auto" w:fill="auto"/>
        <w:spacing w:after="99"/>
        <w:rPr>
          <w:lang w:val="en-US"/>
        </w:rPr>
      </w:pPr>
      <w:r w:rsidRPr="007D72B3">
        <w:rPr>
          <w:rStyle w:val="Bodytext31SmallCaps"/>
          <w:lang w:val="en-US"/>
        </w:rPr>
        <w:t>ik</w:t>
      </w:r>
      <w:r w:rsidRPr="007D72B3">
        <w:rPr>
          <w:lang w:val="en-US"/>
        </w:rPr>
        <w:t xml:space="preserve"> “fn^y nw A03V41 »y'h ^JiKij'Xn'ih </w:t>
      </w:r>
      <w:r w:rsidRPr="007D72B3">
        <w:rPr>
          <w:rStyle w:val="Bodytext31SmallCaps"/>
          <w:lang w:val="en-US"/>
        </w:rPr>
        <w:t xml:space="preserve">K'vh </w:t>
      </w:r>
      <w:r w:rsidRPr="007D72B3">
        <w:rPr>
          <w:rStyle w:val="Bodytext31SmallCaps"/>
          <w:vertAlign w:val="superscript"/>
          <w:lang w:val="en-US"/>
        </w:rPr>
        <w:t>v</w:t>
      </w:r>
      <w:r w:rsidRPr="007D72B3">
        <w:rPr>
          <w:rStyle w:val="Bodytext31SmallCaps"/>
          <w:lang w:val="en-US"/>
        </w:rPr>
        <w:t>k</w:t>
      </w:r>
      <w:r w:rsidRPr="007D72B3">
        <w:rPr>
          <w:lang w:val="en-US"/>
        </w:rPr>
        <w:t xml:space="preserve"> *'**&gt;1 Vjy v« w</w:t>
      </w:r>
    </w:p>
    <w:p w:rsidR="00BB7EDA" w:rsidRPr="007D72B3" w:rsidRDefault="007D72B3">
      <w:pPr>
        <w:pStyle w:val="Bodytext20"/>
        <w:shd w:val="clear" w:color="auto" w:fill="auto"/>
        <w:spacing w:before="0" w:after="73" w:line="180" w:lineRule="exact"/>
        <w:rPr>
          <w:lang w:val="en-US"/>
        </w:rPr>
      </w:pPr>
      <w:r w:rsidRPr="007D72B3">
        <w:rPr>
          <w:lang w:val="en-US"/>
        </w:rPr>
        <w:t xml:space="preserve">;%y </w:t>
      </w:r>
      <w:r w:rsidRPr="007D72B3">
        <w:rPr>
          <w:rStyle w:val="Bodytext2Spacing5pt"/>
          <w:lang w:val="en-US"/>
        </w:rPr>
        <w:t xml:space="preserve">vr»«-WyjtJfc’*- </w:t>
      </w:r>
      <w:r w:rsidRPr="007D72B3">
        <w:rPr>
          <w:lang w:val="en-US"/>
        </w:rPr>
        <w:t>,T-d&gt;' vm *y** tqv» Apy^</w:t>
      </w:r>
    </w:p>
    <w:p w:rsidR="00BB7EDA" w:rsidRPr="007D72B3" w:rsidRDefault="007D72B3">
      <w:pPr>
        <w:pStyle w:val="Bodytext310"/>
        <w:shd w:val="clear" w:color="auto" w:fill="auto"/>
        <w:spacing w:after="0" w:line="170" w:lineRule="exact"/>
        <w:jc w:val="right"/>
        <w:rPr>
          <w:lang w:val="en-US"/>
        </w:rPr>
      </w:pPr>
      <w:r w:rsidRPr="007D72B3">
        <w:rPr>
          <w:rStyle w:val="Bodytext31SmallCaps"/>
          <w:lang w:val="en-US"/>
        </w:rPr>
        <w:t xml:space="preserve">• -&gt;i*kkk </w:t>
      </w:r>
      <w:r w:rsidRPr="007D72B3">
        <w:rPr>
          <w:rStyle w:val="Bodytext31PalatinoLinotypeBoldItalic"/>
          <w:lang w:val="en-US"/>
        </w:rPr>
        <w:t>K-vx'viWi</w:t>
      </w:r>
      <w:r w:rsidRPr="007D72B3">
        <w:rPr>
          <w:lang w:val="en-US"/>
        </w:rPr>
        <w:t xml:space="preserve"> Ttnnj«j-v&lt;‘rt &gt;* imimi 7^</w:t>
      </w:r>
    </w:p>
    <w:p w:rsidR="00BB7EDA" w:rsidRPr="007D72B3" w:rsidRDefault="007D72B3">
      <w:pPr>
        <w:pStyle w:val="Bodytext290"/>
        <w:shd w:val="clear" w:color="auto" w:fill="auto"/>
        <w:tabs>
          <w:tab w:val="left" w:pos="3136"/>
        </w:tabs>
        <w:spacing w:before="0" w:after="0" w:line="160" w:lineRule="exact"/>
        <w:ind w:left="1720"/>
        <w:rPr>
          <w:lang w:val="en-US"/>
        </w:rPr>
      </w:pPr>
      <w:r w:rsidRPr="007D72B3">
        <w:rPr>
          <w:lang w:val="en-US"/>
        </w:rPr>
        <w:t>f .</w:t>
      </w:r>
      <w:r w:rsidRPr="007D72B3">
        <w:rPr>
          <w:lang w:val="en-US"/>
        </w:rPr>
        <w:tab/>
        <w:t>t i</w:t>
      </w:r>
    </w:p>
    <w:p w:rsidR="00BB7EDA" w:rsidRPr="007D72B3" w:rsidRDefault="007D72B3">
      <w:pPr>
        <w:pStyle w:val="Bodytext320"/>
        <w:shd w:val="clear" w:color="auto" w:fill="auto"/>
        <w:tabs>
          <w:tab w:val="left" w:pos="2510"/>
        </w:tabs>
        <w:ind w:left="600"/>
        <w:rPr>
          <w:lang w:val="en-US"/>
        </w:rPr>
      </w:pPr>
      <w:r w:rsidRPr="007D72B3">
        <w:rPr>
          <w:rStyle w:val="Bodytext32Corbel6pt"/>
          <w:lang w:val="en-US"/>
        </w:rPr>
        <w:t>1</w:t>
      </w:r>
      <w:r w:rsidRPr="007D72B3">
        <w:rPr>
          <w:lang w:val="en-US"/>
        </w:rPr>
        <w:t xml:space="preserve"> hK)5 W'</w:t>
      </w:r>
      <w:r w:rsidRPr="007D72B3">
        <w:rPr>
          <w:lang w:val="en-US"/>
        </w:rPr>
        <w:tab/>
        <w:t>-H^Jl.-Ofl H'vr.^t^i j*i&gt;H P '43 -rt^sn</w:t>
      </w:r>
    </w:p>
    <w:p w:rsidR="00BB7EDA" w:rsidRPr="007D72B3" w:rsidRDefault="007D72B3">
      <w:pPr>
        <w:pStyle w:val="Bodytext330"/>
        <w:shd w:val="clear" w:color="auto" w:fill="auto"/>
        <w:ind w:left="1600"/>
        <w:rPr>
          <w:lang w:val="en-US"/>
        </w:rPr>
      </w:pPr>
      <w:r w:rsidRPr="007D72B3">
        <w:rPr>
          <w:rStyle w:val="Bodytext33ArialNotBoldNotItalicSpacing0pt"/>
          <w:lang w:val="en-US"/>
        </w:rPr>
        <w:t xml:space="preserve">vtiK/L'"n wv® </w:t>
      </w:r>
      <w:r w:rsidRPr="007D72B3">
        <w:rPr>
          <w:lang w:val="en-US"/>
        </w:rPr>
        <w:t xml:space="preserve">&gt;n VjpxKfm'zi* </w:t>
      </w:r>
      <w:r w:rsidRPr="007D72B3">
        <w:rPr>
          <w:rStyle w:val="Bodytext33SmallCaps"/>
          <w:b/>
          <w:bCs/>
          <w:i/>
          <w:iCs/>
          <w:lang w:val="en-US"/>
        </w:rPr>
        <w:t>y*¥</w:t>
      </w:r>
      <w:r w:rsidRPr="007D72B3">
        <w:rPr>
          <w:lang w:val="en-US"/>
        </w:rPr>
        <w:t xml:space="preserve"> ***toy</w:t>
      </w:r>
    </w:p>
    <w:p w:rsidR="00BB7EDA" w:rsidRPr="007D72B3" w:rsidRDefault="007D72B3">
      <w:pPr>
        <w:pStyle w:val="Bodytext20"/>
        <w:shd w:val="clear" w:color="auto" w:fill="auto"/>
        <w:tabs>
          <w:tab w:val="left" w:pos="1791"/>
        </w:tabs>
        <w:spacing w:before="0" w:line="298" w:lineRule="exact"/>
        <w:ind w:left="260"/>
        <w:rPr>
          <w:lang w:val="en-US"/>
        </w:rPr>
      </w:pPr>
      <w:r w:rsidRPr="007D72B3">
        <w:rPr>
          <w:lang w:val="en-US"/>
        </w:rPr>
        <w:t>•, •</w:t>
      </w:r>
      <w:r w:rsidRPr="007D72B3">
        <w:rPr>
          <w:lang w:val="en-US"/>
        </w:rPr>
        <w:tab/>
      </w:r>
      <w:r w:rsidRPr="007D72B3">
        <w:rPr>
          <w:vertAlign w:val="superscript"/>
          <w:lang w:val="en-US"/>
        </w:rPr>
        <w:t>s</w:t>
      </w:r>
      <w:r w:rsidRPr="007D72B3">
        <w:rPr>
          <w:lang w:val="en-US"/>
        </w:rPr>
        <w:t xml:space="preserve">*-' ^ ’JWh #iy </w:t>
      </w:r>
      <w:r w:rsidRPr="007D72B3">
        <w:rPr>
          <w:rStyle w:val="Bodytext2SmallCaps"/>
          <w:lang w:val="en-US"/>
        </w:rPr>
        <w:t>m</w:t>
      </w:r>
      <w:r w:rsidRPr="007D72B3">
        <w:rPr>
          <w:lang w:val="en-US"/>
        </w:rPr>
        <w:t xml:space="preserve"> n» •jy^»</w:t>
      </w:r>
    </w:p>
    <w:p w:rsidR="00BB7EDA" w:rsidRDefault="007D72B3">
      <w:pPr>
        <w:pStyle w:val="Bodytext120"/>
        <w:shd w:val="clear" w:color="auto" w:fill="auto"/>
        <w:spacing w:before="0" w:after="273"/>
      </w:pPr>
      <w:r>
        <w:t xml:space="preserve">Abb. 20 Die Bibelsprachen sind Gottessprachen (Ausschnitt aus der vollständigen </w:t>
      </w:r>
      <w:r>
        <w:t>Jesajarolle von Qumran, 2. Jh. v. Chr.; ASEBA, Bollodingen).</w:t>
      </w:r>
    </w:p>
    <w:p w:rsidR="00BB7EDA" w:rsidRDefault="007D72B3">
      <w:pPr>
        <w:pStyle w:val="Bodytext20"/>
        <w:shd w:val="clear" w:color="auto" w:fill="auto"/>
        <w:spacing w:before="0" w:after="120" w:line="226" w:lineRule="exact"/>
        <w:ind w:left="360" w:right="380"/>
      </w:pPr>
      <w:r>
        <w:t>gebracht, sondern heilige Männer Gottes redeten, getrieben vom Heiligen Geist."</w:t>
      </w:r>
    </w:p>
    <w:p w:rsidR="00BB7EDA" w:rsidRDefault="007D72B3">
      <w:pPr>
        <w:pStyle w:val="Bodytext20"/>
        <w:shd w:val="clear" w:color="auto" w:fill="auto"/>
        <w:spacing w:before="0" w:after="120" w:line="226" w:lineRule="exact"/>
        <w:ind w:firstLine="360"/>
      </w:pPr>
      <w:r>
        <w:t>Die von Paulus ebenfalls in der Todeszelle geschriebene Aussage in 2Tim 3,16 geht noch weiter als die eben zitierte</w:t>
      </w:r>
      <w:r>
        <w:t>. Man könnte ja denken: Wenn die Propheten durch Inspiration göttliche Offenba</w:t>
      </w:r>
      <w:r>
        <w:softHyphen/>
        <w:t>rungen erhalten haben, so konnten sie immer noch beim Vorgang der Abfassung Irrtümer begehen und Eigenes hinein bringen. Doch die klassische Inspirations-Stelle im 2. Timotheusb</w:t>
      </w:r>
      <w:r>
        <w:t>rief besagt, dass nicht nur die Schreiber der Bibel, sondern auch ihr geschriebenes Endprodukt, die „Schrift", von Gott inspiriert ist:</w:t>
      </w:r>
    </w:p>
    <w:p w:rsidR="00BB7EDA" w:rsidRDefault="007D72B3">
      <w:pPr>
        <w:pStyle w:val="Bodytext20"/>
        <w:shd w:val="clear" w:color="auto" w:fill="auto"/>
        <w:spacing w:before="0" w:after="113" w:line="226" w:lineRule="exact"/>
        <w:ind w:left="360" w:right="380"/>
      </w:pPr>
      <w:r>
        <w:t xml:space="preserve">„Alle </w:t>
      </w:r>
      <w:r>
        <w:rPr>
          <w:rStyle w:val="Bodytext2Italic0"/>
        </w:rPr>
        <w:t>Schrift</w:t>
      </w:r>
      <w:r>
        <w:t xml:space="preserve"> ist von Gott eingegeben</w:t>
      </w:r>
      <w:r>
        <w:rPr>
          <w:vertAlign w:val="superscript"/>
        </w:rPr>
        <w:footnoteReference w:id="479"/>
      </w:r>
      <w:r>
        <w:rPr>
          <w:vertAlign w:val="superscript"/>
        </w:rPr>
        <w:t xml:space="preserve"> </w:t>
      </w:r>
      <w:r>
        <w:rPr>
          <w:vertAlign w:val="superscript"/>
        </w:rPr>
        <w:footnoteReference w:id="480"/>
      </w:r>
      <w:r>
        <w:rPr>
          <w:vertAlign w:val="superscript"/>
        </w:rPr>
        <w:t xml:space="preserve"> </w:t>
      </w:r>
      <w:r>
        <w:rPr>
          <w:vertAlign w:val="superscript"/>
        </w:rPr>
        <w:footnoteReference w:id="481"/>
      </w:r>
      <w:r>
        <w:t xml:space="preserve"> und nütze zur Beleh</w:t>
      </w:r>
      <w:r>
        <w:softHyphen/>
        <w:t>rung, zur Überführung, zur Zurechtweisung, zur Unterwei</w:t>
      </w:r>
      <w:r>
        <w:softHyphen/>
        <w:t>s</w:t>
      </w:r>
      <w:r>
        <w:t>ung in der Gerechtigkeit..."</w:t>
      </w:r>
    </w:p>
    <w:p w:rsidR="00BB7EDA" w:rsidRDefault="007D72B3">
      <w:pPr>
        <w:pStyle w:val="Bodytext20"/>
        <w:shd w:val="clear" w:color="auto" w:fill="auto"/>
        <w:spacing w:before="0" w:line="235" w:lineRule="exact"/>
        <w:jc w:val="right"/>
        <w:sectPr w:rsidR="00BB7EDA">
          <w:footerReference w:type="even" r:id="rId143"/>
          <w:footerReference w:type="default" r:id="rId144"/>
          <w:headerReference w:type="first" r:id="rId145"/>
          <w:footerReference w:type="first" r:id="rId146"/>
          <w:pgSz w:w="7266" w:h="11422"/>
          <w:pgMar w:top="1316" w:right="436" w:bottom="1134" w:left="1079" w:header="0" w:footer="3" w:gutter="0"/>
          <w:cols w:space="720"/>
          <w:noEndnote/>
          <w:titlePg/>
          <w:docGrid w:linePitch="360"/>
        </w:sectPr>
      </w:pPr>
      <w:r>
        <w:t>Der Ausdruck „die Schrift" bzw. „die Schriften"</w:t>
      </w:r>
      <w:r>
        <w:rPr>
          <w:vertAlign w:val="superscript"/>
        </w:rPr>
        <w:footnoteReference w:id="482"/>
      </w:r>
      <w:r>
        <w:t xml:space="preserve"> ist ein fester Begriff in der Bibel, der sowohl alt- wie neutestamentliche Bücher</w:t>
      </w:r>
    </w:p>
    <w:p w:rsidR="00BB7EDA" w:rsidRDefault="007D72B3">
      <w:pPr>
        <w:pStyle w:val="Bodytext20"/>
        <w:shd w:val="clear" w:color="auto" w:fill="auto"/>
        <w:spacing w:before="0" w:line="226" w:lineRule="exact"/>
      </w:pPr>
      <w:r>
        <w:t>bezeichnen kann.</w:t>
      </w:r>
      <w:r>
        <w:rPr>
          <w:vertAlign w:val="superscript"/>
        </w:rPr>
        <w:footnoteReference w:id="483"/>
      </w:r>
      <w:r>
        <w:t xml:space="preserve"> Es handelt sich um Bezeichnungen, die in die</w:t>
      </w:r>
      <w:r>
        <w:softHyphen/>
        <w:t>sem Sinn im Judentum üblich waren.</w:t>
      </w:r>
      <w:r>
        <w:rPr>
          <w:vertAlign w:val="superscript"/>
        </w:rPr>
        <w:footnoteReference w:id="484"/>
      </w:r>
    </w:p>
    <w:p w:rsidR="00BB7EDA" w:rsidRDefault="007D72B3">
      <w:pPr>
        <w:pStyle w:val="Bodytext20"/>
        <w:shd w:val="clear" w:color="auto" w:fill="auto"/>
        <w:spacing w:before="0" w:after="113" w:line="226" w:lineRule="exact"/>
        <w:ind w:firstLine="320"/>
      </w:pPr>
      <w:r>
        <w:t xml:space="preserve">Der </w:t>
      </w:r>
      <w:r>
        <w:rPr>
          <w:rStyle w:val="Bodytext2Italic0"/>
        </w:rPr>
        <w:t>geschriebene Text</w:t>
      </w:r>
      <w:r>
        <w:t xml:space="preserve"> sollte die maßgebliche Offenbarung an alle Völker se</w:t>
      </w:r>
      <w:r>
        <w:t>in. Unsere Verantwortung als mit der Fähigkeit zu Sprach</w:t>
      </w:r>
      <w:r>
        <w:softHyphen/>
        <w:t>verständnis ausgerüstete Wesen besteht nun darin, auf Gottes Wort zu achten und zu hören. In Heb 12,25 findet sich die feierliche Warnung:</w:t>
      </w:r>
    </w:p>
    <w:p w:rsidR="00BB7EDA" w:rsidRDefault="007D72B3">
      <w:pPr>
        <w:pStyle w:val="Bodytext20"/>
        <w:shd w:val="clear" w:color="auto" w:fill="auto"/>
        <w:spacing w:before="0" w:after="380" w:line="235" w:lineRule="exact"/>
        <w:ind w:left="320"/>
        <w:jc w:val="left"/>
      </w:pPr>
      <w:r>
        <w:t xml:space="preserve">„Nehmt euch in Acht, dass ihr den nicht abweist, der da </w:t>
      </w:r>
      <w:r>
        <w:t>redet."</w:t>
      </w:r>
    </w:p>
    <w:p w:rsidR="00BB7EDA" w:rsidRDefault="007D72B3">
      <w:pPr>
        <w:pStyle w:val="Heading40"/>
        <w:keepNext/>
        <w:keepLines/>
        <w:numPr>
          <w:ilvl w:val="0"/>
          <w:numId w:val="210"/>
        </w:numPr>
        <w:shd w:val="clear" w:color="auto" w:fill="auto"/>
        <w:tabs>
          <w:tab w:val="left" w:pos="505"/>
        </w:tabs>
        <w:spacing w:after="157" w:line="210" w:lineRule="exact"/>
      </w:pPr>
      <w:bookmarkStart w:id="162" w:name="bookmark161"/>
      <w:r>
        <w:t>Bibelsprachen = Gottessprachen</w:t>
      </w:r>
      <w:bookmarkEnd w:id="162"/>
    </w:p>
    <w:p w:rsidR="00BB7EDA" w:rsidRDefault="007D72B3">
      <w:pPr>
        <w:pStyle w:val="Bodytext20"/>
        <w:shd w:val="clear" w:color="auto" w:fill="auto"/>
        <w:spacing w:before="0" w:line="226" w:lineRule="exact"/>
      </w:pPr>
      <w:r>
        <w:t xml:space="preserve">Immer wieder kann man die Argumentation hören, die Bibel könne unmöglich Gottes unfehlbares Wort sein, da die Bibel in </w:t>
      </w:r>
      <w:r>
        <w:rPr>
          <w:rStyle w:val="Bodytext2Italic0"/>
        </w:rPr>
        <w:t>mensch</w:t>
      </w:r>
      <w:r>
        <w:rPr>
          <w:rStyle w:val="Bodytext2Italic0"/>
        </w:rPr>
        <w:softHyphen/>
        <w:t>lichen,</w:t>
      </w:r>
      <w:r>
        <w:t xml:space="preserve"> d.h. mit angeblich von </w:t>
      </w:r>
      <w:r>
        <w:rPr>
          <w:rStyle w:val="Bodytext2Italic0"/>
        </w:rPr>
        <w:t>Unvollkommenheiten und Unzulänglich</w:t>
      </w:r>
      <w:r>
        <w:rPr>
          <w:rStyle w:val="Bodytext2Italic0"/>
        </w:rPr>
        <w:softHyphen/>
        <w:t>keiten</w:t>
      </w:r>
      <w:r>
        <w:t xml:space="preserve"> behafteten Sprach</w:t>
      </w:r>
      <w:r>
        <w:t>en aufgeschrieben worden sei. Diese Fehl</w:t>
      </w:r>
      <w:r>
        <w:softHyphen/>
        <w:t>überlegung spielt in der bibelkritischen, die volle Inspiration und Unfehlbarkeit der Bibel bestreitenden Theologie eine ganz wesentli</w:t>
      </w:r>
      <w:r>
        <w:softHyphen/>
        <w:t>che Rolle. Doch wir haben nun gesehen, dass unmöglich der Mensch, sondern vielme</w:t>
      </w:r>
      <w:r>
        <w:t>hr Gott der Urheber der Sprachen ist. Die Bibelspra</w:t>
      </w:r>
      <w:r>
        <w:softHyphen/>
        <w:t xml:space="preserve">chen Hebräisch, Griechisch und Aramäisch, so sehr es sich um von Menschen gesprochene und geschriebene Sprachen handelt, sind daher, wie jede andere Sprache, voll und ganz im Grunde genommen </w:t>
      </w:r>
      <w:r>
        <w:rPr>
          <w:rStyle w:val="Bodytext2Italic0"/>
        </w:rPr>
        <w:t>göttliche Spr</w:t>
      </w:r>
      <w:r>
        <w:rPr>
          <w:rStyle w:val="Bodytext2Italic0"/>
        </w:rPr>
        <w:t>achen,</w:t>
      </w:r>
      <w:r>
        <w:t xml:space="preserve"> samt all ihren inhärenten logischen Denkkategorien. Sie sind daher ideale Gefäße, um Gottes Botschaft an die Menschheit weiterzugeben.</w:t>
      </w:r>
      <w:r>
        <w:rPr>
          <w:vertAlign w:val="superscript"/>
        </w:rPr>
        <w:footnoteReference w:id="485"/>
      </w:r>
      <w:r>
        <w:t xml:space="preserve"> Der Schöpfer wusste genau, welche Mittel adäquat sind, um seine Gedanken dem menschlichen Geschöpf zu vermitteln.</w:t>
      </w:r>
    </w:p>
    <w:p w:rsidR="00BB7EDA" w:rsidRDefault="007D72B3">
      <w:pPr>
        <w:pStyle w:val="Bodytext20"/>
        <w:shd w:val="clear" w:color="auto" w:fill="auto"/>
        <w:spacing w:before="0" w:line="226" w:lineRule="exact"/>
        <w:ind w:firstLine="320"/>
      </w:pPr>
      <w:r>
        <w:t>Genauso wie die für den inspirierten Urtext verwendeten Spra</w:t>
      </w:r>
      <w:r>
        <w:softHyphen/>
        <w:t>chen als göttliche Sprachen betrachtet werden können, gilt dies auch für alle anderen menschlichen Sprachen. Aus dieser Feststellung resultiert die Erkenntnis, dass jede Sprache der Welt ein gee</w:t>
      </w:r>
      <w:r>
        <w:t>ignetes Kommunikationsmittel ist, um Gottes Wort in Form einer Überset</w:t>
      </w:r>
      <w:r>
        <w:softHyphen/>
        <w:t>zung hinüberzubringen.</w:t>
      </w:r>
    </w:p>
    <w:p w:rsidR="00BB7EDA" w:rsidRDefault="007D72B3">
      <w:pPr>
        <w:pStyle w:val="Heading40"/>
        <w:keepNext/>
        <w:keepLines/>
        <w:numPr>
          <w:ilvl w:val="0"/>
          <w:numId w:val="210"/>
        </w:numPr>
        <w:shd w:val="clear" w:color="auto" w:fill="auto"/>
        <w:tabs>
          <w:tab w:val="left" w:pos="500"/>
        </w:tabs>
        <w:spacing w:after="157" w:line="210" w:lineRule="exact"/>
      </w:pPr>
      <w:bookmarkStart w:id="163" w:name="bookmark162"/>
      <w:r>
        <w:t>Kommunikationsstörung</w:t>
      </w:r>
      <w:bookmarkEnd w:id="163"/>
    </w:p>
    <w:p w:rsidR="00BB7EDA" w:rsidRDefault="007D72B3">
      <w:pPr>
        <w:pStyle w:val="Bodytext20"/>
        <w:shd w:val="clear" w:color="auto" w:fill="auto"/>
        <w:spacing w:before="0" w:after="116" w:line="226" w:lineRule="exact"/>
      </w:pPr>
      <w:r>
        <w:t>Als sprechbefähigte Kreatur ist der Mensch berufen, auf Gottes an ihn gerichtetes Wort Antwort zu geben. Offensichtlich steckt aber die Mens</w:t>
      </w:r>
      <w:r>
        <w:t>chheit, was das anbetrifft, in einer Krise. In Jer 7,13 sagt der Ewige:</w:t>
      </w:r>
    </w:p>
    <w:p w:rsidR="00BB7EDA" w:rsidRDefault="007D72B3">
      <w:pPr>
        <w:pStyle w:val="Bodytext20"/>
        <w:shd w:val="clear" w:color="auto" w:fill="auto"/>
        <w:spacing w:before="0"/>
        <w:ind w:left="320"/>
        <w:jc w:val="left"/>
      </w:pPr>
      <w:r>
        <w:t>„Ich habe zu euch geredet... ihr habt aber nicht gehört.</w:t>
      </w:r>
    </w:p>
    <w:p w:rsidR="00BB7EDA" w:rsidRDefault="007D72B3">
      <w:pPr>
        <w:pStyle w:val="Bodytext20"/>
        <w:shd w:val="clear" w:color="auto" w:fill="auto"/>
        <w:spacing w:before="0"/>
        <w:ind w:left="320"/>
        <w:jc w:val="left"/>
      </w:pPr>
      <w:r>
        <w:t>Ja ich habe euch gerufen,</w:t>
      </w:r>
    </w:p>
    <w:p w:rsidR="00BB7EDA" w:rsidRDefault="007D72B3">
      <w:pPr>
        <w:pStyle w:val="Bodytext20"/>
        <w:shd w:val="clear" w:color="auto" w:fill="auto"/>
        <w:spacing w:before="0" w:after="120"/>
        <w:ind w:left="320"/>
        <w:jc w:val="left"/>
      </w:pPr>
      <w:r>
        <w:t>ihr habt aber nicht geantwortet."</w:t>
      </w:r>
    </w:p>
    <w:p w:rsidR="00BB7EDA" w:rsidRDefault="007D72B3">
      <w:pPr>
        <w:pStyle w:val="Bodytext20"/>
        <w:shd w:val="clear" w:color="auto" w:fill="auto"/>
        <w:spacing w:before="0" w:after="400"/>
      </w:pPr>
      <w:r>
        <w:t xml:space="preserve">Der Leser möge sich selbst die Frage stellen, wie es konkret bei </w:t>
      </w:r>
      <w:r>
        <w:t>ihm steht in dieser Beziehung.</w:t>
      </w:r>
    </w:p>
    <w:p w:rsidR="00BB7EDA" w:rsidRDefault="007D72B3">
      <w:pPr>
        <w:pStyle w:val="Heading50"/>
        <w:keepNext/>
        <w:keepLines/>
        <w:numPr>
          <w:ilvl w:val="0"/>
          <w:numId w:val="211"/>
        </w:numPr>
        <w:shd w:val="clear" w:color="auto" w:fill="auto"/>
        <w:tabs>
          <w:tab w:val="left" w:pos="591"/>
        </w:tabs>
        <w:spacing w:after="158" w:line="180" w:lineRule="exact"/>
      </w:pPr>
      <w:bookmarkStart w:id="164" w:name="bookmark163"/>
      <w:r>
        <w:t>Ursachen der Kommunikationsstörung</w:t>
      </w:r>
      <w:bookmarkEnd w:id="164"/>
    </w:p>
    <w:p w:rsidR="00BB7EDA" w:rsidRDefault="007D72B3">
      <w:pPr>
        <w:pStyle w:val="Bodytext20"/>
        <w:shd w:val="clear" w:color="auto" w:fill="auto"/>
        <w:spacing w:before="0" w:after="113" w:line="226" w:lineRule="exact"/>
      </w:pPr>
      <w:r>
        <w:t>Wo liegt die Ursache für diese Kommunikationsstörung? Jes 59,1-2 gibt folgende tiefsinnige Antwort:</w:t>
      </w:r>
    </w:p>
    <w:p w:rsidR="00BB7EDA" w:rsidRDefault="007D72B3">
      <w:pPr>
        <w:pStyle w:val="Bodytext20"/>
        <w:shd w:val="clear" w:color="auto" w:fill="auto"/>
        <w:spacing w:before="0" w:line="235" w:lineRule="exact"/>
        <w:ind w:left="320"/>
        <w:jc w:val="left"/>
      </w:pPr>
      <w:r>
        <w:t>„[1] Siehe, die Hand des HERRN ist nicht zu kurz, um zu retten,</w:t>
      </w:r>
    </w:p>
    <w:p w:rsidR="00BB7EDA" w:rsidRDefault="007D72B3">
      <w:pPr>
        <w:pStyle w:val="Bodytext20"/>
        <w:shd w:val="clear" w:color="auto" w:fill="auto"/>
        <w:spacing w:before="0" w:after="43" w:line="180" w:lineRule="exact"/>
        <w:ind w:left="320"/>
        <w:jc w:val="left"/>
      </w:pPr>
      <w:r>
        <w:t>und sein Ohr nicht zu schw</w:t>
      </w:r>
      <w:r>
        <w:t>er, um zu hören.</w:t>
      </w:r>
    </w:p>
    <w:p w:rsidR="00BB7EDA" w:rsidRDefault="007D72B3">
      <w:pPr>
        <w:pStyle w:val="Bodytext20"/>
        <w:shd w:val="clear" w:color="auto" w:fill="auto"/>
        <w:spacing w:before="0" w:after="116" w:line="226" w:lineRule="exact"/>
        <w:ind w:left="320"/>
        <w:jc w:val="left"/>
      </w:pPr>
      <w:r>
        <w:t>[2] Aber eure Missetaten haben eine Trennung gemacht zwischen euch und eurem Gott, und eure Sünden haben sein Angesicht verhüllt, dass er nicht hört."</w:t>
      </w:r>
    </w:p>
    <w:p w:rsidR="00BB7EDA" w:rsidRDefault="007D72B3">
      <w:pPr>
        <w:pStyle w:val="Bodytext20"/>
        <w:shd w:val="clear" w:color="auto" w:fill="auto"/>
        <w:spacing w:before="0"/>
        <w:ind w:firstLine="320"/>
      </w:pPr>
      <w:r>
        <w:t>Aus dieser Stelle können wir entnehmen, dass die Störung der Beziehung des Menschen zu s</w:t>
      </w:r>
      <w:r>
        <w:t>einem Schöpfer in seiner persönlichen Sündenschuld begründet liegt. Letztendiich liegt auch hier die Ursa</w:t>
      </w:r>
      <w:r>
        <w:softHyphen/>
        <w:t>che für alle zwischenmenschlichen Dialogstörungen.</w:t>
      </w:r>
    </w:p>
    <w:p w:rsidR="00BB7EDA" w:rsidRDefault="007D72B3">
      <w:pPr>
        <w:pStyle w:val="Bodytext20"/>
        <w:shd w:val="clear" w:color="auto" w:fill="auto"/>
        <w:spacing w:before="0" w:after="43" w:line="180" w:lineRule="exact"/>
        <w:ind w:left="320"/>
        <w:jc w:val="left"/>
      </w:pPr>
      <w:r>
        <w:t>Was Sünde ist, bezeichnet die Bibel sehr klar, z.B. in Gal 5,19-21:</w:t>
      </w:r>
    </w:p>
    <w:p w:rsidR="00BB7EDA" w:rsidRDefault="007D72B3">
      <w:pPr>
        <w:pStyle w:val="Bodytext20"/>
        <w:shd w:val="clear" w:color="auto" w:fill="auto"/>
        <w:spacing w:before="0" w:line="226" w:lineRule="exact"/>
        <w:ind w:left="320" w:right="340"/>
      </w:pPr>
      <w:r>
        <w:t>„[19] Offenbar aber sind die We</w:t>
      </w:r>
      <w:r>
        <w:t xml:space="preserve">rke des Fleisches, welche sind: Ehebruch, Hurerei </w:t>
      </w:r>
      <w:r>
        <w:rPr>
          <w:rStyle w:val="Bodytext2Italic0"/>
        </w:rPr>
        <w:t>[porneia],</w:t>
      </w:r>
      <w:r>
        <w:t xml:space="preserve"> Unreinheit, Ausschwei</w:t>
      </w:r>
      <w:r>
        <w:softHyphen/>
        <w:t xml:space="preserve">fung, [20] Götzendienst, Okkultismus </w:t>
      </w:r>
      <w:r>
        <w:rPr>
          <w:rStyle w:val="Bodytext2Italic0"/>
        </w:rPr>
        <w:t>[pharmakeia],</w:t>
      </w:r>
      <w:r>
        <w:t xml:space="preserve"> Feind</w:t>
      </w:r>
      <w:r>
        <w:softHyphen/>
        <w:t>schaft, Hader, Eifersucht, Zorn, Zank, Zwietracht, Sekten,</w:t>
      </w:r>
    </w:p>
    <w:p w:rsidR="00BB7EDA" w:rsidRDefault="007D72B3">
      <w:pPr>
        <w:pStyle w:val="Bodytext20"/>
        <w:shd w:val="clear" w:color="auto" w:fill="auto"/>
        <w:spacing w:before="0" w:after="120" w:line="226" w:lineRule="exact"/>
        <w:ind w:left="320"/>
        <w:jc w:val="left"/>
      </w:pPr>
      <w:r>
        <w:t xml:space="preserve">[21 ] Neid, Mord, Trunkenheit, Völlerei und </w:t>
      </w:r>
      <w:r>
        <w:t>dergleichen..."</w:t>
      </w:r>
    </w:p>
    <w:p w:rsidR="00BB7EDA" w:rsidRDefault="007D72B3">
      <w:pPr>
        <w:pStyle w:val="Bodytext20"/>
        <w:shd w:val="clear" w:color="auto" w:fill="auto"/>
        <w:spacing w:before="0" w:line="226" w:lineRule="exact"/>
        <w:ind w:firstLine="320"/>
      </w:pPr>
      <w:r>
        <w:t>Insbesondere zwei Begriffe aus dieser Stelle verdienen in unserem kulturellen von Nach-Christlichkeit geprägten Umfeld eine nähere Beleuchtung: Das im griechischen Grundtext von Paulus verwendete</w:t>
      </w:r>
    </w:p>
    <w:p w:rsidR="00BB7EDA" w:rsidRDefault="007D72B3">
      <w:pPr>
        <w:pStyle w:val="Bodytext20"/>
        <w:shd w:val="clear" w:color="auto" w:fill="auto"/>
        <w:spacing w:before="0"/>
      </w:pPr>
      <w:r>
        <w:t xml:space="preserve">Wort </w:t>
      </w:r>
      <w:r>
        <w:rPr>
          <w:rStyle w:val="Bodytext2Italic0"/>
        </w:rPr>
        <w:t>porneia,</w:t>
      </w:r>
      <w:r>
        <w:t xml:space="preserve"> das hier mit „Hurerei" überset</w:t>
      </w:r>
      <w:r>
        <w:t xml:space="preserve">zt worden ist, bezeichnet jeglichen Geschlechtsverkehr </w:t>
      </w:r>
      <w:r>
        <w:rPr>
          <w:rStyle w:val="Bodytext2Italic0"/>
        </w:rPr>
        <w:t>vor</w:t>
      </w:r>
      <w:r>
        <w:t xml:space="preserve"> und </w:t>
      </w:r>
      <w:r>
        <w:rPr>
          <w:rStyle w:val="Bodytext2Italic0"/>
        </w:rPr>
        <w:t>neben</w:t>
      </w:r>
      <w:r>
        <w:t xml:space="preserve"> der Ehe, auch Homose</w:t>
      </w:r>
      <w:r>
        <w:softHyphen/>
        <w:t>xualität und Sodomie. Die Bibel zeigt deutlich auf, dass Gott die Sexualität dem Menschen als ein schönes Geschenk gegeben hat, jedoch allein für den geschützten Rahm</w:t>
      </w:r>
      <w:r>
        <w:t>en der Ehe, wo sie sich in einer Atmosphäre der Liebe, Ruhe und Sicherheit entfalten kann und soll. Jeglichen Missbrauch verurteilt die Schrift jedoch als schwere Sünde.</w:t>
      </w:r>
    </w:p>
    <w:p w:rsidR="00BB7EDA" w:rsidRDefault="007D72B3">
      <w:pPr>
        <w:pStyle w:val="Bodytext20"/>
        <w:shd w:val="clear" w:color="auto" w:fill="auto"/>
        <w:spacing w:before="0"/>
        <w:ind w:firstLine="320"/>
      </w:pPr>
      <w:r>
        <w:t xml:space="preserve">Das oben mit „Okkultismus" wiedergegebene Wort </w:t>
      </w:r>
      <w:r>
        <w:rPr>
          <w:rStyle w:val="Bodytext2Italic0"/>
        </w:rPr>
        <w:t xml:space="preserve">pharmakeia </w:t>
      </w:r>
      <w:r>
        <w:t>bezeichnet jeglichen Missbra</w:t>
      </w:r>
      <w:r>
        <w:t>uch von Drogen und jede Form von Aberglaube, Magie, Esoterik und Mystizismus.</w:t>
      </w:r>
    </w:p>
    <w:p w:rsidR="00BB7EDA" w:rsidRDefault="007D72B3">
      <w:pPr>
        <w:pStyle w:val="Bodytext20"/>
        <w:shd w:val="clear" w:color="auto" w:fill="auto"/>
        <w:spacing w:before="0" w:after="56"/>
        <w:ind w:firstLine="320"/>
      </w:pPr>
      <w:r>
        <w:t>Selbstverständlich ist die Liste in Gal 5 mitnichten vollständig, das wird ja in Vers 21 durch die Worte „und dergleichen" auch angedeutet. Weitere ähnliche Listen finden sich z.</w:t>
      </w:r>
      <w:r>
        <w:t>B. in Mark 7,20-23, Rom 1,26-32 und lTim 1,8-11. Wer sein Leben im Licht dieser Sün- den-Kataloge betrachtet, muss erkennen, dass es um ihn nicht an</w:t>
      </w:r>
      <w:r>
        <w:softHyphen/>
        <w:t>ders steht, als um alle anderen Menschen. In Röm 3,23 wird dies folgendermaßen eindringlich und ernst bezeu</w:t>
      </w:r>
      <w:r>
        <w:t>gt:</w:t>
      </w:r>
    </w:p>
    <w:p w:rsidR="00BB7EDA" w:rsidRDefault="007D72B3">
      <w:pPr>
        <w:pStyle w:val="Bodytext20"/>
        <w:shd w:val="clear" w:color="auto" w:fill="auto"/>
        <w:spacing w:before="0" w:after="404" w:line="235" w:lineRule="exact"/>
        <w:ind w:left="320"/>
        <w:jc w:val="left"/>
      </w:pPr>
      <w:r>
        <w:t>„Denn es ist kein Unterschied, denn alle haben gesündigt und erreichen nicht die Herrlichkeit Gottes..."</w:t>
      </w:r>
    </w:p>
    <w:p w:rsidR="00BB7EDA" w:rsidRDefault="007D72B3">
      <w:pPr>
        <w:pStyle w:val="Bodytext90"/>
        <w:numPr>
          <w:ilvl w:val="0"/>
          <w:numId w:val="211"/>
        </w:numPr>
        <w:shd w:val="clear" w:color="auto" w:fill="auto"/>
        <w:tabs>
          <w:tab w:val="left" w:pos="596"/>
        </w:tabs>
        <w:spacing w:after="163" w:line="180" w:lineRule="exact"/>
      </w:pPr>
      <w:r>
        <w:t>Heilung des Grundübels</w:t>
      </w:r>
    </w:p>
    <w:p w:rsidR="00BB7EDA" w:rsidRDefault="007D72B3">
      <w:pPr>
        <w:pStyle w:val="Bodytext20"/>
        <w:shd w:val="clear" w:color="auto" w:fill="auto"/>
        <w:spacing w:before="0" w:line="226" w:lineRule="exact"/>
      </w:pPr>
      <w:r>
        <w:t>Glücklicherweise bleibt die Bibel nicht bei der Diagnose stehen, die ja nicht gerade schmeichelhaft klingt. Wir können uns g</w:t>
      </w:r>
      <w:r>
        <w:t>lücklich schätzen, dass sie als Gottes Botschaft an die Menschheit auch den Ausweg aus dem Dilemma aufzeigt.</w:t>
      </w:r>
    </w:p>
    <w:p w:rsidR="00BB7EDA" w:rsidRDefault="007D72B3">
      <w:pPr>
        <w:pStyle w:val="Bodytext20"/>
        <w:shd w:val="clear" w:color="auto" w:fill="auto"/>
        <w:spacing w:before="0" w:line="226" w:lineRule="exact"/>
        <w:ind w:firstLine="320"/>
      </w:pPr>
      <w:r>
        <w:t>Für unsere persönliche Schuld Gott gegenüber-und das schließt auch alles mit ein, wo wir uns unserem Mitmenschen gegenüber ungerecht benommen haben</w:t>
      </w:r>
      <w:r>
        <w:t xml:space="preserve"> —, muss Gott uns zur Verantwortung ziehen. Nach dem unmissverständlichen Zeugnis der Heiligen Schrift haben wir dieserhalb unweigerlich die ewige Verdammnis verdient. Weil Gott heilig und gerecht ist, müsste er den Menschen richten. Doch sein Wesen ist ni</w:t>
      </w:r>
      <w:r>
        <w:t xml:space="preserve">cht allein </w:t>
      </w:r>
      <w:r>
        <w:rPr>
          <w:rStyle w:val="Bodytext2Italic0"/>
        </w:rPr>
        <w:t>Licht</w:t>
      </w:r>
      <w:r>
        <w:t xml:space="preserve"> (ljoh 1,5), sondern auch </w:t>
      </w:r>
      <w:r>
        <w:rPr>
          <w:rStyle w:val="Bodytext2Italic0"/>
        </w:rPr>
        <w:t xml:space="preserve">Liebe </w:t>
      </w:r>
      <w:r>
        <w:t>(ljoh 4,8). Deshalb hat Gott seinen Sohn Jesus Christus in diese Welt gesandt, damit er als Mensch für Menschen stellvertretend leiden und sterben würde, er, „der Gerechte für die Ungerechten, damit er uns zu</w:t>
      </w:r>
      <w:r>
        <w:t xml:space="preserve"> Gott führe" (IPet 3,18).</w:t>
      </w:r>
    </w:p>
    <w:p w:rsidR="00BB7EDA" w:rsidRDefault="007D72B3">
      <w:pPr>
        <w:pStyle w:val="Bodytext20"/>
        <w:shd w:val="clear" w:color="auto" w:fill="auto"/>
        <w:spacing w:before="0" w:line="226" w:lineRule="exact"/>
        <w:ind w:firstLine="320"/>
      </w:pPr>
      <w:r>
        <w:t>Jesaja hat dies vorausgesehen (ca. 700 v. Chr.). Treffsicher hat er es in prophetischer Vergangenheitsform auf beredte Art ausge- drückt (Jes 53,5-6):</w:t>
      </w:r>
    </w:p>
    <w:p w:rsidR="00BB7EDA" w:rsidRDefault="007D72B3">
      <w:pPr>
        <w:pStyle w:val="Bodytext20"/>
        <w:shd w:val="clear" w:color="auto" w:fill="auto"/>
        <w:spacing w:before="0" w:line="226" w:lineRule="exact"/>
        <w:ind w:left="320" w:right="540"/>
        <w:jc w:val="left"/>
      </w:pPr>
      <w:r>
        <w:t xml:space="preserve">„[5] Um unserer Übertretungen willen war er verwundet, um unserer Missetaten </w:t>
      </w:r>
      <w:r>
        <w:t>willen zerschlagen.</w:t>
      </w:r>
    </w:p>
    <w:p w:rsidR="00BB7EDA" w:rsidRDefault="007D72B3">
      <w:pPr>
        <w:pStyle w:val="Bodytext20"/>
        <w:shd w:val="clear" w:color="auto" w:fill="auto"/>
        <w:spacing w:before="0" w:line="226" w:lineRule="exact"/>
        <w:ind w:left="320"/>
        <w:jc w:val="left"/>
      </w:pPr>
      <w:r>
        <w:t>Die Strafe zu unserem Frieden lag auf ihm,</w:t>
      </w:r>
    </w:p>
    <w:p w:rsidR="00BB7EDA" w:rsidRDefault="007D72B3">
      <w:pPr>
        <w:pStyle w:val="Bodytext20"/>
        <w:shd w:val="clear" w:color="auto" w:fill="auto"/>
        <w:spacing w:before="0" w:line="226" w:lineRule="exact"/>
        <w:ind w:left="320"/>
        <w:jc w:val="left"/>
      </w:pPr>
      <w:r>
        <w:t>und durch seine Striemen ist uns Heilung geworden.</w:t>
      </w:r>
    </w:p>
    <w:p w:rsidR="00BB7EDA" w:rsidRDefault="007D72B3">
      <w:pPr>
        <w:pStyle w:val="Bodytext20"/>
        <w:shd w:val="clear" w:color="auto" w:fill="auto"/>
        <w:spacing w:before="0" w:after="180"/>
        <w:ind w:left="320"/>
        <w:jc w:val="left"/>
      </w:pPr>
      <w:r>
        <w:t>[6] Wir alle irrten umher wie Schafe, wir wandten uns ein jeder auf seinen Weg; und der HERR hat ihn treffen lassen unser aller Unge</w:t>
      </w:r>
      <w:r>
        <w:softHyphen/>
        <w:t>rechtigke</w:t>
      </w:r>
      <w:r>
        <w:t>it."</w:t>
      </w:r>
    </w:p>
    <w:p w:rsidR="00BB7EDA" w:rsidRDefault="007D72B3">
      <w:pPr>
        <w:pStyle w:val="Bodytext20"/>
        <w:shd w:val="clear" w:color="auto" w:fill="auto"/>
        <w:spacing w:before="0" w:after="124"/>
        <w:ind w:firstLine="320"/>
      </w:pPr>
      <w:r>
        <w:t>Gemäß ljoh 1,9 erfährt aber jeder, der seine persönliche Schuld dem auferstandenen Sohn Gottes, Jesus Christus, im Gebet aufrich</w:t>
      </w:r>
      <w:r>
        <w:softHyphen/>
        <w:t>tig in Reue bekennt, volle Vergebung von Seiten des Schöpfers:</w:t>
      </w:r>
    </w:p>
    <w:p w:rsidR="00BB7EDA" w:rsidRDefault="007D72B3">
      <w:pPr>
        <w:pStyle w:val="Bodytext20"/>
        <w:shd w:val="clear" w:color="auto" w:fill="auto"/>
        <w:spacing w:before="0" w:after="180" w:line="226" w:lineRule="exact"/>
        <w:ind w:left="320"/>
        <w:jc w:val="left"/>
      </w:pPr>
      <w:r>
        <w:t xml:space="preserve">„Wenn wir unsere Sünden bekennen, ist er treu und gerecht, </w:t>
      </w:r>
      <w:r>
        <w:t>dass er uns die Sünden vergibt und uns reinigt von jeder Ungerechtigkeit."</w:t>
      </w:r>
    </w:p>
    <w:p w:rsidR="00BB7EDA" w:rsidRDefault="007D72B3">
      <w:pPr>
        <w:pStyle w:val="Bodytext20"/>
        <w:shd w:val="clear" w:color="auto" w:fill="auto"/>
        <w:spacing w:before="0" w:after="120" w:line="226" w:lineRule="exact"/>
        <w:ind w:firstLine="320"/>
      </w:pPr>
      <w:r>
        <w:t>Wer sich auf diese Art durch vertrauenden Glauben dem Herrn Jesus, dem von Gott gesandten Retter, anvertraut hat, darf sich glücklich im Besitz des ewigen Lebens wissen (Joh 3,16):</w:t>
      </w:r>
    </w:p>
    <w:p w:rsidR="00BB7EDA" w:rsidRDefault="007D72B3">
      <w:pPr>
        <w:pStyle w:val="Bodytext20"/>
        <w:shd w:val="clear" w:color="auto" w:fill="auto"/>
        <w:spacing w:before="0" w:after="180" w:line="226" w:lineRule="exact"/>
        <w:ind w:left="320"/>
        <w:jc w:val="left"/>
      </w:pPr>
      <w:r>
        <w:t>„Denn also hat Gott die Welt geliebt, dass er seinen eingeborenen Sohn gab, damit jeder, der an ihn glaubt, nicht verloren gehe, sondern ewiges Leben habe."</w:t>
      </w:r>
    </w:p>
    <w:p w:rsidR="00BB7EDA" w:rsidRDefault="007D72B3">
      <w:pPr>
        <w:pStyle w:val="Bodytext20"/>
        <w:shd w:val="clear" w:color="auto" w:fill="auto"/>
        <w:spacing w:before="0" w:after="116" w:line="226" w:lineRule="exact"/>
        <w:ind w:firstLine="320"/>
      </w:pPr>
      <w:r>
        <w:t xml:space="preserve">Der Inhalt des ewigen Lebens ist innige Gemeinschaft mit Gott, die den Dialog mit ihm, dem Ewigen, </w:t>
      </w:r>
      <w:r>
        <w:t>als einen wesentlichen Teil mit einschließt. Wer aber an diesem Angebot der Liebe Gottes achtlos vorbei geht, kann nur noch mit dem ewigen Gericht des Allmächti</w:t>
      </w:r>
      <w:r>
        <w:softHyphen/>
        <w:t>gen rechnen (Joh 3,36):</w:t>
      </w:r>
    </w:p>
    <w:p w:rsidR="00BB7EDA" w:rsidRDefault="007D72B3">
      <w:pPr>
        <w:pStyle w:val="Bodytext20"/>
        <w:shd w:val="clear" w:color="auto" w:fill="auto"/>
        <w:spacing w:before="0" w:after="520"/>
        <w:ind w:left="320"/>
        <w:jc w:val="left"/>
      </w:pPr>
      <w:r>
        <w:t xml:space="preserve">„Wer an den Sohn glaubt, hat ewiges Leben; wer aber dem Sohn nicht </w:t>
      </w:r>
      <w:r>
        <w:t>glaubt, wird das Leben nicht sehen, sondern der Zorn Gottes bleibt auf ihm."</w:t>
      </w:r>
    </w:p>
    <w:p w:rsidR="00BB7EDA" w:rsidRDefault="007D72B3">
      <w:pPr>
        <w:pStyle w:val="Heading50"/>
        <w:keepNext/>
        <w:keepLines/>
        <w:numPr>
          <w:ilvl w:val="0"/>
          <w:numId w:val="211"/>
        </w:numPr>
        <w:shd w:val="clear" w:color="auto" w:fill="auto"/>
        <w:tabs>
          <w:tab w:val="left" w:pos="591"/>
        </w:tabs>
        <w:spacing w:after="163" w:line="180" w:lineRule="exact"/>
      </w:pPr>
      <w:bookmarkStart w:id="165" w:name="bookmark164"/>
      <w:r>
        <w:t>Erneuerte Kommunikation</w:t>
      </w:r>
      <w:bookmarkEnd w:id="165"/>
    </w:p>
    <w:p w:rsidR="00BB7EDA" w:rsidRDefault="007D72B3">
      <w:pPr>
        <w:pStyle w:val="Bodytext20"/>
        <w:shd w:val="clear" w:color="auto" w:fill="auto"/>
        <w:spacing w:before="0" w:line="226" w:lineRule="exact"/>
      </w:pPr>
      <w:r>
        <w:t xml:space="preserve">Wer durch den Herrn Jesus Christus eine neue Beziehung zu Gott bekommen hat, darf nun erfahren, wie konkret Gott durch die Bibel zu ihm persönlich spricht </w:t>
      </w:r>
      <w:r>
        <w:t>und ihm auch konkrete Leitung für das Alltagsleben gibt. Die Bibel wird für ihn plötzlich ein Buch, das sich</w:t>
      </w:r>
    </w:p>
    <w:p w:rsidR="00BB7EDA" w:rsidRDefault="007D72B3">
      <w:pPr>
        <w:framePr w:h="4253" w:wrap="notBeside" w:vAnchor="text" w:hAnchor="text" w:xAlign="center" w:y="1"/>
        <w:jc w:val="center"/>
        <w:rPr>
          <w:sz w:val="2"/>
          <w:szCs w:val="2"/>
        </w:rPr>
      </w:pPr>
      <w:r>
        <w:fldChar w:fldCharType="begin"/>
      </w:r>
      <w:r>
        <w:instrText xml:space="preserve"> </w:instrText>
      </w:r>
      <w:r>
        <w:instrText>INCLUDEPICTURE  "X:\\sk\\NextUpload116\\Webserver\\german\\RogerLiebi\\media\\image15.jpeg" \* MERGEFORMATINET</w:instrText>
      </w:r>
      <w:r>
        <w:instrText xml:space="preserve"> </w:instrText>
      </w:r>
      <w:r>
        <w:fldChar w:fldCharType="separate"/>
      </w:r>
      <w:r>
        <w:pict>
          <v:shape id="_x0000_i1033" type="#_x0000_t75" style="width:279.75pt;height:213pt">
            <v:imagedata r:id="rId147" r:href="rId148"/>
          </v:shape>
        </w:pict>
      </w:r>
      <w:r>
        <w:fldChar w:fldCharType="end"/>
      </w:r>
    </w:p>
    <w:p w:rsidR="00BB7EDA" w:rsidRDefault="00BB7EDA">
      <w:pPr>
        <w:rPr>
          <w:sz w:val="2"/>
          <w:szCs w:val="2"/>
        </w:rPr>
      </w:pPr>
    </w:p>
    <w:p w:rsidR="00BB7EDA" w:rsidRDefault="007D72B3">
      <w:pPr>
        <w:pStyle w:val="Bodytext120"/>
        <w:shd w:val="clear" w:color="auto" w:fill="auto"/>
        <w:spacing w:before="21" w:after="393"/>
      </w:pPr>
      <w:r>
        <w:t>Abb. 21 Der Mensch ist kein „</w:t>
      </w:r>
      <w:r>
        <w:t>sprechender Affe“. Die Dialogfähigkeit mit Gott ist typisch menschlich. Sie findet sich nirgends im Tierreich.</w:t>
      </w:r>
    </w:p>
    <w:p w:rsidR="00BB7EDA" w:rsidRDefault="007D72B3">
      <w:pPr>
        <w:pStyle w:val="Bodytext20"/>
        <w:shd w:val="clear" w:color="auto" w:fill="auto"/>
        <w:spacing w:before="0" w:line="226" w:lineRule="exact"/>
      </w:pPr>
      <w:r>
        <w:t xml:space="preserve">als „lebendig und wirksam" erweist (vgl. Heb 4,12). Der englische Evangelist </w:t>
      </w:r>
      <w:r>
        <w:rPr>
          <w:rStyle w:val="Bodytext28ptSmallCaps"/>
        </w:rPr>
        <w:t xml:space="preserve">Spurgeon </w:t>
      </w:r>
      <w:r>
        <w:t>sagte, dass die Bibel, nachdem er sie zum fünfzigsten Mal g</w:t>
      </w:r>
      <w:r>
        <w:t>elesen hatte, für ihn noch schöner gewesen sei als das erste Mal.</w:t>
      </w:r>
    </w:p>
    <w:p w:rsidR="00BB7EDA" w:rsidRDefault="007D72B3">
      <w:pPr>
        <w:pStyle w:val="Bodytext20"/>
        <w:shd w:val="clear" w:color="auto" w:fill="auto"/>
        <w:spacing w:before="0" w:after="97" w:line="226" w:lineRule="exact"/>
        <w:ind w:firstLine="320"/>
      </w:pPr>
      <w:r>
        <w:t>Auch das Gebet wird von da an ein lebendiges, wirkliches Reden mit Gott, als Ausdruck echter innerer Beziehung. Einige Stellen dazu:</w:t>
      </w:r>
    </w:p>
    <w:p w:rsidR="00BB7EDA" w:rsidRDefault="007D72B3">
      <w:pPr>
        <w:pStyle w:val="Bodytext20"/>
        <w:shd w:val="clear" w:color="auto" w:fill="auto"/>
        <w:spacing w:before="0" w:after="19" w:line="180" w:lineRule="exact"/>
        <w:ind w:firstLine="320"/>
      </w:pPr>
      <w:r>
        <w:t>Ps 50,15: „Und rufe mich an am Tag der Bedrängnis.</w:t>
      </w:r>
    </w:p>
    <w:p w:rsidR="00BB7EDA" w:rsidRDefault="007D72B3">
      <w:pPr>
        <w:pStyle w:val="Bodytext20"/>
        <w:shd w:val="clear" w:color="auto" w:fill="auto"/>
        <w:spacing w:before="0" w:after="103" w:line="180" w:lineRule="exact"/>
        <w:ind w:firstLine="320"/>
      </w:pPr>
      <w:r>
        <w:t>Ich wi</w:t>
      </w:r>
      <w:r>
        <w:t>ll dich erretten und du sollst mich verherrlichen!"</w:t>
      </w:r>
    </w:p>
    <w:p w:rsidR="00BB7EDA" w:rsidRDefault="007D72B3">
      <w:pPr>
        <w:pStyle w:val="Bodytext20"/>
        <w:shd w:val="clear" w:color="auto" w:fill="auto"/>
        <w:spacing w:before="0" w:line="226" w:lineRule="exact"/>
        <w:ind w:left="320" w:right="1440"/>
        <w:jc w:val="left"/>
      </w:pPr>
      <w:r>
        <w:t>Phil 4,6-7: „[6] Seid um nichts besorgt, sondern in allem lasst durch Gebet und Flehen eure Anliegen vor Gott kundwerden;</w:t>
      </w:r>
    </w:p>
    <w:p w:rsidR="00BB7EDA" w:rsidRDefault="007D72B3">
      <w:pPr>
        <w:pStyle w:val="Bodytext20"/>
        <w:shd w:val="clear" w:color="auto" w:fill="auto"/>
        <w:spacing w:before="0" w:after="60" w:line="226" w:lineRule="exact"/>
        <w:ind w:left="320"/>
        <w:jc w:val="left"/>
      </w:pPr>
      <w:r>
        <w:t xml:space="preserve">[7] und der Friede Gottes, der allen Verstand übersteigt, wird eure Herzen und </w:t>
      </w:r>
      <w:r>
        <w:t>eure Gedanken bewahren in Christus Jesus."</w:t>
      </w:r>
    </w:p>
    <w:p w:rsidR="00BB7EDA" w:rsidRDefault="007D72B3">
      <w:pPr>
        <w:pStyle w:val="Bodytext20"/>
        <w:shd w:val="clear" w:color="auto" w:fill="auto"/>
        <w:spacing w:before="0" w:line="226" w:lineRule="exact"/>
        <w:ind w:left="320" w:right="1440"/>
        <w:jc w:val="left"/>
      </w:pPr>
      <w:r>
        <w:t>Ps 66,19-20: „[19] Doch Gott hat gehört, er hat gemerkt auf die Stimme meines Gebets.</w:t>
      </w:r>
    </w:p>
    <w:p w:rsidR="00BB7EDA" w:rsidRDefault="007D72B3">
      <w:pPr>
        <w:pStyle w:val="Bodytext20"/>
        <w:shd w:val="clear" w:color="auto" w:fill="auto"/>
        <w:spacing w:before="0" w:line="226" w:lineRule="exact"/>
        <w:ind w:firstLine="320"/>
      </w:pPr>
      <w:r>
        <w:t>[20] Gepriesen sei Gott, der nicht abgewiesen hat</w:t>
      </w:r>
    </w:p>
    <w:p w:rsidR="00BB7EDA" w:rsidRDefault="007D72B3">
      <w:pPr>
        <w:pStyle w:val="Bodytext20"/>
        <w:shd w:val="clear" w:color="auto" w:fill="auto"/>
        <w:spacing w:before="0" w:line="226" w:lineRule="exact"/>
        <w:ind w:firstLine="320"/>
      </w:pPr>
      <w:r>
        <w:t>mein Gebet,</w:t>
      </w:r>
    </w:p>
    <w:p w:rsidR="00BB7EDA" w:rsidRDefault="007D72B3">
      <w:pPr>
        <w:pStyle w:val="Bodytext20"/>
        <w:shd w:val="clear" w:color="auto" w:fill="auto"/>
        <w:spacing w:before="0" w:after="176" w:line="226" w:lineRule="exact"/>
        <w:ind w:firstLine="320"/>
      </w:pPr>
      <w:r>
        <w:t>noch von mir abgewandt hat seine Güte."</w:t>
      </w:r>
    </w:p>
    <w:p w:rsidR="00BB7EDA" w:rsidRDefault="007D72B3">
      <w:pPr>
        <w:pStyle w:val="Bodytext20"/>
        <w:shd w:val="clear" w:color="auto" w:fill="auto"/>
        <w:spacing w:before="0"/>
        <w:ind w:firstLine="320"/>
      </w:pPr>
      <w:r>
        <w:t>Nachdem man erfahren hat,</w:t>
      </w:r>
      <w:r>
        <w:t xml:space="preserve"> wie Jesus Christus die Kommunika</w:t>
      </w:r>
      <w:r>
        <w:softHyphen/>
        <w:t>tionsstörung mit Gott heilen und einen wahren Dialog herbeiführen kann, darf man auch erleben, wie ebenso zwischenmenschliche Dialogstörungen nach und nach gesunden und behoben werden können.</w:t>
      </w:r>
    </w:p>
    <w:p w:rsidR="00BB7EDA" w:rsidRDefault="007D72B3">
      <w:pPr>
        <w:pStyle w:val="Bodytext20"/>
        <w:shd w:val="clear" w:color="auto" w:fill="auto"/>
        <w:spacing w:before="0"/>
        <w:ind w:firstLine="320"/>
      </w:pPr>
      <w:r>
        <w:t>Indem der Mensch durch den Her</w:t>
      </w:r>
      <w:r>
        <w:t>rn Jesus Christus zu einem Dialog mit Gott gelangt, findet er zu seinem wahren Menschsein zurück. Weit davon entfernt, so etwas wie ein „sprechender Affe" zu sein, darf man sich seiner wahren, gottgewollten Bestimmung er</w:t>
      </w:r>
      <w:r>
        <w:softHyphen/>
        <w:t>freuen.</w:t>
      </w:r>
    </w:p>
    <w:p w:rsidR="00BB7EDA" w:rsidRDefault="007D72B3">
      <w:pPr>
        <w:pStyle w:val="Bodytext20"/>
        <w:shd w:val="clear" w:color="auto" w:fill="auto"/>
        <w:spacing w:before="0"/>
        <w:ind w:firstLine="320"/>
        <w:sectPr w:rsidR="00BB7EDA">
          <w:pgSz w:w="7266" w:h="11422"/>
          <w:pgMar w:top="708" w:right="762" w:bottom="1203" w:left="845" w:header="0" w:footer="3" w:gutter="0"/>
          <w:cols w:space="720"/>
          <w:noEndnote/>
          <w:docGrid w:linePitch="360"/>
        </w:sectPr>
      </w:pPr>
      <w:r>
        <w:t>Aus al</w:t>
      </w:r>
      <w:r>
        <w:t>l diesen Erkenntnissen folgen ganz persönliche Fragen von tiefster existenzieller Bedeutung: Kennen Sie diese lebendige Beziehung mit Gott? Haben Sie schon das Gespräch mit ihrem Schöpfer Jesus Christus aufgenommen? Ist er Ihr Erlöser?</w:t>
      </w:r>
    </w:p>
    <w:p w:rsidR="00BB7EDA" w:rsidRDefault="007D72B3">
      <w:pPr>
        <w:pStyle w:val="Heading30"/>
        <w:keepNext/>
        <w:keepLines/>
        <w:shd w:val="clear" w:color="auto" w:fill="auto"/>
        <w:spacing w:after="333" w:line="260" w:lineRule="exact"/>
        <w:ind w:left="320" w:hanging="320"/>
      </w:pPr>
      <w:bookmarkStart w:id="166" w:name="bookmark165"/>
      <w:r>
        <w:t>Literatur</w:t>
      </w:r>
      <w:bookmarkEnd w:id="166"/>
    </w:p>
    <w:p w:rsidR="00BB7EDA" w:rsidRDefault="007D72B3">
      <w:pPr>
        <w:pStyle w:val="Bodytext60"/>
        <w:shd w:val="clear" w:color="auto" w:fill="auto"/>
        <w:spacing w:line="187" w:lineRule="exact"/>
        <w:ind w:left="320" w:hanging="320"/>
        <w:jc w:val="both"/>
      </w:pPr>
      <w:r>
        <w:rPr>
          <w:rStyle w:val="Bodytext67ptSmallCaps"/>
        </w:rPr>
        <w:t xml:space="preserve">Adelung, </w:t>
      </w:r>
      <w:r>
        <w:t>J</w:t>
      </w:r>
      <w:r>
        <w:t>.Ch.: Mithridates oder allgemeine Sprachenkunde, mit dem Unser Vater als Sprachprobe in bey nahe fünfhundert Sprachen und Mundarten, Erster Theil, Berlin 1806.</w:t>
      </w:r>
    </w:p>
    <w:p w:rsidR="00BB7EDA" w:rsidRDefault="007D72B3">
      <w:pPr>
        <w:pStyle w:val="Bodytext60"/>
        <w:shd w:val="clear" w:color="auto" w:fill="auto"/>
        <w:spacing w:line="187" w:lineRule="exact"/>
        <w:ind w:left="320" w:hanging="320"/>
        <w:jc w:val="both"/>
      </w:pPr>
      <w:r>
        <w:rPr>
          <w:rStyle w:val="Bodytext67ptSmallCaps"/>
        </w:rPr>
        <w:t xml:space="preserve">Aitchison, </w:t>
      </w:r>
      <w:r>
        <w:t xml:space="preserve">J.: Der Mensch - das sprechende Wesen: Eine Einführung in die Psycholinguistik, </w:t>
      </w:r>
      <w:r>
        <w:t>Tübingen 1982.</w:t>
      </w:r>
    </w:p>
    <w:p w:rsidR="00BB7EDA" w:rsidRDefault="007D72B3">
      <w:pPr>
        <w:pStyle w:val="Bodytext60"/>
        <w:shd w:val="clear" w:color="auto" w:fill="auto"/>
        <w:spacing w:line="187" w:lineRule="exact"/>
        <w:ind w:left="320" w:hanging="320"/>
        <w:jc w:val="both"/>
      </w:pPr>
      <w:r>
        <w:rPr>
          <w:rStyle w:val="Bodytext67ptSmallCaps"/>
        </w:rPr>
        <w:t xml:space="preserve">Aland, </w:t>
      </w:r>
      <w:r>
        <w:t>K. und B.: Der Text des Neuen Testaments, Stuttgart 1982.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Albright, </w:t>
      </w:r>
      <w:r w:rsidRPr="007D72B3">
        <w:rPr>
          <w:lang w:val="en-US"/>
        </w:rPr>
        <w:t>W.F.: Coptic, in: Collier's Encyclopedia, a.a.O., Bd. 7, S. 318.</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Albright, </w:t>
      </w:r>
      <w:r w:rsidRPr="007D72B3">
        <w:rPr>
          <w:lang w:val="en-US"/>
        </w:rPr>
        <w:t>W.F.: Egyptian, in: Collier's Encyclopedia, a.a.O., Bd. 8, S. 674.</w:t>
      </w:r>
    </w:p>
    <w:p w:rsidR="00BB7EDA" w:rsidRDefault="007D72B3">
      <w:pPr>
        <w:pStyle w:val="Bodytext60"/>
        <w:shd w:val="clear" w:color="auto" w:fill="auto"/>
        <w:spacing w:line="187" w:lineRule="exact"/>
        <w:ind w:left="320" w:hanging="320"/>
        <w:jc w:val="both"/>
      </w:pPr>
      <w:r>
        <w:rPr>
          <w:rStyle w:val="Bodytext67ptSmallCaps"/>
        </w:rPr>
        <w:t xml:space="preserve">Andree, </w:t>
      </w:r>
      <w:r>
        <w:t>R.: Die Flutsage</w:t>
      </w:r>
      <w:r>
        <w:t>n ethnographisch betrachtet, a.a..O., 1891.</w:t>
      </w:r>
    </w:p>
    <w:p w:rsidR="00BB7EDA" w:rsidRDefault="007D72B3">
      <w:pPr>
        <w:pStyle w:val="Bodytext60"/>
        <w:shd w:val="clear" w:color="auto" w:fill="auto"/>
        <w:spacing w:line="187" w:lineRule="exact"/>
        <w:ind w:left="320" w:hanging="320"/>
        <w:jc w:val="both"/>
      </w:pPr>
      <w:r>
        <w:rPr>
          <w:rStyle w:val="Bodytext67ptSmallCaps"/>
        </w:rPr>
        <w:t xml:space="preserve">Archer, </w:t>
      </w:r>
      <w:r>
        <w:t>G.L.: Das Flebräische im Buch Daniel verglichen mit den Schriften der Sekte von Qumran, Basel 1972.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Archer, </w:t>
      </w:r>
      <w:r w:rsidRPr="007D72B3">
        <w:rPr>
          <w:lang w:val="en-US"/>
        </w:rPr>
        <w:t xml:space="preserve">G.L.: Encyclopedia </w:t>
      </w:r>
      <w:r w:rsidRPr="007D72B3">
        <w:rPr>
          <w:rStyle w:val="Bodytext67pt"/>
          <w:lang w:val="en-US"/>
        </w:rPr>
        <w:t xml:space="preserve">of </w:t>
      </w:r>
      <w:r w:rsidRPr="007D72B3">
        <w:rPr>
          <w:lang w:val="en-US"/>
        </w:rPr>
        <w:t xml:space="preserve">Bible Difficulties, Grand Rapids, Michigan </w:t>
      </w:r>
      <w:r w:rsidRPr="007D72B3">
        <w:rPr>
          <w:rStyle w:val="Bodytext67pt"/>
          <w:lang w:val="en-US"/>
        </w:rPr>
        <w:t>1982.</w:t>
      </w:r>
    </w:p>
    <w:p w:rsidR="00BB7EDA" w:rsidRPr="007D72B3" w:rsidRDefault="007D72B3">
      <w:pPr>
        <w:pStyle w:val="Bodytext60"/>
        <w:shd w:val="clear" w:color="auto" w:fill="auto"/>
        <w:spacing w:line="187" w:lineRule="exact"/>
        <w:ind w:left="320" w:hanging="320"/>
        <w:jc w:val="both"/>
        <w:rPr>
          <w:lang w:val="en-US"/>
        </w:rPr>
      </w:pPr>
      <w:r>
        <w:rPr>
          <w:rStyle w:val="Bodytext67ptSmallCaps"/>
        </w:rPr>
        <w:t xml:space="preserve">Archer, </w:t>
      </w:r>
      <w:r>
        <w:t xml:space="preserve">G.L.: Einleitung </w:t>
      </w:r>
      <w:r>
        <w:t xml:space="preserve">in das Alte Testament, Bad Liebenzell, Bd. 1,1987, Bd. </w:t>
      </w:r>
      <w:r w:rsidRPr="007D72B3">
        <w:rPr>
          <w:lang w:val="en-US"/>
        </w:rPr>
        <w:t>II, 1989.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Ariel, Y./Richman, </w:t>
      </w:r>
      <w:r w:rsidRPr="007D72B3">
        <w:rPr>
          <w:lang w:val="en-US"/>
        </w:rPr>
        <w:t xml:space="preserve">Ch.: The Odyssey </w:t>
      </w:r>
      <w:r w:rsidRPr="007D72B3">
        <w:rPr>
          <w:rStyle w:val="Bodytext67pt"/>
          <w:lang w:val="en-US"/>
        </w:rPr>
        <w:t xml:space="preserve">of </w:t>
      </w:r>
      <w:r w:rsidRPr="007D72B3">
        <w:rPr>
          <w:lang w:val="en-US"/>
        </w:rPr>
        <w:t xml:space="preserve">the Third Temple, Jerusalem </w:t>
      </w:r>
      <w:r w:rsidRPr="007D72B3">
        <w:rPr>
          <w:rStyle w:val="Bodytext67pt"/>
          <w:lang w:val="en-US"/>
        </w:rPr>
        <w:t>1993.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Atkinson, </w:t>
      </w:r>
      <w:r w:rsidRPr="007D72B3">
        <w:rPr>
          <w:lang w:val="en-US"/>
        </w:rPr>
        <w:t xml:space="preserve">D.A.: The Message of Genesis </w:t>
      </w:r>
      <w:r w:rsidRPr="007D72B3">
        <w:rPr>
          <w:rStyle w:val="Bodytext67pt"/>
          <w:lang w:val="en-US"/>
        </w:rPr>
        <w:t xml:space="preserve">1-11, </w:t>
      </w:r>
      <w:r w:rsidRPr="007D72B3">
        <w:rPr>
          <w:lang w:val="en-US"/>
        </w:rPr>
        <w:t xml:space="preserve">The Dawn of Creation, Leicester, England, Downers Grove, Illinois, USA </w:t>
      </w:r>
      <w:r w:rsidRPr="007D72B3">
        <w:rPr>
          <w:rStyle w:val="Bodytext67pt"/>
          <w:lang w:val="en-US"/>
        </w:rPr>
        <w:t>19</w:t>
      </w:r>
      <w:r w:rsidRPr="007D72B3">
        <w:rPr>
          <w:rStyle w:val="Bodytext67pt"/>
          <w:lang w:val="en-US"/>
        </w:rPr>
        <w:t>90.</w:t>
      </w:r>
    </w:p>
    <w:p w:rsidR="00BB7EDA" w:rsidRPr="007D72B3" w:rsidRDefault="007D72B3">
      <w:pPr>
        <w:pStyle w:val="Bodytext60"/>
        <w:shd w:val="clear" w:color="auto" w:fill="auto"/>
        <w:spacing w:line="187" w:lineRule="exact"/>
        <w:ind w:left="320" w:hanging="320"/>
        <w:jc w:val="both"/>
        <w:rPr>
          <w:lang w:val="en-US"/>
        </w:rPr>
      </w:pPr>
      <w:r w:rsidRPr="007D72B3">
        <w:rPr>
          <w:lang w:val="en-US"/>
        </w:rPr>
        <w:t>Audio Gospel: Echos von Audio Gospel, Winter 1999-2000, 1 Chemin de Joux, CH-2316 Les Ponts-de-Martel.</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Augustinus, </w:t>
      </w:r>
      <w:r w:rsidRPr="007D72B3">
        <w:rPr>
          <w:lang w:val="en-US"/>
        </w:rPr>
        <w:t>A.: Epistula lohannis ad Parthos, in: Corpus Augustinianum Gissen</w:t>
      </w:r>
      <w:r w:rsidRPr="007D72B3">
        <w:rPr>
          <w:lang w:val="en-US"/>
        </w:rPr>
        <w:softHyphen/>
        <w:t>se (CAG),</w:t>
      </w:r>
      <w:r>
        <w:rPr>
          <w:vertAlign w:val="superscript"/>
        </w:rPr>
        <w:footnoteReference w:id="486"/>
      </w:r>
      <w:r w:rsidRPr="007D72B3">
        <w:rPr>
          <w:lang w:val="en-US"/>
        </w:rPr>
        <w:t>a C. Mayer editum; (= Patrologia Latina Bd. 35).</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Avigad, </w:t>
      </w:r>
      <w:r w:rsidRPr="007D72B3">
        <w:rPr>
          <w:lang w:val="en-US"/>
        </w:rPr>
        <w:t xml:space="preserve">N.: </w:t>
      </w:r>
      <w:r w:rsidRPr="007D72B3">
        <w:rPr>
          <w:lang w:val="en-US"/>
        </w:rPr>
        <w:t>Corpus of West Semitic Stamp Seals, revised and completed by Benjamin Sass, The Israel Academy of Sciences and Humanities, The Israel Exploration Society, The Institute of Archaeology, The Hebrew University of Jerusalem, Jerusalem 1997.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Baldi, </w:t>
      </w:r>
      <w:r w:rsidRPr="007D72B3">
        <w:rPr>
          <w:lang w:val="en-US"/>
        </w:rPr>
        <w:t>Ph.: Indo-Eu</w:t>
      </w:r>
      <w:r w:rsidRPr="007D72B3">
        <w:rPr>
          <w:lang w:val="en-US"/>
        </w:rPr>
        <w:t xml:space="preserve">ropean Languages, in: </w:t>
      </w:r>
      <w:r w:rsidRPr="007D72B3">
        <w:rPr>
          <w:rStyle w:val="Bodytext67ptSmallCaps"/>
          <w:lang w:val="en-US"/>
        </w:rPr>
        <w:t xml:space="preserve">Comrie: </w:t>
      </w:r>
      <w:r w:rsidRPr="007D72B3">
        <w:rPr>
          <w:lang w:val="en-US"/>
        </w:rPr>
        <w:t>The World's Major Languages, a.a.O., S. 31-67.</w:t>
      </w:r>
    </w:p>
    <w:p w:rsidR="00BB7EDA" w:rsidRDefault="007D72B3">
      <w:pPr>
        <w:pStyle w:val="Bodytext60"/>
        <w:shd w:val="clear" w:color="auto" w:fill="auto"/>
        <w:spacing w:line="187" w:lineRule="exact"/>
        <w:ind w:left="320" w:hanging="320"/>
        <w:jc w:val="both"/>
      </w:pPr>
      <w:r>
        <w:rPr>
          <w:rStyle w:val="Bodytext67ptSmallCaps"/>
        </w:rPr>
        <w:t xml:space="preserve">Bauer, </w:t>
      </w:r>
      <w:r>
        <w:t>W.: Griechisch-deutsches Wörterbuch zu den Schriften des Neuen Testa</w:t>
      </w:r>
      <w:r>
        <w:softHyphen/>
        <w:t>ment und der frühchristlichen Literatur, 6., völlig neu bearbeitete Auflage, im Institut für neutestame</w:t>
      </w:r>
      <w:r>
        <w:t xml:space="preserve">ntliche Textforschung/Münster unter besonderer Mitwirkung von Viktor </w:t>
      </w:r>
      <w:r>
        <w:rPr>
          <w:rStyle w:val="Bodytext67ptSmallCaps"/>
        </w:rPr>
        <w:t xml:space="preserve">Reichmann, </w:t>
      </w:r>
      <w:r>
        <w:t xml:space="preserve">herausgegeben von Kurt und Barbara </w:t>
      </w:r>
      <w:r>
        <w:rPr>
          <w:rStyle w:val="Bodytext67ptSmallCaps"/>
        </w:rPr>
        <w:t xml:space="preserve">Aland, </w:t>
      </w:r>
      <w:r>
        <w:t>Berlin, New York 1988.</w:t>
      </w:r>
    </w:p>
    <w:p w:rsidR="00BB7EDA" w:rsidRDefault="007D72B3">
      <w:pPr>
        <w:pStyle w:val="Bodytext60"/>
        <w:shd w:val="clear" w:color="auto" w:fill="auto"/>
        <w:spacing w:line="187" w:lineRule="exact"/>
        <w:ind w:left="320" w:hanging="320"/>
        <w:jc w:val="both"/>
      </w:pPr>
      <w:r>
        <w:rPr>
          <w:rStyle w:val="Bodytext67ptSmallCaps"/>
        </w:rPr>
        <w:t xml:space="preserve">Baumann, </w:t>
      </w:r>
      <w:r>
        <w:t>Fl.: Schöpfung und Urzeit des Menschen im Mythos der afrikanischen Völker, Berlin 1936.</w:t>
      </w:r>
    </w:p>
    <w:p w:rsidR="00BB7EDA" w:rsidRDefault="007D72B3">
      <w:pPr>
        <w:pStyle w:val="Bodytext60"/>
        <w:shd w:val="clear" w:color="auto" w:fill="auto"/>
        <w:spacing w:line="187" w:lineRule="exact"/>
        <w:ind w:left="320" w:hanging="320"/>
        <w:jc w:val="both"/>
      </w:pPr>
      <w:r>
        <w:rPr>
          <w:rStyle w:val="Bodytext67ptSmallCaps"/>
        </w:rPr>
        <w:t xml:space="preserve">Beck, </w:t>
      </w:r>
      <w:r>
        <w:t>FI.W.: G</w:t>
      </w:r>
      <w:r>
        <w:t>enesis, Aktuelles Dokument vom Beginn der Menschheit, Neuhau</w:t>
      </w:r>
      <w:r>
        <w:softHyphen/>
        <w:t>sen-Stuttgart 1983.</w:t>
      </w:r>
    </w:p>
    <w:p w:rsidR="00BB7EDA" w:rsidRDefault="007D72B3">
      <w:pPr>
        <w:pStyle w:val="Bodytext60"/>
        <w:shd w:val="clear" w:color="auto" w:fill="auto"/>
        <w:spacing w:line="187" w:lineRule="exact"/>
        <w:ind w:left="320" w:hanging="320"/>
        <w:jc w:val="both"/>
      </w:pPr>
      <w:r>
        <w:rPr>
          <w:rStyle w:val="Bodytext67ptSmallCaps"/>
        </w:rPr>
        <w:t xml:space="preserve">Beichter, </w:t>
      </w:r>
      <w:r>
        <w:t xml:space="preserve">M.: „Und Gott sprach...", Über den Ursprung der Sprachen, in: </w:t>
      </w:r>
      <w:r>
        <w:rPr>
          <w:rStyle w:val="Bodytext675ptItalic"/>
        </w:rPr>
        <w:t xml:space="preserve">factum, </w:t>
      </w:r>
      <w:r>
        <w:t>Juli/August 1990, S. 320-324.</w:t>
      </w:r>
    </w:p>
    <w:p w:rsidR="00BB7EDA" w:rsidRDefault="007D72B3">
      <w:pPr>
        <w:pStyle w:val="Bodytext60"/>
        <w:shd w:val="clear" w:color="auto" w:fill="auto"/>
        <w:spacing w:line="187" w:lineRule="exact"/>
        <w:ind w:left="320" w:hanging="320"/>
        <w:jc w:val="both"/>
      </w:pPr>
      <w:r>
        <w:rPr>
          <w:rStyle w:val="Bodytext67pt0"/>
        </w:rPr>
        <w:t xml:space="preserve">BELLEr, </w:t>
      </w:r>
      <w:r>
        <w:t>J.G.: Der Sohn Gottes, Neudruck, Neustadt/Weinstrasse 196</w:t>
      </w:r>
      <w:r>
        <w:t>7.</w:t>
      </w:r>
    </w:p>
    <w:p w:rsidR="00BB7EDA" w:rsidRDefault="007D72B3">
      <w:pPr>
        <w:pStyle w:val="Bodytext60"/>
        <w:shd w:val="clear" w:color="auto" w:fill="auto"/>
        <w:spacing w:line="187" w:lineRule="exact"/>
        <w:ind w:left="320" w:hanging="320"/>
        <w:jc w:val="both"/>
      </w:pPr>
      <w:r>
        <w:rPr>
          <w:rStyle w:val="Bodytext67ptSmallCaps"/>
        </w:rPr>
        <w:t xml:space="preserve">Bercstrasser, </w:t>
      </w:r>
      <w:r>
        <w:t>G.: Einführung in die semitischen Sprachen, Sprachproben und grammatische Skizzen, im Anhang: Zur Syntax der Sprache von Ugarit, von Carl Brockelmann, München 1963.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Berman, </w:t>
      </w:r>
      <w:r w:rsidRPr="007D72B3">
        <w:rPr>
          <w:lang w:val="en-US"/>
        </w:rPr>
        <w:t>R.: Modern Hebrew Structure, Tel Aviv 1978.</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Bimson, </w:t>
      </w:r>
      <w:r w:rsidRPr="007D72B3">
        <w:rPr>
          <w:lang w:val="en-US"/>
        </w:rPr>
        <w:t>J.J.: Redating</w:t>
      </w:r>
      <w:r w:rsidRPr="007D72B3">
        <w:rPr>
          <w:lang w:val="en-US"/>
        </w:rPr>
        <w:t xml:space="preserve"> the Exodus and Conquest, Journal of the Old Testament, Supplement Series 5, Sheffield 1978.</w:t>
      </w:r>
    </w:p>
    <w:p w:rsidR="00BB7EDA" w:rsidRDefault="007D72B3">
      <w:pPr>
        <w:pStyle w:val="Bodytext60"/>
        <w:shd w:val="clear" w:color="auto" w:fill="auto"/>
        <w:spacing w:line="187" w:lineRule="exact"/>
        <w:ind w:left="320" w:hanging="320"/>
        <w:jc w:val="both"/>
      </w:pPr>
      <w:r>
        <w:t>Biblia Hebraica Stuttgartensia, 4. korrigierte Aufl., Stuttgart 1990.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Bickerton, </w:t>
      </w:r>
      <w:r w:rsidRPr="007D72B3">
        <w:rPr>
          <w:lang w:val="en-US"/>
        </w:rPr>
        <w:t xml:space="preserve">D.: Creol Languages, in: </w:t>
      </w:r>
      <w:r w:rsidRPr="007D72B3">
        <w:rPr>
          <w:rStyle w:val="Bodytext675ptItalic"/>
          <w:lang w:val="en-US"/>
        </w:rPr>
        <w:t>Scientific American,</w:t>
      </w:r>
      <w:r w:rsidRPr="007D72B3">
        <w:rPr>
          <w:lang w:val="en-US"/>
        </w:rPr>
        <w:t xml:space="preserve"> 249 (I)/July 1983, S. 108- 115.</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Blac</w:t>
      </w:r>
      <w:r w:rsidRPr="007D72B3">
        <w:rPr>
          <w:rStyle w:val="Bodytext67ptSmallCaps"/>
          <w:lang w:val="en-US"/>
        </w:rPr>
        <w:t xml:space="preserve">k, </w:t>
      </w:r>
      <w:r w:rsidRPr="007D72B3">
        <w:rPr>
          <w:lang w:val="en-US"/>
        </w:rPr>
        <w:t>A B.: Linguistics for Students of New Testament Greek, A Survey of Basic Concepts and Applications, Grand Rapids, Michigan 1988.</w:t>
      </w:r>
    </w:p>
    <w:p w:rsidR="00BB7EDA" w:rsidRDefault="007D72B3">
      <w:pPr>
        <w:pStyle w:val="Bodytext60"/>
        <w:shd w:val="clear" w:color="auto" w:fill="auto"/>
        <w:spacing w:line="187" w:lineRule="exact"/>
        <w:ind w:left="320" w:hanging="320"/>
        <w:jc w:val="both"/>
      </w:pPr>
      <w:r>
        <w:rPr>
          <w:rStyle w:val="Bodytext67ptSmallCaps"/>
        </w:rPr>
        <w:t xml:space="preserve">Blechschmidt, </w:t>
      </w:r>
      <w:r>
        <w:t>E.: Gestaltungsvorgänge in der menschlichen Embryonalentwick</w:t>
      </w:r>
      <w:r>
        <w:softHyphen/>
        <w:t xml:space="preserve">lung in: </w:t>
      </w:r>
      <w:r>
        <w:rPr>
          <w:rStyle w:val="Bodytext67ptSmallCaps"/>
        </w:rPr>
        <w:t xml:space="preserve">Gitt, </w:t>
      </w:r>
      <w:r>
        <w:t>W. (Hrsg.): Am Anfang war die Info</w:t>
      </w:r>
      <w:r>
        <w:t>rmation, Forschungsergeb</w:t>
      </w:r>
      <w:r>
        <w:softHyphen/>
        <w:t>nisse aus Naturwissenschaft und Technik, a.a.O.</w:t>
      </w:r>
    </w:p>
    <w:p w:rsidR="00BB7EDA" w:rsidRDefault="007D72B3">
      <w:pPr>
        <w:pStyle w:val="Bodytext60"/>
        <w:shd w:val="clear" w:color="auto" w:fill="auto"/>
        <w:spacing w:line="187" w:lineRule="exact"/>
        <w:ind w:left="320" w:hanging="320"/>
        <w:jc w:val="both"/>
      </w:pPr>
      <w:r w:rsidRPr="007D72B3">
        <w:rPr>
          <w:rStyle w:val="Bodytext67ptSmallCaps"/>
          <w:lang w:val="en-US"/>
        </w:rPr>
        <w:t xml:space="preserve">Block, </w:t>
      </w:r>
      <w:r w:rsidRPr="007D72B3">
        <w:rPr>
          <w:lang w:val="en-US"/>
        </w:rPr>
        <w:t xml:space="preserve">D.I.: Nations/Nationality, in: </w:t>
      </w:r>
      <w:r w:rsidRPr="007D72B3">
        <w:rPr>
          <w:rStyle w:val="Bodytext67ptSmallCaps"/>
          <w:lang w:val="en-US"/>
        </w:rPr>
        <w:t xml:space="preserve">Vangemeren, </w:t>
      </w:r>
      <w:r w:rsidRPr="007D72B3">
        <w:rPr>
          <w:lang w:val="en-US"/>
        </w:rPr>
        <w:t xml:space="preserve">W.A.: New International Dictionary of Old Testament Theology &amp; Exegesis, Bd. </w:t>
      </w:r>
      <w:r>
        <w:t>V, Carlisle, Cumbria 1997, S. 966-972.</w:t>
      </w:r>
    </w:p>
    <w:p w:rsidR="00BB7EDA" w:rsidRDefault="007D72B3">
      <w:pPr>
        <w:pStyle w:val="Bodytext60"/>
        <w:shd w:val="clear" w:color="auto" w:fill="auto"/>
        <w:spacing w:line="187" w:lineRule="exact"/>
        <w:ind w:left="320" w:hanging="320"/>
        <w:jc w:val="both"/>
      </w:pPr>
      <w:r>
        <w:rPr>
          <w:rStyle w:val="Bodytext67ptSmallCaps"/>
        </w:rPr>
        <w:t xml:space="preserve">Bodmer: </w:t>
      </w:r>
      <w:r>
        <w:t xml:space="preserve">Die </w:t>
      </w:r>
      <w:r>
        <w:t>Sprachen der Welt, Geschichte - Grammatik - Wortschatz in vergleichender Darstellung, Köln, Berlin 1955.</w:t>
      </w:r>
    </w:p>
    <w:p w:rsidR="00BB7EDA" w:rsidRDefault="007D72B3">
      <w:pPr>
        <w:pStyle w:val="Bodytext60"/>
        <w:shd w:val="clear" w:color="auto" w:fill="auto"/>
        <w:spacing w:line="187" w:lineRule="exact"/>
        <w:ind w:left="320" w:hanging="320"/>
        <w:jc w:val="both"/>
      </w:pPr>
      <w:r>
        <w:rPr>
          <w:rStyle w:val="Bodytext67ptSmallCaps"/>
        </w:rPr>
        <w:t xml:space="preserve">Boettcher, W./Herrlitz, W./Nündel, E./Bernd, </w:t>
      </w:r>
      <w:r>
        <w:t>S.: Sprache, Das Buch, das alles über Sprache sagt, Braunschweig 1983.</w:t>
      </w:r>
    </w:p>
    <w:p w:rsidR="00BB7EDA" w:rsidRDefault="007D72B3">
      <w:pPr>
        <w:pStyle w:val="Bodytext60"/>
        <w:shd w:val="clear" w:color="auto" w:fill="auto"/>
        <w:spacing w:line="187" w:lineRule="exact"/>
        <w:ind w:left="320" w:hanging="320"/>
        <w:jc w:val="both"/>
      </w:pPr>
      <w:r>
        <w:rPr>
          <w:rStyle w:val="Bodytext67ptSmallCaps"/>
        </w:rPr>
        <w:t xml:space="preserve">Bornemann, E./Risch, E.: </w:t>
      </w:r>
      <w:r>
        <w:t>Griechisch</w:t>
      </w:r>
      <w:r>
        <w:t>e Grammatik, Frankfurt am Main, Berlin, München 1978.</w:t>
      </w:r>
    </w:p>
    <w:p w:rsidR="00BB7EDA" w:rsidRDefault="007D72B3">
      <w:pPr>
        <w:pStyle w:val="Bodytext60"/>
        <w:shd w:val="clear" w:color="auto" w:fill="auto"/>
        <w:spacing w:line="187" w:lineRule="exact"/>
        <w:ind w:left="320" w:hanging="320"/>
        <w:jc w:val="both"/>
      </w:pPr>
      <w:r w:rsidRPr="007D72B3">
        <w:rPr>
          <w:rStyle w:val="Bodytext67ptSmallCaps"/>
          <w:lang w:val="en-US"/>
        </w:rPr>
        <w:t xml:space="preserve">Botterweck, G.J./Rjnggren, </w:t>
      </w:r>
      <w:r w:rsidRPr="007D72B3">
        <w:rPr>
          <w:lang w:val="en-US"/>
        </w:rPr>
        <w:t xml:space="preserve">H.: Theological Dictionary of the Old Testament, Translated by J.T. </w:t>
      </w:r>
      <w:r w:rsidRPr="007D72B3">
        <w:rPr>
          <w:rStyle w:val="Bodytext67ptSmallCaps"/>
          <w:lang w:val="en-US"/>
        </w:rPr>
        <w:t xml:space="preserve">Willis, </w:t>
      </w:r>
      <w:r w:rsidRPr="007D72B3">
        <w:rPr>
          <w:lang w:val="en-US"/>
        </w:rPr>
        <w:t xml:space="preserve">Bd. </w:t>
      </w:r>
      <w:r>
        <w:t>I, Revised Edition, Grand Rapids, Michigan 1974.</w:t>
      </w:r>
    </w:p>
    <w:p w:rsidR="00BB7EDA" w:rsidRDefault="007D72B3">
      <w:pPr>
        <w:pStyle w:val="Bodytext60"/>
        <w:shd w:val="clear" w:color="auto" w:fill="auto"/>
        <w:spacing w:line="187" w:lineRule="exact"/>
        <w:ind w:left="320" w:hanging="320"/>
        <w:jc w:val="both"/>
      </w:pPr>
      <w:r>
        <w:rPr>
          <w:rStyle w:val="Bodytext67ptSmallCaps"/>
        </w:rPr>
        <w:t xml:space="preserve">Brandt, </w:t>
      </w:r>
      <w:r>
        <w:t>M: Gehirn, Sprache, Artefakte, Fossile</w:t>
      </w:r>
      <w:r>
        <w:t xml:space="preserve"> und archäologische Zeugnisse zum Ursprung des Menschen, Studium Integrale, Holzgerlingen 2000.</w:t>
      </w:r>
    </w:p>
    <w:p w:rsidR="00BB7EDA" w:rsidRDefault="007D72B3">
      <w:pPr>
        <w:pStyle w:val="Bodytext60"/>
        <w:shd w:val="clear" w:color="auto" w:fill="auto"/>
        <w:spacing w:line="187" w:lineRule="exact"/>
        <w:ind w:left="320" w:hanging="320"/>
        <w:jc w:val="both"/>
      </w:pPr>
      <w:r>
        <w:rPr>
          <w:rStyle w:val="Bodytext67ptSmallCaps"/>
        </w:rPr>
        <w:t xml:space="preserve">Bruce, F.F.: </w:t>
      </w:r>
      <w:r>
        <w:t>Die Glaubwürdigkeit der Schriften des Neuen Testaments, Lieben</w:t>
      </w:r>
      <w:r>
        <w:softHyphen/>
        <w:t>zell 1976.</w:t>
      </w:r>
    </w:p>
    <w:p w:rsidR="00BB7EDA" w:rsidRDefault="007D72B3">
      <w:pPr>
        <w:pStyle w:val="Bodytext60"/>
        <w:shd w:val="clear" w:color="auto" w:fill="auto"/>
        <w:spacing w:line="187" w:lineRule="exact"/>
        <w:ind w:left="320" w:hanging="320"/>
        <w:jc w:val="both"/>
      </w:pPr>
      <w:r>
        <w:t>Brockhaus, Die Enzyklopädie in vierundzwanzig Bänden, zwanzigste überar</w:t>
      </w:r>
      <w:r>
        <w:softHyphen/>
        <w:t>b</w:t>
      </w:r>
      <w:r>
        <w:t>eitete und aktualisierte Auflage, Leipzig und Mannheim 1996.</w:t>
      </w:r>
    </w:p>
    <w:p w:rsidR="00BB7EDA" w:rsidRDefault="007D72B3">
      <w:pPr>
        <w:pStyle w:val="Bodytext60"/>
        <w:shd w:val="clear" w:color="auto" w:fill="auto"/>
        <w:spacing w:line="187" w:lineRule="exact"/>
        <w:ind w:left="320" w:hanging="320"/>
        <w:jc w:val="both"/>
      </w:pPr>
      <w:r>
        <w:rPr>
          <w:rStyle w:val="Bodytext67ptSmallCaps"/>
        </w:rPr>
        <w:t xml:space="preserve">Burkhardt, H./Grünzweic, F./Laubach F./Maier, </w:t>
      </w:r>
      <w:r>
        <w:t>G. (Hrsg.): Das große Bibelle</w:t>
      </w:r>
      <w:r>
        <w:softHyphen/>
        <w:t>xikon, Bd. I, Wuppertal/Giessen 1987, Bd. II Wuppertal/Giessen 1988, Bd. III, Wuppertal/Giessen 1989.</w:t>
      </w:r>
    </w:p>
    <w:p w:rsidR="00BB7EDA" w:rsidRDefault="007D72B3">
      <w:pPr>
        <w:pStyle w:val="Bodytext60"/>
        <w:shd w:val="clear" w:color="auto" w:fill="auto"/>
        <w:spacing w:line="187" w:lineRule="exact"/>
        <w:ind w:left="320" w:hanging="320"/>
        <w:jc w:val="both"/>
      </w:pPr>
      <w:r>
        <w:rPr>
          <w:rStyle w:val="Bodytext67ptSmallCaps"/>
        </w:rPr>
        <w:t xml:space="preserve">Boyd, </w:t>
      </w:r>
      <w:r>
        <w:t>T.R.: Hügel</w:t>
      </w:r>
      <w:r>
        <w:t>, Gräber, Schätze, Eine illustrierte Einführung in die biblische Archäologie, Lahr-Dinglingen 1980.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Cardona, </w:t>
      </w:r>
      <w:r w:rsidRPr="007D72B3">
        <w:rPr>
          <w:lang w:val="en-US"/>
        </w:rPr>
        <w:t xml:space="preserve">G.: Sanskrit, in: </w:t>
      </w:r>
      <w:r w:rsidRPr="007D72B3">
        <w:rPr>
          <w:rStyle w:val="Bodytext67ptSmallCaps"/>
          <w:lang w:val="en-US"/>
        </w:rPr>
        <w:t xml:space="preserve">Comrie: </w:t>
      </w:r>
      <w:r w:rsidRPr="007D72B3">
        <w:rPr>
          <w:lang w:val="en-US"/>
        </w:rPr>
        <w:t>The World's Major Languages, a.a.O., S. 448- 469.</w:t>
      </w:r>
    </w:p>
    <w:p w:rsidR="00BB7EDA" w:rsidRDefault="007D72B3">
      <w:pPr>
        <w:pStyle w:val="Bodytext60"/>
        <w:shd w:val="clear" w:color="auto" w:fill="auto"/>
        <w:spacing w:line="187" w:lineRule="exact"/>
        <w:ind w:left="320" w:hanging="320"/>
        <w:jc w:val="both"/>
      </w:pPr>
      <w:r>
        <w:rPr>
          <w:rStyle w:val="Bodytext67ptSmallCaps"/>
        </w:rPr>
        <w:t xml:space="preserve">Cavalli-Sforza, </w:t>
      </w:r>
      <w:r>
        <w:t>L.L.: Gene, Völker und Sprachen, Die biologischen Grund</w:t>
      </w:r>
      <w:r>
        <w:t>lagen unserer Zivilisation, München, Wien 19v9.</w:t>
      </w:r>
    </w:p>
    <w:p w:rsidR="00BB7EDA" w:rsidRDefault="007D72B3">
      <w:pPr>
        <w:pStyle w:val="Bodytext60"/>
        <w:shd w:val="clear" w:color="auto" w:fill="auto"/>
        <w:spacing w:line="187" w:lineRule="exact"/>
        <w:ind w:left="320" w:hanging="320"/>
        <w:jc w:val="both"/>
      </w:pPr>
      <w:r>
        <w:rPr>
          <w:rStyle w:val="Bodytext67ptSmallCaps"/>
        </w:rPr>
        <w:t xml:space="preserve">Chomsky, </w:t>
      </w:r>
      <w:r>
        <w:t>N.: Sprache und Geist, mit einem Anhang: Linguistik und Politik, Frankfurt am Main 1970.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Chomsky, </w:t>
      </w:r>
      <w:r w:rsidRPr="007D72B3">
        <w:rPr>
          <w:lang w:val="en-US"/>
        </w:rPr>
        <w:t>N.: Language and Mind, Harcourt, Brace, Jovanovich, Inc., New York, 1972.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Clark, </w:t>
      </w:r>
      <w:r w:rsidRPr="007D72B3">
        <w:rPr>
          <w:lang w:val="en-US"/>
        </w:rPr>
        <w:t>A.: Clarke's Comment</w:t>
      </w:r>
      <w:r w:rsidRPr="007D72B3">
        <w:rPr>
          <w:lang w:val="en-US"/>
        </w:rPr>
        <w:t>ary, The Old Testament, Bd. I, Genesis through Deuteronomy, Ages Digital Library, AGES Software, Version 1.0, Albany, OR USA 1997.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Cohen, </w:t>
      </w:r>
      <w:r w:rsidRPr="007D72B3">
        <w:rPr>
          <w:lang w:val="en-US"/>
        </w:rPr>
        <w:t>D.: Dictionnaire des racines semitiques, fascicules 3-8, o.O., 1994ff.</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Coleman, </w:t>
      </w:r>
      <w:r w:rsidRPr="007D72B3">
        <w:rPr>
          <w:lang w:val="en-US"/>
        </w:rPr>
        <w:t>R.G.G.: Latin and the Italic Languages</w:t>
      </w:r>
      <w:r w:rsidRPr="007D72B3">
        <w:rPr>
          <w:lang w:val="en-US"/>
        </w:rPr>
        <w:t xml:space="preserve">, in: </w:t>
      </w:r>
      <w:r w:rsidRPr="007D72B3">
        <w:rPr>
          <w:rStyle w:val="Bodytext67ptSmallCaps"/>
          <w:lang w:val="en-US"/>
        </w:rPr>
        <w:t xml:space="preserve">Comrie: </w:t>
      </w:r>
      <w:r w:rsidRPr="007D72B3">
        <w:rPr>
          <w:lang w:val="en-US"/>
        </w:rPr>
        <w:t>The World's Major Languages, a.a.O., S. 180-202.</w:t>
      </w:r>
    </w:p>
    <w:p w:rsidR="00BB7EDA" w:rsidRPr="007D72B3" w:rsidRDefault="007D72B3">
      <w:pPr>
        <w:pStyle w:val="Bodytext60"/>
        <w:shd w:val="clear" w:color="auto" w:fill="auto"/>
        <w:spacing w:line="187" w:lineRule="exact"/>
        <w:ind w:left="320" w:hanging="320"/>
        <w:jc w:val="both"/>
        <w:rPr>
          <w:lang w:val="en-US"/>
        </w:rPr>
      </w:pPr>
      <w:r w:rsidRPr="007D72B3">
        <w:rPr>
          <w:lang w:val="en-US"/>
        </w:rPr>
        <w:t xml:space="preserve">Collier's Encyclopedia, </w:t>
      </w:r>
      <w:r w:rsidRPr="007D72B3">
        <w:rPr>
          <w:rStyle w:val="Bodytext67ptSmallCaps"/>
          <w:lang w:val="en-US"/>
        </w:rPr>
        <w:t xml:space="preserve">Bahr, </w:t>
      </w:r>
      <w:r w:rsidRPr="007D72B3">
        <w:rPr>
          <w:lang w:val="en-US"/>
        </w:rPr>
        <w:t xml:space="preserve">L.S., </w:t>
      </w:r>
      <w:r w:rsidRPr="007D72B3">
        <w:rPr>
          <w:rStyle w:val="Bodytext67ptSmallCaps"/>
          <w:lang w:val="en-US"/>
        </w:rPr>
        <w:t xml:space="preserve">Johnston, </w:t>
      </w:r>
      <w:r w:rsidRPr="007D72B3">
        <w:rPr>
          <w:lang w:val="en-US"/>
        </w:rPr>
        <w:t>B., 24 Bde., New York, Toronto, Sydney 1994.</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Comrie, </w:t>
      </w:r>
      <w:r w:rsidRPr="007D72B3">
        <w:rPr>
          <w:lang w:val="en-US"/>
        </w:rPr>
        <w:t xml:space="preserve">B. (Hrsg.): The World's Major Languages, London </w:t>
      </w:r>
      <w:r w:rsidRPr="007D72B3">
        <w:rPr>
          <w:rStyle w:val="Bodytext67pt"/>
          <w:lang w:val="en-US"/>
        </w:rPr>
        <w:t>1989.</w:t>
      </w:r>
    </w:p>
    <w:p w:rsidR="00BB7EDA" w:rsidRDefault="007D72B3">
      <w:pPr>
        <w:pStyle w:val="Bodytext60"/>
        <w:shd w:val="clear" w:color="auto" w:fill="auto"/>
        <w:spacing w:line="187" w:lineRule="exact"/>
        <w:ind w:left="320" w:hanging="320"/>
        <w:jc w:val="both"/>
      </w:pPr>
      <w:r>
        <w:rPr>
          <w:rStyle w:val="Bodytext67ptSmallCaps"/>
        </w:rPr>
        <w:t xml:space="preserve">Cowan, </w:t>
      </w:r>
      <w:r>
        <w:t>G.M.: Warum dieser Aufwand? Wycli</w:t>
      </w:r>
      <w:r>
        <w:t>ff Bibelübersetzer, o.J.</w:t>
      </w:r>
    </w:p>
    <w:p w:rsidR="00BB7EDA" w:rsidRDefault="007D72B3">
      <w:pPr>
        <w:pStyle w:val="Bodytext60"/>
        <w:shd w:val="clear" w:color="auto" w:fill="auto"/>
        <w:spacing w:line="187" w:lineRule="exact"/>
        <w:ind w:left="320" w:hanging="320"/>
        <w:jc w:val="both"/>
      </w:pPr>
      <w:r>
        <w:rPr>
          <w:rStyle w:val="Bodytext67ptSmallCaps"/>
        </w:rPr>
        <w:t xml:space="preserve">Darby, </w:t>
      </w:r>
      <w:r>
        <w:t>J.N.: Betrachtungen über das Wort Gottes, 1. Mose bis Ruth, Neuauflage, Neustadt/Weinstrasse 1981.</w:t>
      </w:r>
    </w:p>
    <w:p w:rsidR="00BB7EDA" w:rsidRDefault="007D72B3">
      <w:pPr>
        <w:pStyle w:val="Bodytext60"/>
        <w:shd w:val="clear" w:color="auto" w:fill="auto"/>
        <w:spacing w:line="187" w:lineRule="exact"/>
        <w:ind w:left="320" w:hanging="320"/>
        <w:jc w:val="both"/>
      </w:pPr>
      <w:r>
        <w:rPr>
          <w:rStyle w:val="Bodytext67ptSmallCaps"/>
        </w:rPr>
        <w:t xml:space="preserve">Darwin, </w:t>
      </w:r>
      <w:r>
        <w:t xml:space="preserve">Ch.: Die Abstammung des Menschen, übersetzt von </w:t>
      </w:r>
      <w:r>
        <w:rPr>
          <w:rStyle w:val="Bodytext67ptSmallCaps"/>
        </w:rPr>
        <w:t xml:space="preserve">Schmidt-Jena, </w:t>
      </w:r>
      <w:r>
        <w:t>H., Stuttgart 1966.</w:t>
      </w:r>
    </w:p>
    <w:p w:rsidR="00BB7EDA" w:rsidRDefault="007D72B3">
      <w:pPr>
        <w:pStyle w:val="Bodytext60"/>
        <w:shd w:val="clear" w:color="auto" w:fill="auto"/>
        <w:spacing w:line="187" w:lineRule="exact"/>
        <w:ind w:left="320" w:hanging="320"/>
        <w:jc w:val="both"/>
      </w:pPr>
      <w:r>
        <w:rPr>
          <w:rStyle w:val="Bodytext67ptSmallCaps"/>
        </w:rPr>
        <w:t xml:space="preserve">Darwin, </w:t>
      </w:r>
      <w:r>
        <w:t>F.: Leben und Briefe von Ch</w:t>
      </w:r>
      <w:r>
        <w:t>arles Darwin mit einem seine Autobiogra</w:t>
      </w:r>
      <w:r>
        <w:softHyphen/>
        <w:t xml:space="preserve">phie enthaltenden Capitei, aus dem Englischen übersetzt von J.V. </w:t>
      </w:r>
      <w:r>
        <w:rPr>
          <w:rStyle w:val="Bodytext67ptSmallCaps"/>
        </w:rPr>
        <w:t xml:space="preserve">Carus, </w:t>
      </w:r>
      <w:r>
        <w:t>3 Bde., Stuttgart 1887.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Davidson, </w:t>
      </w:r>
      <w:r w:rsidRPr="007D72B3">
        <w:rPr>
          <w:lang w:val="en-US"/>
        </w:rPr>
        <w:t>B.: Analytical Hebrew and Chaldee Lexicon, Every Word and Inflec- tion of the Hebrew Old Testament Arranged Al</w:t>
      </w:r>
      <w:r w:rsidRPr="007D72B3">
        <w:rPr>
          <w:lang w:val="en-US"/>
        </w:rPr>
        <w:t>phabetically and with Gram- matical Analyses, also Tables of Paradigms, London 1848.</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Delancey, </w:t>
      </w:r>
      <w:r w:rsidRPr="007D72B3">
        <w:rPr>
          <w:lang w:val="en-US"/>
        </w:rPr>
        <w:t xml:space="preserve">S.: Sino-Tibetan Languages, in: </w:t>
      </w:r>
      <w:r w:rsidRPr="007D72B3">
        <w:rPr>
          <w:rStyle w:val="Bodytext67ptSmallCaps"/>
          <w:lang w:val="en-US"/>
        </w:rPr>
        <w:t xml:space="preserve">Comrie: </w:t>
      </w:r>
      <w:r w:rsidRPr="007D72B3">
        <w:rPr>
          <w:lang w:val="en-US"/>
        </w:rPr>
        <w:t>The World's Major Languages, a.a.O., S. 797-810.</w:t>
      </w:r>
    </w:p>
    <w:p w:rsidR="00BB7EDA" w:rsidRDefault="007D72B3">
      <w:pPr>
        <w:pStyle w:val="Bodytext60"/>
        <w:shd w:val="clear" w:color="auto" w:fill="auto"/>
        <w:spacing w:line="187" w:lineRule="exact"/>
        <w:ind w:left="320" w:hanging="320"/>
        <w:jc w:val="both"/>
      </w:pPr>
      <w:r>
        <w:rPr>
          <w:rStyle w:val="Bodytext67ptSmallCaps"/>
        </w:rPr>
        <w:t xml:space="preserve">Delitzsch, </w:t>
      </w:r>
      <w:r>
        <w:t>F.: Kleine sumerische Sprachlehre fürNichtassyriologen, Gramm</w:t>
      </w:r>
      <w:r>
        <w:t>atik, Vokabular, Textproben, Leipzig 1914.</w:t>
      </w:r>
    </w:p>
    <w:p w:rsidR="00BB7EDA" w:rsidRDefault="007D72B3">
      <w:pPr>
        <w:pStyle w:val="Bodytext60"/>
        <w:shd w:val="clear" w:color="auto" w:fill="auto"/>
        <w:spacing w:line="187" w:lineRule="exact"/>
        <w:ind w:left="320" w:hanging="320"/>
        <w:jc w:val="both"/>
      </w:pPr>
      <w:r>
        <w:t xml:space="preserve">Der Brith Chadasah, (Übersetzung von) H. </w:t>
      </w:r>
      <w:r>
        <w:rPr>
          <w:rStyle w:val="Bodytext67ptSmallCaps"/>
        </w:rPr>
        <w:t xml:space="preserve">Einspruch, </w:t>
      </w:r>
      <w:r>
        <w:t>Baltimore, Maryland 1977.</w:t>
      </w:r>
    </w:p>
    <w:p w:rsidR="00BB7EDA" w:rsidRDefault="007D72B3">
      <w:pPr>
        <w:pStyle w:val="Bodytext60"/>
        <w:shd w:val="clear" w:color="auto" w:fill="auto"/>
        <w:spacing w:line="187" w:lineRule="exact"/>
        <w:ind w:left="320" w:hanging="320"/>
        <w:jc w:val="both"/>
      </w:pPr>
      <w:r>
        <w:t>Der neue Reader's Digest Brockhaus, Bd. 2, Stuttgart/Zürich/Wien 1973.</w:t>
      </w:r>
    </w:p>
    <w:p w:rsidR="00BB7EDA" w:rsidRPr="007D72B3" w:rsidRDefault="007D72B3">
      <w:pPr>
        <w:pStyle w:val="Bodytext60"/>
        <w:shd w:val="clear" w:color="auto" w:fill="auto"/>
        <w:spacing w:line="187" w:lineRule="exact"/>
        <w:ind w:left="320" w:hanging="320"/>
        <w:jc w:val="both"/>
        <w:rPr>
          <w:lang w:val="en-US"/>
        </w:rPr>
      </w:pPr>
      <w:r w:rsidRPr="007D72B3">
        <w:rPr>
          <w:rStyle w:val="Bodytext65ptSmallCaps"/>
          <w:lang w:val="en-US"/>
        </w:rPr>
        <w:t xml:space="preserve">de </w:t>
      </w:r>
      <w:r w:rsidRPr="007D72B3">
        <w:rPr>
          <w:rStyle w:val="Bodytext67ptSmallCaps"/>
          <w:lang w:val="en-US"/>
        </w:rPr>
        <w:t xml:space="preserve">Saussure, </w:t>
      </w:r>
      <w:r w:rsidRPr="007D72B3">
        <w:rPr>
          <w:lang w:val="en-US"/>
        </w:rPr>
        <w:t xml:space="preserve">F.: Cours de lingustique generale, edition critique prepare par Tullio </w:t>
      </w:r>
      <w:r w:rsidRPr="007D72B3">
        <w:rPr>
          <w:rStyle w:val="Bodytext67ptSmallCaps"/>
          <w:lang w:val="en-US"/>
        </w:rPr>
        <w:t xml:space="preserve">de Mauro, </w:t>
      </w:r>
      <w:r w:rsidRPr="007D72B3">
        <w:rPr>
          <w:lang w:val="en-US"/>
        </w:rPr>
        <w:t>Paris 1984.</w:t>
      </w:r>
    </w:p>
    <w:p w:rsidR="00BB7EDA" w:rsidRDefault="007D72B3">
      <w:pPr>
        <w:pStyle w:val="Bodytext60"/>
        <w:shd w:val="clear" w:color="auto" w:fill="auto"/>
        <w:spacing w:line="187" w:lineRule="exact"/>
        <w:ind w:left="320" w:hanging="320"/>
        <w:jc w:val="both"/>
      </w:pPr>
      <w:r>
        <w:t>Die gute Nachricht, Die Bibel in heutigem Deutsch, Zweite durchgesehene Auflage, Stuttgart 1982.</w:t>
      </w:r>
    </w:p>
    <w:p w:rsidR="00BB7EDA" w:rsidRDefault="007D72B3">
      <w:pPr>
        <w:pStyle w:val="Bodytext60"/>
        <w:shd w:val="clear" w:color="auto" w:fill="auto"/>
        <w:spacing w:line="187" w:lineRule="exact"/>
        <w:ind w:left="320" w:hanging="320"/>
        <w:jc w:val="both"/>
      </w:pPr>
      <w:r>
        <w:t xml:space="preserve">Duden, Fremdwörterbuch, 3., völlig neu bearbeitete und erweiterte </w:t>
      </w:r>
      <w:r>
        <w:t>Auflage, Bd. 5, Mannheim/Wien/Zürich 1974.</w:t>
      </w:r>
    </w:p>
    <w:p w:rsidR="00BB7EDA" w:rsidRDefault="007D72B3">
      <w:pPr>
        <w:pStyle w:val="Bodytext60"/>
        <w:shd w:val="clear" w:color="auto" w:fill="auto"/>
        <w:spacing w:line="187" w:lineRule="exact"/>
        <w:ind w:left="320" w:hanging="320"/>
        <w:jc w:val="both"/>
      </w:pPr>
      <w:r>
        <w:rPr>
          <w:rStyle w:val="Bodytext67ptSmallCaps"/>
        </w:rPr>
        <w:t xml:space="preserve">Ebertshauser, </w:t>
      </w:r>
      <w:r>
        <w:t>R.: Die charismatische Bewegung im Licht der Bibel, Bielefeld 1995.</w:t>
      </w:r>
    </w:p>
    <w:p w:rsidR="00BB7EDA" w:rsidRDefault="007D72B3">
      <w:pPr>
        <w:pStyle w:val="Bodytext60"/>
        <w:shd w:val="clear" w:color="auto" w:fill="auto"/>
        <w:spacing w:line="187" w:lineRule="exact"/>
        <w:ind w:left="320" w:hanging="320"/>
        <w:jc w:val="both"/>
      </w:pPr>
      <w:r>
        <w:rPr>
          <w:rStyle w:val="Bodytext67ptSmallCaps"/>
        </w:rPr>
        <w:t xml:space="preserve">Edersheim, </w:t>
      </w:r>
      <w:r>
        <w:t xml:space="preserve">A.: Der Tempel, Mittelpunkt des geistlichen Lebens zur Zeit Jesu, Einführung von J.J. </w:t>
      </w:r>
      <w:r>
        <w:rPr>
          <w:rStyle w:val="Bodytext67ptSmallCaps"/>
        </w:rPr>
        <w:t xml:space="preserve">Bimson, </w:t>
      </w:r>
      <w:r>
        <w:t>Wuppertal 1997.</w:t>
      </w:r>
    </w:p>
    <w:p w:rsidR="00BB7EDA" w:rsidRDefault="007D72B3">
      <w:pPr>
        <w:pStyle w:val="Bodytext60"/>
        <w:shd w:val="clear" w:color="auto" w:fill="auto"/>
        <w:spacing w:line="187" w:lineRule="exact"/>
        <w:ind w:left="320" w:hanging="320"/>
        <w:jc w:val="both"/>
      </w:pPr>
      <w:r>
        <w:t>Elberfelde</w:t>
      </w:r>
      <w:r>
        <w:t>r-Bibel, Die Heilige Schrift, Wuppertal-Elberfeld 1905.</w:t>
      </w:r>
    </w:p>
    <w:p w:rsidR="00BB7EDA" w:rsidRDefault="007D72B3">
      <w:pPr>
        <w:pStyle w:val="Bodytext60"/>
        <w:shd w:val="clear" w:color="auto" w:fill="auto"/>
        <w:spacing w:line="187" w:lineRule="exact"/>
        <w:ind w:left="320" w:hanging="320"/>
        <w:jc w:val="both"/>
      </w:pPr>
      <w:r>
        <w:rPr>
          <w:rStyle w:val="Bodytext67ptSmallCaps"/>
        </w:rPr>
        <w:t xml:space="preserve">Erman, </w:t>
      </w:r>
      <w:r>
        <w:t xml:space="preserve">A.: Kurzer Abriss der ägyptischen Grammatik, </w:t>
      </w:r>
      <w:r>
        <w:rPr>
          <w:rStyle w:val="Bodytext67pt"/>
        </w:rPr>
        <w:t xml:space="preserve">5. </w:t>
      </w:r>
      <w:r>
        <w:t>unveränderte Aufl., Darmstadt 1969.</w:t>
      </w:r>
    </w:p>
    <w:p w:rsidR="00BB7EDA" w:rsidRDefault="007D72B3">
      <w:pPr>
        <w:pStyle w:val="Bodytext60"/>
        <w:shd w:val="clear" w:color="auto" w:fill="auto"/>
        <w:spacing w:line="187" w:lineRule="exact"/>
        <w:ind w:left="320" w:hanging="320"/>
        <w:jc w:val="both"/>
      </w:pPr>
      <w:r>
        <w:rPr>
          <w:rStyle w:val="Bodytext67ptSmallCaps"/>
        </w:rPr>
        <w:t xml:space="preserve">Falkenstein, </w:t>
      </w:r>
      <w:r>
        <w:t>A.: Das Sumerische, Leiden 1959.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Finegan, </w:t>
      </w:r>
      <w:r w:rsidRPr="007D72B3">
        <w:rPr>
          <w:lang w:val="en-US"/>
        </w:rPr>
        <w:t xml:space="preserve">E.: English, in: </w:t>
      </w:r>
      <w:r w:rsidRPr="007D72B3">
        <w:rPr>
          <w:rStyle w:val="Bodytext67ptSmallCaps"/>
          <w:lang w:val="en-US"/>
        </w:rPr>
        <w:t xml:space="preserve">Comrie: </w:t>
      </w:r>
      <w:r w:rsidRPr="007D72B3">
        <w:rPr>
          <w:lang w:val="en-US"/>
        </w:rPr>
        <w:t xml:space="preserve">The World's Major Languages, </w:t>
      </w:r>
      <w:r w:rsidRPr="007D72B3">
        <w:rPr>
          <w:lang w:val="en-US"/>
        </w:rPr>
        <w:t>a.a.O., S. 77-109.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Finegan, </w:t>
      </w:r>
      <w:r w:rsidRPr="007D72B3">
        <w:rPr>
          <w:lang w:val="en-US"/>
        </w:rPr>
        <w:t>J.: Handbookof Biblical Chronology, Revised Edition, Peabody, Massa</w:t>
      </w:r>
      <w:r w:rsidRPr="007D72B3">
        <w:rPr>
          <w:lang w:val="en-US"/>
        </w:rPr>
        <w:softHyphen/>
        <w:t>chusetts 1998.</w:t>
      </w:r>
    </w:p>
    <w:p w:rsidR="00BB7EDA" w:rsidRDefault="007D72B3">
      <w:pPr>
        <w:pStyle w:val="Bodytext60"/>
        <w:shd w:val="clear" w:color="auto" w:fill="auto"/>
        <w:spacing w:line="187" w:lineRule="exact"/>
        <w:ind w:left="320" w:hanging="320"/>
        <w:jc w:val="both"/>
      </w:pPr>
      <w:r>
        <w:rPr>
          <w:rStyle w:val="Bodytext67ptSmallCaps"/>
        </w:rPr>
        <w:t xml:space="preserve">Flavius, </w:t>
      </w:r>
      <w:r>
        <w:t>Josephus: Jüdische Altertümer, Übersetzt von H. Clementz, 10. Aufl., Wiesbaden 1990.</w:t>
      </w:r>
    </w:p>
    <w:p w:rsidR="00BB7EDA" w:rsidRDefault="007D72B3">
      <w:pPr>
        <w:pStyle w:val="Bodytext60"/>
        <w:shd w:val="clear" w:color="auto" w:fill="auto"/>
        <w:spacing w:line="187" w:lineRule="exact"/>
        <w:ind w:left="320" w:hanging="320"/>
        <w:jc w:val="both"/>
      </w:pPr>
      <w:r>
        <w:rPr>
          <w:rStyle w:val="Bodytext67ptSmallCaps"/>
        </w:rPr>
        <w:t xml:space="preserve">Franzke, </w:t>
      </w:r>
      <w:r>
        <w:t xml:space="preserve">R.: Was ist Schamanismus? Wesen, Gefahren </w:t>
      </w:r>
      <w:r>
        <w:t>und Ausbreitung des Schamanismus in Schule und Gesellschaft, 2. Aufl., Lage 1999.</w:t>
      </w:r>
    </w:p>
    <w:p w:rsidR="00BB7EDA" w:rsidRDefault="007D72B3">
      <w:pPr>
        <w:pStyle w:val="Bodytext60"/>
        <w:shd w:val="clear" w:color="auto" w:fill="auto"/>
        <w:spacing w:line="187" w:lineRule="exact"/>
        <w:ind w:left="320" w:hanging="320"/>
        <w:jc w:val="both"/>
      </w:pPr>
      <w:r>
        <w:rPr>
          <w:rStyle w:val="Bodytext67ptSmallCaps"/>
        </w:rPr>
        <w:t xml:space="preserve">Füller, </w:t>
      </w:r>
      <w:r>
        <w:t>H.W.: Die Enden der Erde, Missions-Bildband, SIM International, o.O., 1985.</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Gardiner, </w:t>
      </w:r>
      <w:r w:rsidRPr="007D72B3">
        <w:rPr>
          <w:lang w:val="en-US"/>
        </w:rPr>
        <w:t>A.: Egyptian Grammar, Being an introduction to the study of hiero- glyphs, third</w:t>
      </w:r>
      <w:r w:rsidRPr="007D72B3">
        <w:rPr>
          <w:lang w:val="en-US"/>
        </w:rPr>
        <w:t xml:space="preserve"> ed., revised, London 1973.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Gaebelein, </w:t>
      </w:r>
      <w:r w:rsidRPr="007D72B3">
        <w:rPr>
          <w:lang w:val="en-US"/>
        </w:rPr>
        <w:t>A.C.: The Annotated Bible, The Holy Scriptures Analyzed and Anno</w:t>
      </w:r>
      <w:r w:rsidRPr="007D72B3">
        <w:rPr>
          <w:lang w:val="en-US"/>
        </w:rPr>
        <w:softHyphen/>
        <w:t>tated, Bd. I, Genesis to Second Chronicles, Third Printing, Neptune, New Jersey 1979.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Gelb, </w:t>
      </w:r>
      <w:r w:rsidRPr="007D72B3">
        <w:rPr>
          <w:lang w:val="en-US"/>
        </w:rPr>
        <w:t>I.J.: Sumerian Language, in: Encyclopaedia Britannica, 1974.</w:t>
      </w:r>
    </w:p>
    <w:p w:rsidR="00BB7EDA" w:rsidRDefault="007D72B3">
      <w:pPr>
        <w:pStyle w:val="Bodytext60"/>
        <w:shd w:val="clear" w:color="auto" w:fill="auto"/>
        <w:spacing w:line="187" w:lineRule="exact"/>
        <w:ind w:left="320" w:hanging="320"/>
        <w:jc w:val="both"/>
      </w:pPr>
      <w:r>
        <w:rPr>
          <w:rStyle w:val="Bodytext67ptSmallCaps"/>
        </w:rPr>
        <w:t xml:space="preserve">Gemoll, </w:t>
      </w:r>
      <w:r>
        <w:t>W.: Griechisch-deutsches Schul- und Handwörterbuch, Neunte Aufla</w:t>
      </w:r>
      <w:r>
        <w:softHyphen/>
        <w:t xml:space="preserve">ge, Durchgesehen und erweitert von Karl </w:t>
      </w:r>
      <w:r>
        <w:rPr>
          <w:rStyle w:val="Bodytext67ptSmallCaps"/>
        </w:rPr>
        <w:t xml:space="preserve">Vretska, </w:t>
      </w:r>
      <w:r>
        <w:t xml:space="preserve">Mit einer Einführung in die Sprachgeschichte von Heinz </w:t>
      </w:r>
      <w:r>
        <w:rPr>
          <w:rStyle w:val="Bodytext67ptSmallCaps"/>
        </w:rPr>
        <w:t xml:space="preserve">Kronasser, </w:t>
      </w:r>
      <w:r>
        <w:t>Nachdruck, Müchen 1991.</w:t>
      </w:r>
    </w:p>
    <w:p w:rsidR="00BB7EDA" w:rsidRDefault="007D72B3">
      <w:pPr>
        <w:pStyle w:val="Bodytext60"/>
        <w:shd w:val="clear" w:color="auto" w:fill="auto"/>
        <w:spacing w:line="187" w:lineRule="exact"/>
        <w:ind w:left="320" w:hanging="320"/>
        <w:jc w:val="both"/>
      </w:pPr>
      <w:r>
        <w:rPr>
          <w:rStyle w:val="Bodytext67ptSmallCaps"/>
        </w:rPr>
        <w:t xml:space="preserve">Gesenius, W.: </w:t>
      </w:r>
      <w:r>
        <w:t>Hebräisches und aramäisches H</w:t>
      </w:r>
      <w:r>
        <w:t>andwörterbuch, über das Aite Testament, 17. Aufl., Berlin, Göttingen, Heidelberg 1962.</w:t>
      </w:r>
    </w:p>
    <w:p w:rsidR="00BB7EDA" w:rsidRDefault="007D72B3">
      <w:pPr>
        <w:pStyle w:val="Bodytext60"/>
        <w:shd w:val="clear" w:color="auto" w:fill="auto"/>
        <w:spacing w:line="187" w:lineRule="exact"/>
        <w:ind w:left="320" w:hanging="320"/>
        <w:jc w:val="both"/>
      </w:pPr>
      <w:r>
        <w:rPr>
          <w:rStyle w:val="Bodytext67ptSmallCaps"/>
        </w:rPr>
        <w:t xml:space="preserve">Gesenius, </w:t>
      </w:r>
      <w:r>
        <w:t>W.</w:t>
      </w:r>
      <w:r>
        <w:rPr>
          <w:rStyle w:val="Bodytext67ptSmallCaps"/>
        </w:rPr>
        <w:t xml:space="preserve">/Kautzsch, E./BergstrAsserG.: </w:t>
      </w:r>
      <w:r>
        <w:t>Hebräische Grammatik, Hildesheim, Zürich, New York 1983.</w:t>
      </w:r>
    </w:p>
    <w:p w:rsidR="00BB7EDA" w:rsidRDefault="007D72B3">
      <w:pPr>
        <w:pStyle w:val="Bodytext60"/>
        <w:shd w:val="clear" w:color="auto" w:fill="auto"/>
        <w:spacing w:line="187" w:lineRule="exact"/>
        <w:ind w:left="320" w:hanging="320"/>
        <w:jc w:val="both"/>
      </w:pPr>
      <w:r>
        <w:rPr>
          <w:rStyle w:val="Bodytext67ptSmallCaps"/>
        </w:rPr>
        <w:t xml:space="preserve">Gesenius, </w:t>
      </w:r>
      <w:r>
        <w:t>W.</w:t>
      </w:r>
      <w:r>
        <w:rPr>
          <w:rStyle w:val="Bodytext67ptSmallCaps"/>
        </w:rPr>
        <w:t xml:space="preserve">/Meyer, </w:t>
      </w:r>
      <w:r>
        <w:t>R.</w:t>
      </w:r>
      <w:r>
        <w:rPr>
          <w:rStyle w:val="Bodytext67ptSmallCaps"/>
        </w:rPr>
        <w:t xml:space="preserve">/Donner, </w:t>
      </w:r>
      <w:r>
        <w:t>H.: Hebräisches und aramäisches Handwör</w:t>
      </w:r>
      <w:r>
        <w:softHyphen/>
        <w:t xml:space="preserve">terbuch über das Alte Testament, bearb. und herausg. von R. </w:t>
      </w:r>
      <w:r>
        <w:rPr>
          <w:rStyle w:val="Bodytext67ptSmallCaps"/>
        </w:rPr>
        <w:t xml:space="preserve">Meyer </w:t>
      </w:r>
      <w:r>
        <w:t xml:space="preserve">und H. </w:t>
      </w:r>
      <w:r>
        <w:rPr>
          <w:rStyle w:val="Bodytext67ptSmallCaps"/>
        </w:rPr>
        <w:t xml:space="preserve">Donner, </w:t>
      </w:r>
      <w:r>
        <w:t xml:space="preserve">18. </w:t>
      </w:r>
      <w:r w:rsidRPr="007D72B3">
        <w:rPr>
          <w:lang w:val="en-US"/>
        </w:rPr>
        <w:t xml:space="preserve">Aufl., Berlin, Heidelberg, New York, London, Paris, Tokyo, Bd. I 1987, Bd. </w:t>
      </w:r>
      <w:r>
        <w:t>II 1995.</w:t>
      </w:r>
    </w:p>
    <w:p w:rsidR="00BB7EDA" w:rsidRDefault="007D72B3">
      <w:pPr>
        <w:pStyle w:val="Bodytext60"/>
        <w:shd w:val="clear" w:color="auto" w:fill="auto"/>
        <w:spacing w:line="187" w:lineRule="exact"/>
        <w:ind w:left="320" w:hanging="320"/>
        <w:jc w:val="both"/>
      </w:pPr>
      <w:r>
        <w:rPr>
          <w:rStyle w:val="Bodytext67ptSmallCaps"/>
        </w:rPr>
        <w:t xml:space="preserve">Gessinger, J./von Rahden, </w:t>
      </w:r>
      <w:r>
        <w:t xml:space="preserve">W. (Hrsg.): Theorien </w:t>
      </w:r>
      <w:r>
        <w:rPr>
          <w:rStyle w:val="Bodytext67pt"/>
        </w:rPr>
        <w:t xml:space="preserve">vom </w:t>
      </w:r>
      <w:r>
        <w:t xml:space="preserve">Ursprung der Sprache, </w:t>
      </w:r>
      <w:r>
        <w:rPr>
          <w:rStyle w:val="Bodytext67pt"/>
        </w:rPr>
        <w:t xml:space="preserve">2 </w:t>
      </w:r>
      <w:r>
        <w:t xml:space="preserve">Bde., </w:t>
      </w:r>
      <w:r>
        <w:t>Berlin, New York 1988.</w:t>
      </w:r>
    </w:p>
    <w:p w:rsidR="00BB7EDA" w:rsidRDefault="007D72B3">
      <w:pPr>
        <w:pStyle w:val="Bodytext60"/>
        <w:shd w:val="clear" w:color="auto" w:fill="auto"/>
        <w:spacing w:line="187" w:lineRule="exact"/>
        <w:ind w:left="320" w:hanging="320"/>
        <w:jc w:val="both"/>
      </w:pPr>
      <w:r>
        <w:rPr>
          <w:rStyle w:val="Bodytext67ptSmallCaps"/>
        </w:rPr>
        <w:t xml:space="preserve">Gipper, </w:t>
      </w:r>
      <w:r>
        <w:t>H.: Denken ohne Sprache? 2. erweiterte Auflage, Düsseldorf 1978.</w:t>
      </w:r>
    </w:p>
    <w:p w:rsidR="00BB7EDA" w:rsidRDefault="007D72B3">
      <w:pPr>
        <w:pStyle w:val="Bodytext60"/>
        <w:shd w:val="clear" w:color="auto" w:fill="auto"/>
        <w:spacing w:line="187" w:lineRule="exact"/>
        <w:ind w:left="320" w:hanging="320"/>
        <w:jc w:val="both"/>
      </w:pPr>
      <w:r>
        <w:rPr>
          <w:rStyle w:val="Bodytext67ptSmallCaps"/>
        </w:rPr>
        <w:t xml:space="preserve">Gitt, </w:t>
      </w:r>
      <w:r>
        <w:t>W. (Hrsg.): Am Anfang war die Information, Forschungsergebnisse aus Naturwissenschaft und Technik, Gräfelfing/München 1982.</w:t>
      </w:r>
    </w:p>
    <w:p w:rsidR="00BB7EDA" w:rsidRDefault="007D72B3">
      <w:pPr>
        <w:pStyle w:val="Bodytext60"/>
        <w:shd w:val="clear" w:color="auto" w:fill="auto"/>
        <w:spacing w:line="187" w:lineRule="exact"/>
        <w:ind w:left="320" w:hanging="320"/>
        <w:jc w:val="both"/>
      </w:pPr>
      <w:r>
        <w:rPr>
          <w:rStyle w:val="Bodytext67ptSmallCaps"/>
        </w:rPr>
        <w:t xml:space="preserve">Gitt, </w:t>
      </w:r>
      <w:r>
        <w:t xml:space="preserve">W.: In </w:t>
      </w:r>
      <w:r>
        <w:rPr>
          <w:rStyle w:val="Bodytext67pt"/>
        </w:rPr>
        <w:t xml:space="preserve">6 </w:t>
      </w:r>
      <w:r>
        <w:t xml:space="preserve">Tagen </w:t>
      </w:r>
      <w:r>
        <w:rPr>
          <w:rStyle w:val="Bodytext67pt"/>
        </w:rPr>
        <w:t xml:space="preserve">vom </w:t>
      </w:r>
      <w:r>
        <w:t>Chaos</w:t>
      </w:r>
      <w:r>
        <w:t xml:space="preserve"> </w:t>
      </w:r>
      <w:r>
        <w:rPr>
          <w:rStyle w:val="Bodytext67pt"/>
        </w:rPr>
        <w:t xml:space="preserve">zum </w:t>
      </w:r>
      <w:r>
        <w:t xml:space="preserve">Menschen. </w:t>
      </w:r>
      <w:r>
        <w:rPr>
          <w:rStyle w:val="Bodytext67pt"/>
        </w:rPr>
        <w:t xml:space="preserve">6. </w:t>
      </w:r>
      <w:r>
        <w:t xml:space="preserve">Auflage, Holzgerlingen </w:t>
      </w:r>
      <w:r>
        <w:rPr>
          <w:rStyle w:val="Bodytext67pt"/>
        </w:rPr>
        <w:t>2002.</w:t>
      </w:r>
    </w:p>
    <w:p w:rsidR="00BB7EDA" w:rsidRDefault="007D72B3">
      <w:pPr>
        <w:pStyle w:val="Bodytext60"/>
        <w:shd w:val="clear" w:color="auto" w:fill="auto"/>
        <w:spacing w:line="187" w:lineRule="exact"/>
        <w:ind w:left="320" w:hanging="320"/>
        <w:jc w:val="both"/>
      </w:pPr>
      <w:r>
        <w:rPr>
          <w:rStyle w:val="Bodytext67ptSmallCaps"/>
        </w:rPr>
        <w:t xml:space="preserve">Gitt, </w:t>
      </w:r>
      <w:r>
        <w:t>W.: Energie - optimal durch Information, Neuhausen-Stuttgart 1986.</w:t>
      </w:r>
    </w:p>
    <w:p w:rsidR="00BB7EDA" w:rsidRDefault="007D72B3">
      <w:pPr>
        <w:pStyle w:val="Bodytext60"/>
        <w:shd w:val="clear" w:color="auto" w:fill="auto"/>
        <w:spacing w:line="187" w:lineRule="exact"/>
        <w:ind w:left="320" w:hanging="320"/>
        <w:jc w:val="both"/>
      </w:pPr>
      <w:r>
        <w:rPr>
          <w:rStyle w:val="Bodytext67ptSmallCaps"/>
        </w:rPr>
        <w:t xml:space="preserve">Gitt, </w:t>
      </w:r>
      <w:r>
        <w:t xml:space="preserve">W.: Am Anfang war die Information. </w:t>
      </w:r>
      <w:r>
        <w:rPr>
          <w:rStyle w:val="Bodytext67pt"/>
        </w:rPr>
        <w:t xml:space="preserve">3. </w:t>
      </w:r>
      <w:r>
        <w:t xml:space="preserve">Auflage, Holzgerlingen </w:t>
      </w:r>
      <w:r>
        <w:rPr>
          <w:rStyle w:val="Bodytext67pt"/>
        </w:rPr>
        <w:t>2002.</w:t>
      </w:r>
    </w:p>
    <w:p w:rsidR="00BB7EDA" w:rsidRDefault="007D72B3">
      <w:pPr>
        <w:pStyle w:val="Bodytext60"/>
        <w:shd w:val="clear" w:color="auto" w:fill="auto"/>
        <w:spacing w:line="187" w:lineRule="exact"/>
        <w:ind w:left="320" w:hanging="320"/>
        <w:jc w:val="both"/>
      </w:pPr>
      <w:r>
        <w:rPr>
          <w:rStyle w:val="Bodytext67ptSmallCaps"/>
        </w:rPr>
        <w:t xml:space="preserve">Gitt, </w:t>
      </w:r>
      <w:r>
        <w:t xml:space="preserve">W.: Sprache: Das Mittel zur Darstellung, Übertragung und Speicherung von Information, in: </w:t>
      </w:r>
      <w:r>
        <w:rPr>
          <w:rStyle w:val="Bodytext675ptItalic"/>
        </w:rPr>
        <w:t>factum,</w:t>
      </w:r>
      <w:r>
        <w:t xml:space="preserve"> Mai 1986, S. 30-40.</w:t>
      </w:r>
    </w:p>
    <w:p w:rsidR="00BB7EDA" w:rsidRDefault="007D72B3">
      <w:pPr>
        <w:pStyle w:val="Bodytext60"/>
        <w:shd w:val="clear" w:color="auto" w:fill="auto"/>
        <w:spacing w:line="187" w:lineRule="exact"/>
        <w:ind w:left="320" w:hanging="320"/>
        <w:jc w:val="both"/>
      </w:pPr>
      <w:r>
        <w:rPr>
          <w:rStyle w:val="Bodytext67ptSmallCaps"/>
        </w:rPr>
        <w:t xml:space="preserve">Gitt, </w:t>
      </w:r>
      <w:r>
        <w:t>W.: Schuf Gott durch Evolution? 6. Auflage, Holzgerlingen, Bielefeld 2002.</w:t>
      </w:r>
    </w:p>
    <w:p w:rsidR="00BB7EDA" w:rsidRDefault="007D72B3">
      <w:pPr>
        <w:pStyle w:val="Bodytext60"/>
        <w:shd w:val="clear" w:color="auto" w:fill="auto"/>
        <w:spacing w:line="187" w:lineRule="exact"/>
        <w:ind w:left="320" w:hanging="320"/>
        <w:jc w:val="both"/>
      </w:pPr>
      <w:r>
        <w:rPr>
          <w:rStyle w:val="Bodytext67ptSmallCaps"/>
        </w:rPr>
        <w:t xml:space="preserve">Glashouwer, W.J.J./Ouweneel, </w:t>
      </w:r>
      <w:r>
        <w:t xml:space="preserve">W.J.: So entstand die Welt, </w:t>
      </w:r>
      <w:r>
        <w:t xml:space="preserve">Neuhausen-Stuttgart </w:t>
      </w:r>
      <w:r>
        <w:rPr>
          <w:rStyle w:val="Bodytext67pt"/>
        </w:rPr>
        <w:t>1980.</w:t>
      </w:r>
    </w:p>
    <w:p w:rsidR="00BB7EDA" w:rsidRDefault="007D72B3">
      <w:pPr>
        <w:pStyle w:val="Bodytext340"/>
        <w:shd w:val="clear" w:color="auto" w:fill="auto"/>
        <w:ind w:left="320"/>
      </w:pPr>
      <w:r>
        <w:rPr>
          <w:rStyle w:val="Bodytext34SmallCaps"/>
        </w:rPr>
        <w:t xml:space="preserve">Glashouwer, W.J.J./Ouweneel, W.J.: </w:t>
      </w:r>
      <w:r>
        <w:rPr>
          <w:rStyle w:val="Bodytext348pt"/>
        </w:rPr>
        <w:t xml:space="preserve">So entstand Israel, Neuhausen-Stuttgart </w:t>
      </w:r>
      <w:r>
        <w:t>1982.</w:t>
      </w:r>
    </w:p>
    <w:p w:rsidR="00BB7EDA" w:rsidRDefault="007D72B3">
      <w:pPr>
        <w:pStyle w:val="Bodytext60"/>
        <w:shd w:val="clear" w:color="auto" w:fill="auto"/>
        <w:spacing w:line="187" w:lineRule="exact"/>
        <w:ind w:left="320" w:hanging="320"/>
        <w:jc w:val="both"/>
      </w:pPr>
      <w:r>
        <w:rPr>
          <w:rStyle w:val="Bodytext67ptSmallCaps"/>
        </w:rPr>
        <w:t xml:space="preserve">Glueck, </w:t>
      </w:r>
      <w:r>
        <w:t>H.: Metzler Lexikon Sprache, Stuttgart/Weimar 1993.</w:t>
      </w:r>
    </w:p>
    <w:p w:rsidR="00BB7EDA" w:rsidRDefault="007D72B3">
      <w:pPr>
        <w:pStyle w:val="Bodytext60"/>
        <w:shd w:val="clear" w:color="auto" w:fill="auto"/>
        <w:spacing w:line="187" w:lineRule="exact"/>
        <w:ind w:left="320" w:hanging="320"/>
        <w:jc w:val="both"/>
      </w:pPr>
      <w:r>
        <w:rPr>
          <w:rStyle w:val="Bodytext67ptSmallCaps"/>
        </w:rPr>
        <w:t xml:space="preserve">Goetze, </w:t>
      </w:r>
      <w:r>
        <w:t>A.: Kleinasien, Kulturgeschichte des Alten Orients, Dritter Abschnitt, Erster Unt</w:t>
      </w:r>
      <w:r>
        <w:t>erabschnitt, München 1957.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Grant, </w:t>
      </w:r>
      <w:r w:rsidRPr="007D72B3">
        <w:rPr>
          <w:lang w:val="en-US"/>
        </w:rPr>
        <w:t>F.W.: The Numerical Bible, Being a Revised Translation of the Holy Scriptures with Expository Notes; Arranged, Divided, and Briefly Characte- rized According to the Principles of Their Numerical Structure, The Penta</w:t>
      </w:r>
      <w:r w:rsidRPr="007D72B3">
        <w:rPr>
          <w:lang w:val="en-US"/>
        </w:rPr>
        <w:softHyphen/>
        <w:t>teuch,</w:t>
      </w:r>
      <w:r w:rsidRPr="007D72B3">
        <w:rPr>
          <w:lang w:val="en-US"/>
        </w:rPr>
        <w:t xml:space="preserve"> Eighth Printing, Neptune, New Jersey 1974.</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Green, </w:t>
      </w:r>
      <w:r w:rsidRPr="007D72B3">
        <w:rPr>
          <w:lang w:val="en-US"/>
        </w:rPr>
        <w:t xml:space="preserve">J.N.: Romance Languages, in: </w:t>
      </w:r>
      <w:r w:rsidRPr="007D72B3">
        <w:rPr>
          <w:rStyle w:val="Bodytext67ptSmallCaps"/>
          <w:lang w:val="en-US"/>
        </w:rPr>
        <w:t xml:space="preserve">Comrie: </w:t>
      </w:r>
      <w:r w:rsidRPr="007D72B3">
        <w:rPr>
          <w:lang w:val="en-US"/>
        </w:rPr>
        <w:t>The World's Major Languages, a.a.O., S. 203-209.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Green, </w:t>
      </w:r>
      <w:r w:rsidRPr="007D72B3">
        <w:rPr>
          <w:lang w:val="en-US"/>
        </w:rPr>
        <w:t xml:space="preserve">J.N.: Spanish, in: </w:t>
      </w:r>
      <w:r w:rsidRPr="007D72B3">
        <w:rPr>
          <w:rStyle w:val="Bodytext67ptSmallCaps"/>
          <w:lang w:val="en-US"/>
        </w:rPr>
        <w:t xml:space="preserve">Comrie: </w:t>
      </w:r>
      <w:r w:rsidRPr="007D72B3">
        <w:rPr>
          <w:lang w:val="en-US"/>
        </w:rPr>
        <w:t>The World's Major Languages, a.a.O., S. 236- 259.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Grimes, </w:t>
      </w:r>
      <w:r w:rsidRPr="007D72B3">
        <w:rPr>
          <w:lang w:val="en-US"/>
        </w:rPr>
        <w:t xml:space="preserve">B. F. (Hrsg.): Ethnologue, </w:t>
      </w:r>
      <w:r w:rsidRPr="007D72B3">
        <w:rPr>
          <w:lang w:val="en-US"/>
        </w:rPr>
        <w:t>Languages of the World, Fourteenth Edition, Dallas, Texas 2000 (CD-ROM-Ausgabe).</w:t>
      </w:r>
    </w:p>
    <w:p w:rsidR="00BB7EDA" w:rsidRDefault="007D72B3">
      <w:pPr>
        <w:pStyle w:val="Bodytext60"/>
        <w:shd w:val="clear" w:color="auto" w:fill="auto"/>
        <w:spacing w:line="187" w:lineRule="exact"/>
        <w:ind w:left="320" w:hanging="320"/>
        <w:jc w:val="both"/>
      </w:pPr>
      <w:r>
        <w:rPr>
          <w:rStyle w:val="Bodytext67ptSmallCaps"/>
        </w:rPr>
        <w:t xml:space="preserve">Grein, </w:t>
      </w:r>
      <w:r>
        <w:t xml:space="preserve">M.: „Sprachtypologie", in: Microsoft, Encarta </w:t>
      </w:r>
      <w:r>
        <w:rPr>
          <w:rStyle w:val="Bodytext67pt"/>
        </w:rPr>
        <w:t xml:space="preserve">99 </w:t>
      </w:r>
      <w:r>
        <w:t xml:space="preserve">Enzyklopädie, </w:t>
      </w:r>
      <w:r>
        <w:rPr>
          <w:rStyle w:val="Bodytext67pt"/>
        </w:rPr>
        <w:t>1993- 1998.</w:t>
      </w:r>
    </w:p>
    <w:p w:rsidR="00BB7EDA" w:rsidRDefault="007D72B3">
      <w:pPr>
        <w:pStyle w:val="Bodytext60"/>
        <w:shd w:val="clear" w:color="auto" w:fill="auto"/>
        <w:spacing w:line="187" w:lineRule="exact"/>
        <w:ind w:left="320" w:hanging="320"/>
        <w:jc w:val="both"/>
      </w:pPr>
      <w:r>
        <w:rPr>
          <w:rStyle w:val="Bodytext67ptSmallCaps"/>
        </w:rPr>
        <w:t xml:space="preserve">Gukch: </w:t>
      </w:r>
      <w:r>
        <w:t xml:space="preserve">Ägyptische Grammatik </w:t>
      </w:r>
      <w:r>
        <w:rPr>
          <w:rStyle w:val="Bodytext67pt"/>
        </w:rPr>
        <w:t xml:space="preserve">des </w:t>
      </w:r>
      <w:r>
        <w:t xml:space="preserve">Agyptologischen Instituts </w:t>
      </w:r>
      <w:r>
        <w:rPr>
          <w:rStyle w:val="Bodytext67pt"/>
        </w:rPr>
        <w:t xml:space="preserve">der </w:t>
      </w:r>
      <w:r>
        <w:t>Universität Heidelberg, Winters</w:t>
      </w:r>
      <w:r>
        <w:t>emester 1986/1987 (unveröffentlicht).</w:t>
      </w:r>
    </w:p>
    <w:p w:rsidR="00BB7EDA" w:rsidRDefault="007D72B3">
      <w:pPr>
        <w:pStyle w:val="Bodytext60"/>
        <w:shd w:val="clear" w:color="auto" w:fill="auto"/>
        <w:spacing w:line="187" w:lineRule="exact"/>
        <w:ind w:left="320" w:hanging="320"/>
        <w:jc w:val="both"/>
      </w:pPr>
      <w:r>
        <w:rPr>
          <w:rStyle w:val="Bodytext67ptSmallCaps"/>
        </w:rPr>
        <w:t xml:space="preserve">Haarmann, </w:t>
      </w:r>
      <w:r>
        <w:t>H.: Universalgeschichte der Schrift, Frankfurt/Main 1994.</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Hamilton, </w:t>
      </w:r>
      <w:r w:rsidRPr="007D72B3">
        <w:rPr>
          <w:lang w:val="en-US"/>
        </w:rPr>
        <w:t xml:space="preserve">V.P.: The Book of Genesis, Chapters 1-17, The New International Commentary on the Old Testament, R.K. </w:t>
      </w:r>
      <w:r w:rsidRPr="007D72B3">
        <w:rPr>
          <w:rStyle w:val="Bodytext67ptSmallCaps"/>
          <w:lang w:val="en-US"/>
        </w:rPr>
        <w:t xml:space="preserve">Harrison, </w:t>
      </w:r>
      <w:r w:rsidRPr="007D72B3">
        <w:rPr>
          <w:lang w:val="en-US"/>
        </w:rPr>
        <w:t xml:space="preserve">general editor, Grand </w:t>
      </w:r>
      <w:r w:rsidRPr="007D72B3">
        <w:rPr>
          <w:lang w:val="en-US"/>
        </w:rPr>
        <w:t>Rapids, Michigan 1990.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Harris, </w:t>
      </w:r>
      <w:r w:rsidRPr="007D72B3">
        <w:rPr>
          <w:lang w:val="en-US"/>
        </w:rPr>
        <w:t xml:space="preserve">M.: French, in: </w:t>
      </w:r>
      <w:r w:rsidRPr="007D72B3">
        <w:rPr>
          <w:rStyle w:val="Bodytext67ptSmallCaps"/>
          <w:lang w:val="en-US"/>
        </w:rPr>
        <w:t xml:space="preserve">Comrie: </w:t>
      </w:r>
      <w:r w:rsidRPr="007D72B3">
        <w:rPr>
          <w:lang w:val="en-US"/>
        </w:rPr>
        <w:t>The World's Major Languages, a.a.O., S. 210-235.</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Harris, </w:t>
      </w:r>
      <w:r w:rsidRPr="007D72B3">
        <w:rPr>
          <w:lang w:val="en-US"/>
        </w:rPr>
        <w:t>R.L.</w:t>
      </w:r>
      <w:r w:rsidRPr="007D72B3">
        <w:rPr>
          <w:rStyle w:val="Bodytext67ptSmallCaps"/>
          <w:lang w:val="en-US"/>
        </w:rPr>
        <w:t xml:space="preserve">/Archer, </w:t>
      </w:r>
      <w:r w:rsidRPr="007D72B3">
        <w:rPr>
          <w:lang w:val="en-US"/>
        </w:rPr>
        <w:t xml:space="preserve">G.L. </w:t>
      </w:r>
      <w:r w:rsidRPr="007D72B3">
        <w:rPr>
          <w:rStyle w:val="Bodytext67ptSmallCaps"/>
          <w:lang w:val="en-US"/>
        </w:rPr>
        <w:t xml:space="preserve">Jc/Waltre, </w:t>
      </w:r>
      <w:r w:rsidRPr="007D72B3">
        <w:rPr>
          <w:lang w:val="en-US"/>
        </w:rPr>
        <w:t xml:space="preserve">B.K.: The Theological Wordbook of The Old Testament, originally published by Moody Press of Chicago, Illinois </w:t>
      </w:r>
      <w:r w:rsidRPr="007D72B3">
        <w:rPr>
          <w:rStyle w:val="Bodytext67pt"/>
          <w:lang w:val="en-US"/>
        </w:rPr>
        <w:t>1980.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Harris, </w:t>
      </w:r>
      <w:r w:rsidRPr="007D72B3">
        <w:rPr>
          <w:lang w:val="en-US"/>
        </w:rPr>
        <w:t>Z.S.: A Grammar of the Phoenician Language, New Haven, Connecticut 1936.</w:t>
      </w:r>
    </w:p>
    <w:p w:rsidR="00BB7EDA" w:rsidRDefault="007D72B3">
      <w:pPr>
        <w:pStyle w:val="Bodytext60"/>
        <w:shd w:val="clear" w:color="auto" w:fill="auto"/>
        <w:spacing w:line="187" w:lineRule="exact"/>
        <w:ind w:left="320" w:hanging="320"/>
        <w:jc w:val="both"/>
      </w:pPr>
      <w:r>
        <w:rPr>
          <w:rStyle w:val="Bodytext67ptSmallCaps"/>
        </w:rPr>
        <w:t xml:space="preserve">Hartmann, </w:t>
      </w:r>
      <w:r>
        <w:t>F.: Der Turmbau zu Babel, Mythos oder Wirklichkeit, Turmbausagen im Vergleich mit der Bibel, Neuhausen-Stuttgart 1999.</w:t>
      </w:r>
    </w:p>
    <w:p w:rsidR="00BB7EDA" w:rsidRPr="007D72B3" w:rsidRDefault="007D72B3">
      <w:pPr>
        <w:pStyle w:val="Bodytext150"/>
        <w:shd w:val="clear" w:color="auto" w:fill="auto"/>
        <w:spacing w:line="187" w:lineRule="exact"/>
        <w:ind w:left="320" w:hanging="320"/>
        <w:rPr>
          <w:lang w:val="en-US"/>
        </w:rPr>
      </w:pPr>
      <w:r w:rsidRPr="007D72B3">
        <w:rPr>
          <w:rStyle w:val="Bodytext15SmallCaps"/>
          <w:lang w:val="en-US"/>
        </w:rPr>
        <w:t>Hauser, M.D./Chromsky, W./Tecumseh Fitch,</w:t>
      </w:r>
      <w:r w:rsidRPr="007D72B3">
        <w:rPr>
          <w:lang w:val="en-US"/>
        </w:rPr>
        <w:t xml:space="preserve"> W.:</w:t>
      </w:r>
      <w:r w:rsidRPr="007D72B3">
        <w:rPr>
          <w:lang w:val="en-US"/>
        </w:rPr>
        <w:t xml:space="preserve"> The Faculty of Language:</w:t>
      </w:r>
    </w:p>
    <w:p w:rsidR="00BB7EDA" w:rsidRPr="007D72B3" w:rsidRDefault="007D72B3">
      <w:pPr>
        <w:pStyle w:val="Bodytext60"/>
        <w:shd w:val="clear" w:color="auto" w:fill="auto"/>
        <w:spacing w:line="187" w:lineRule="exact"/>
        <w:ind w:left="320"/>
        <w:jc w:val="both"/>
        <w:rPr>
          <w:lang w:val="en-US"/>
        </w:rPr>
      </w:pPr>
      <w:r w:rsidRPr="007D72B3">
        <w:rPr>
          <w:lang w:val="en-US"/>
        </w:rPr>
        <w:t xml:space="preserve">What Is It, Who Has It, and How Dit It Evolve? in: </w:t>
      </w:r>
      <w:r w:rsidRPr="007D72B3">
        <w:rPr>
          <w:rStyle w:val="Bodytext675ptItalic"/>
          <w:lang w:val="en-US"/>
        </w:rPr>
        <w:t>Science,</w:t>
      </w:r>
      <w:r w:rsidRPr="007D72B3">
        <w:rPr>
          <w:lang w:val="en-US"/>
        </w:rPr>
        <w:t xml:space="preserve"> Bd. 298,22, November 2002, S. 1569-1579.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Hawkins, </w:t>
      </w:r>
      <w:r w:rsidRPr="007D72B3">
        <w:rPr>
          <w:lang w:val="en-US"/>
        </w:rPr>
        <w:t xml:space="preserve">J.A.: The Germanic Languages, in: </w:t>
      </w:r>
      <w:r w:rsidRPr="007D72B3">
        <w:rPr>
          <w:rStyle w:val="Bodytext67ptSmallCaps"/>
          <w:lang w:val="en-US"/>
        </w:rPr>
        <w:t xml:space="preserve">Comrie: </w:t>
      </w:r>
      <w:r w:rsidRPr="007D72B3">
        <w:rPr>
          <w:lang w:val="en-US"/>
        </w:rPr>
        <w:t>The World's Major Langua- ges, a.a.O., S. 68-76.</w:t>
      </w:r>
    </w:p>
    <w:p w:rsidR="00BB7EDA" w:rsidRDefault="007D72B3">
      <w:pPr>
        <w:pStyle w:val="Bodytext60"/>
        <w:shd w:val="clear" w:color="auto" w:fill="auto"/>
        <w:spacing w:line="187" w:lineRule="exact"/>
        <w:ind w:left="320" w:hanging="320"/>
        <w:jc w:val="both"/>
      </w:pPr>
      <w:r>
        <w:rPr>
          <w:rStyle w:val="Bodytext67ptSmallCaps"/>
        </w:rPr>
        <w:t xml:space="preserve">Heijkoot, </w:t>
      </w:r>
      <w:r>
        <w:t xml:space="preserve">H.L.: </w:t>
      </w:r>
      <w:r>
        <w:t>Gebetsheilungen, Zungenreden, Zeichen und Wunder im Licht der Schrift, Neustadt/Weinstrasse, o.J.</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Henry, </w:t>
      </w:r>
      <w:r w:rsidRPr="007D72B3">
        <w:rPr>
          <w:lang w:val="en-US"/>
        </w:rPr>
        <w:t xml:space="preserve">M.: Commentary on the Old Testament, The Ages Digital Library, International Standard Bible Encyclopedia, Bd I, AGES Software, Albany, OR USA, Version </w:t>
      </w:r>
      <w:r w:rsidRPr="007D72B3">
        <w:rPr>
          <w:lang w:val="en-US"/>
        </w:rPr>
        <w:t>1.0, 1997.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Hemer, </w:t>
      </w:r>
      <w:r w:rsidRPr="007D72B3">
        <w:rPr>
          <w:lang w:val="en-US"/>
        </w:rPr>
        <w:t>C.J.: The Book of Acts in the Setting of Hellenistic History, Tübingen 1989.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Hill, </w:t>
      </w:r>
      <w:r w:rsidRPr="007D72B3">
        <w:rPr>
          <w:lang w:val="en-US"/>
        </w:rPr>
        <w:t>G.</w:t>
      </w:r>
      <w:r w:rsidRPr="007D72B3">
        <w:rPr>
          <w:rStyle w:val="Bodytext67ptSmallCaps"/>
          <w:lang w:val="en-US"/>
        </w:rPr>
        <w:t xml:space="preserve">/Archer, </w:t>
      </w:r>
      <w:r w:rsidRPr="007D72B3">
        <w:rPr>
          <w:lang w:val="en-US"/>
        </w:rPr>
        <w:t xml:space="preserve">G.L.: The Discovery Bible, Chicago </w:t>
      </w:r>
      <w:r w:rsidRPr="007D72B3">
        <w:rPr>
          <w:rStyle w:val="Bodytext67pt"/>
          <w:lang w:val="en-US"/>
        </w:rPr>
        <w:t>1987.</w:t>
      </w:r>
    </w:p>
    <w:p w:rsidR="00BB7EDA" w:rsidRDefault="007D72B3">
      <w:pPr>
        <w:pStyle w:val="Bodytext60"/>
        <w:shd w:val="clear" w:color="auto" w:fill="auto"/>
        <w:spacing w:line="187" w:lineRule="exact"/>
        <w:ind w:left="320" w:hanging="320"/>
        <w:jc w:val="both"/>
      </w:pPr>
      <w:r>
        <w:rPr>
          <w:rStyle w:val="Bodytext67ptSmallCaps"/>
        </w:rPr>
        <w:t xml:space="preserve">Hocking, </w:t>
      </w:r>
      <w:r>
        <w:t>W.J.: Der Sohn seiner Liebe, Neustadt/Weinstrasse 1973.</w:t>
      </w:r>
    </w:p>
    <w:p w:rsidR="00BB7EDA" w:rsidRDefault="007D72B3">
      <w:pPr>
        <w:pStyle w:val="Bodytext60"/>
        <w:shd w:val="clear" w:color="auto" w:fill="auto"/>
        <w:spacing w:line="187" w:lineRule="exact"/>
        <w:ind w:left="320" w:hanging="320"/>
        <w:jc w:val="both"/>
      </w:pPr>
      <w:r>
        <w:rPr>
          <w:rStyle w:val="Bodytext67ptSmallCaps"/>
        </w:rPr>
        <w:t xml:space="preserve">Hoffmann, </w:t>
      </w:r>
      <w:r>
        <w:t xml:space="preserve">E.G. </w:t>
      </w:r>
      <w:r>
        <w:rPr>
          <w:rStyle w:val="Bodytext67ptSmallCaps0"/>
        </w:rPr>
        <w:t xml:space="preserve">/von </w:t>
      </w:r>
      <w:r>
        <w:rPr>
          <w:rStyle w:val="Bodytext67ptSmallCaps"/>
        </w:rPr>
        <w:t xml:space="preserve">Siebenthal, H.: </w:t>
      </w:r>
      <w:r>
        <w:t>Gr</w:t>
      </w:r>
      <w:r>
        <w:t>iechische Grammatik zum Neuen Testa</w:t>
      </w:r>
      <w:r>
        <w:softHyphen/>
        <w:t>ment, Riehen 1985.</w:t>
      </w:r>
    </w:p>
    <w:p w:rsidR="00BB7EDA" w:rsidRDefault="007D72B3">
      <w:pPr>
        <w:pStyle w:val="Bodytext60"/>
        <w:shd w:val="clear" w:color="auto" w:fill="auto"/>
        <w:spacing w:line="187" w:lineRule="exact"/>
        <w:ind w:left="320" w:hanging="320"/>
        <w:jc w:val="both"/>
      </w:pPr>
      <w:r>
        <w:t>Hoffnung für alle, Das Neue Testament, Basel und Giessen 1991.</w:t>
      </w:r>
    </w:p>
    <w:p w:rsidR="00BB7EDA" w:rsidRDefault="007D72B3">
      <w:pPr>
        <w:pStyle w:val="Bodytext60"/>
        <w:shd w:val="clear" w:color="auto" w:fill="auto"/>
        <w:spacing w:line="187" w:lineRule="exact"/>
        <w:ind w:left="320" w:hanging="320"/>
        <w:jc w:val="both"/>
      </w:pPr>
      <w:r>
        <w:rPr>
          <w:rStyle w:val="Bodytext67ptSmallCaps"/>
        </w:rPr>
        <w:t xml:space="preserve">Holzhausen, </w:t>
      </w:r>
      <w:r>
        <w:t>A.: Bibel trotz Babel, Das Buch der Bücher in den Sprachen der Welt, Moers 1992.</w:t>
      </w:r>
    </w:p>
    <w:p w:rsidR="00BB7EDA" w:rsidRPr="007D72B3" w:rsidRDefault="007D72B3">
      <w:pPr>
        <w:pStyle w:val="Bodytext60"/>
        <w:shd w:val="clear" w:color="auto" w:fill="auto"/>
        <w:spacing w:line="187" w:lineRule="exact"/>
        <w:ind w:left="320" w:hanging="320"/>
        <w:jc w:val="both"/>
        <w:rPr>
          <w:lang w:val="en-US"/>
        </w:rPr>
      </w:pPr>
      <w:r>
        <w:rPr>
          <w:rStyle w:val="Bodytext67ptSmallCaps"/>
        </w:rPr>
        <w:t xml:space="preserve">Hörster, </w:t>
      </w:r>
      <w:r>
        <w:t xml:space="preserve">G.: Zungenrede, in: </w:t>
      </w:r>
      <w:r>
        <w:rPr>
          <w:rStyle w:val="Bodytext67ptSmallCaps"/>
        </w:rPr>
        <w:t xml:space="preserve">Burkhardt, </w:t>
      </w:r>
      <w:r>
        <w:t>H.</w:t>
      </w:r>
      <w:r>
        <w:rPr>
          <w:rStyle w:val="Bodytext67ptSmallCaps"/>
        </w:rPr>
        <w:t>/Gr</w:t>
      </w:r>
      <w:r>
        <w:rPr>
          <w:rStyle w:val="Bodytext67ptSmallCaps"/>
        </w:rPr>
        <w:t xml:space="preserve">ünzweig, F./Laubach F./Maier, </w:t>
      </w:r>
      <w:r>
        <w:t xml:space="preserve">G. (Hrsg.): Das große Bibellexikon, Bd. </w:t>
      </w:r>
      <w:r w:rsidRPr="007D72B3">
        <w:rPr>
          <w:lang w:val="en-US"/>
        </w:rPr>
        <w:t>III, a.a.O., S. 1732.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Hetzron, </w:t>
      </w:r>
      <w:r w:rsidRPr="007D72B3">
        <w:rPr>
          <w:lang w:val="en-US"/>
        </w:rPr>
        <w:t xml:space="preserve">R.: Hebrew, in: </w:t>
      </w:r>
      <w:r w:rsidRPr="007D72B3">
        <w:rPr>
          <w:rStyle w:val="Bodytext67ptSmallCaps"/>
          <w:lang w:val="en-US"/>
        </w:rPr>
        <w:t xml:space="preserve">Comrie: </w:t>
      </w:r>
      <w:r w:rsidRPr="007D72B3">
        <w:rPr>
          <w:lang w:val="en-US"/>
        </w:rPr>
        <w:t>The World's Major Languages, a.a.O., S. 686- 704.</w:t>
      </w:r>
    </w:p>
    <w:p w:rsidR="00BB7EDA" w:rsidRDefault="007D72B3">
      <w:pPr>
        <w:pStyle w:val="Bodytext60"/>
        <w:shd w:val="clear" w:color="auto" w:fill="auto"/>
        <w:spacing w:line="187" w:lineRule="exact"/>
        <w:ind w:left="320" w:hanging="320"/>
        <w:jc w:val="both"/>
      </w:pPr>
      <w:r>
        <w:rPr>
          <w:rStyle w:val="Bodytext67ptSmallCaps"/>
        </w:rPr>
        <w:t xml:space="preserve">Jaros, </w:t>
      </w:r>
      <w:r>
        <w:t>K.: Hundert Inschriften aus Kanaan und Israel, Für den Hebräischunter</w:t>
      </w:r>
      <w:r>
        <w:softHyphen/>
        <w:t>rich</w:t>
      </w:r>
      <w:r>
        <w:t>t bearbeitet, Fribourg 1982.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Jastrow, </w:t>
      </w:r>
      <w:r w:rsidRPr="007D72B3">
        <w:rPr>
          <w:lang w:val="en-US"/>
        </w:rPr>
        <w:t>M.: Sepher Millim, A Dictionary of The Targumim, The Talmud Babli and Jarushalmi, and The Midrashic Literature, New York 1985.</w:t>
      </w:r>
    </w:p>
    <w:p w:rsidR="00BB7EDA" w:rsidRDefault="007D72B3">
      <w:pPr>
        <w:pStyle w:val="Bodytext60"/>
        <w:shd w:val="clear" w:color="auto" w:fill="auto"/>
        <w:spacing w:line="187" w:lineRule="exact"/>
        <w:ind w:left="320" w:hanging="320"/>
        <w:jc w:val="both"/>
      </w:pPr>
      <w:r>
        <w:rPr>
          <w:rStyle w:val="Bodytext67ptSmallCaps0"/>
        </w:rPr>
        <w:t xml:space="preserve">Jenni, </w:t>
      </w:r>
      <w:r>
        <w:t>E.: Lehrbuch der hebräischen Sprache des Alten Testamentes, Basel und Stuttgart 1978</w:t>
      </w:r>
      <w:r>
        <w:t>.</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Joseph, </w:t>
      </w:r>
      <w:r w:rsidRPr="007D72B3">
        <w:rPr>
          <w:lang w:val="en-US"/>
        </w:rPr>
        <w:t xml:space="preserve">B.D.: Greek, in: </w:t>
      </w:r>
      <w:r w:rsidRPr="007D72B3">
        <w:rPr>
          <w:rStyle w:val="Bodytext67ptSmallCaps"/>
          <w:lang w:val="en-US"/>
        </w:rPr>
        <w:t xml:space="preserve">Comrie: </w:t>
      </w:r>
      <w:r w:rsidRPr="007D72B3">
        <w:rPr>
          <w:lang w:val="en-US"/>
        </w:rPr>
        <w:t>The World's Major Languages, a.a.O., S. 410-439.</w:t>
      </w:r>
    </w:p>
    <w:p w:rsidR="00BB7EDA" w:rsidRDefault="007D72B3">
      <w:pPr>
        <w:pStyle w:val="Bodytext60"/>
        <w:shd w:val="clear" w:color="auto" w:fill="auto"/>
        <w:spacing w:line="187" w:lineRule="exact"/>
        <w:ind w:left="320" w:hanging="320"/>
        <w:jc w:val="both"/>
      </w:pPr>
      <w:r w:rsidRPr="007D72B3">
        <w:rPr>
          <w:rStyle w:val="Bodytext67ptSmallCaps"/>
          <w:lang w:val="en-US"/>
        </w:rPr>
        <w:t xml:space="preserve">Joüon, P.S.J./Muraoka, T.: A </w:t>
      </w:r>
      <w:r w:rsidRPr="007D72B3">
        <w:rPr>
          <w:lang w:val="en-US"/>
        </w:rPr>
        <w:t xml:space="preserve">Grammar of Biblical Hebrew, subsidia biblica </w:t>
      </w:r>
      <w:r w:rsidRPr="007D72B3">
        <w:rPr>
          <w:rStyle w:val="Bodytext67pt"/>
          <w:lang w:val="en-US"/>
        </w:rPr>
        <w:t xml:space="preserve">14/ </w:t>
      </w:r>
      <w:r w:rsidRPr="007D72B3">
        <w:rPr>
          <w:lang w:val="en-US"/>
        </w:rPr>
        <w:t xml:space="preserve">I, Translated and Revised by T. </w:t>
      </w:r>
      <w:r w:rsidRPr="007D72B3">
        <w:rPr>
          <w:rStyle w:val="Bodytext67ptSmallCaps"/>
          <w:lang w:val="en-US"/>
        </w:rPr>
        <w:t xml:space="preserve">Muraoka, </w:t>
      </w:r>
      <w:r w:rsidRPr="007D72B3">
        <w:rPr>
          <w:lang w:val="en-US"/>
        </w:rPr>
        <w:t xml:space="preserve">Bde. </w:t>
      </w:r>
      <w:r>
        <w:t xml:space="preserve">I-II, Roma </w:t>
      </w:r>
      <w:r>
        <w:rPr>
          <w:rStyle w:val="Bodytext67pt"/>
        </w:rPr>
        <w:t>1996.</w:t>
      </w:r>
    </w:p>
    <w:p w:rsidR="00BB7EDA" w:rsidRDefault="007D72B3">
      <w:pPr>
        <w:pStyle w:val="Bodytext60"/>
        <w:shd w:val="clear" w:color="auto" w:fill="auto"/>
        <w:spacing w:line="187" w:lineRule="exact"/>
        <w:ind w:left="320" w:hanging="320"/>
        <w:jc w:val="both"/>
      </w:pPr>
      <w:r>
        <w:rPr>
          <w:rStyle w:val="Bodytext67ptSmallCaps"/>
        </w:rPr>
        <w:t xml:space="preserve">Jungraithmayr, </w:t>
      </w:r>
      <w:r>
        <w:t xml:space="preserve">H.: Was ist </w:t>
      </w:r>
      <w:r>
        <w:t>primitiv? Zum Stand der Sprachgeschichtsforschung in Afrika, Sitzungsberichte der wissenschaftlichen Gesellschaft an der Jo</w:t>
      </w:r>
      <w:r>
        <w:softHyphen/>
        <w:t>hann Wolfgang Goethe-Universität Frankfurt am Main, Bd. XXIII, Nr. 5, Stuttgart 1987, S. (7)-(17) bzw. S. 189-201.</w:t>
      </w:r>
    </w:p>
    <w:p w:rsidR="00BB7EDA" w:rsidRDefault="007D72B3">
      <w:pPr>
        <w:pStyle w:val="Bodytext60"/>
        <w:shd w:val="clear" w:color="auto" w:fill="auto"/>
        <w:spacing w:line="187" w:lineRule="exact"/>
        <w:ind w:left="320" w:hanging="320"/>
        <w:jc w:val="both"/>
      </w:pPr>
      <w:r>
        <w:rPr>
          <w:rStyle w:val="Bodytext67ptSmallCaps"/>
        </w:rPr>
        <w:t xml:space="preserve">Junker, </w:t>
      </w:r>
      <w:r>
        <w:t>R.: Leben</w:t>
      </w:r>
      <w:r>
        <w:t xml:space="preserve"> durch Sterben?, Schöpfung, Heilsgeschichte und Evolution, Studium Integrale, Neuhausen-Stuttgart 1994.</w:t>
      </w:r>
    </w:p>
    <w:p w:rsidR="00BB7EDA" w:rsidRDefault="007D72B3">
      <w:pPr>
        <w:pStyle w:val="Bodytext60"/>
        <w:shd w:val="clear" w:color="auto" w:fill="auto"/>
        <w:spacing w:line="187" w:lineRule="exact"/>
        <w:ind w:left="320" w:hanging="320"/>
        <w:jc w:val="both"/>
      </w:pPr>
      <w:r>
        <w:rPr>
          <w:rStyle w:val="Bodytext67ptSmallCaps"/>
        </w:rPr>
        <w:t xml:space="preserve">Junker, </w:t>
      </w:r>
      <w:r>
        <w:t>R.: Wie das Zebra seine Streifen bekam, Schöpfung oder Evolution, Neuhausen-Stuttgart 1998.</w:t>
      </w:r>
    </w:p>
    <w:p w:rsidR="00BB7EDA" w:rsidRDefault="007D72B3">
      <w:pPr>
        <w:pStyle w:val="Bodytext60"/>
        <w:shd w:val="clear" w:color="auto" w:fill="auto"/>
        <w:spacing w:line="187" w:lineRule="exact"/>
        <w:ind w:left="320" w:hanging="320"/>
        <w:jc w:val="both"/>
      </w:pPr>
      <w:r>
        <w:rPr>
          <w:rStyle w:val="Bodytext67ptSmallCaps"/>
        </w:rPr>
        <w:t xml:space="preserve">Junker, </w:t>
      </w:r>
      <w:r>
        <w:t>R.: Sündenfall und Biologie, Schönheit und S</w:t>
      </w:r>
      <w:r>
        <w:t>chrecken der Schöpfung, Holzgerlingen 2001.</w:t>
      </w:r>
    </w:p>
    <w:p w:rsidR="00BB7EDA" w:rsidRDefault="007D72B3">
      <w:pPr>
        <w:pStyle w:val="Bodytext60"/>
        <w:shd w:val="clear" w:color="auto" w:fill="auto"/>
        <w:spacing w:line="187" w:lineRule="exact"/>
        <w:ind w:left="320" w:hanging="320"/>
        <w:jc w:val="both"/>
      </w:pPr>
      <w:r>
        <w:rPr>
          <w:rStyle w:val="Bodytext67ptSmallCaps"/>
        </w:rPr>
        <w:t xml:space="preserve">Junker, </w:t>
      </w:r>
      <w:r>
        <w:t>R.: Jesus, Darwin und die Schöpfung, Warum die Ursprungsfrage für Christen wichtig ist, Holzgerlingen 2001.</w:t>
      </w:r>
    </w:p>
    <w:p w:rsidR="00BB7EDA" w:rsidRDefault="007D72B3">
      <w:pPr>
        <w:pStyle w:val="Bodytext60"/>
        <w:shd w:val="clear" w:color="auto" w:fill="auto"/>
        <w:spacing w:line="187" w:lineRule="exact"/>
        <w:ind w:left="320" w:hanging="320"/>
        <w:jc w:val="both"/>
      </w:pPr>
      <w:r>
        <w:rPr>
          <w:rStyle w:val="Bodytext67ptSmallCaps"/>
        </w:rPr>
        <w:t xml:space="preserve">Junker, R./Scherer, S.: </w:t>
      </w:r>
      <w:r>
        <w:t>Entstehung und Geschichte der Lebewesen, Daten und Deutungen für den sch</w:t>
      </w:r>
      <w:r>
        <w:t>ulischen Bereich, Giessen 1986.</w:t>
      </w:r>
    </w:p>
    <w:p w:rsidR="00BB7EDA" w:rsidRDefault="007D72B3">
      <w:pPr>
        <w:pStyle w:val="Bodytext60"/>
        <w:shd w:val="clear" w:color="auto" w:fill="auto"/>
        <w:spacing w:line="187" w:lineRule="exact"/>
        <w:ind w:left="320" w:hanging="320"/>
        <w:jc w:val="both"/>
      </w:pPr>
      <w:r>
        <w:rPr>
          <w:rStyle w:val="Bodytext67ptSmallCaps"/>
        </w:rPr>
        <w:t xml:space="preserve">Junker, R./Scherer, </w:t>
      </w:r>
      <w:r>
        <w:t xml:space="preserve">S.: Evolution - Ein kritisches Lehrbuch, 5. Auflage, Giessen </w:t>
      </w:r>
      <w:r>
        <w:rPr>
          <w:rStyle w:val="Bodytext675pt0"/>
        </w:rPr>
        <w:t>2001</w:t>
      </w:r>
      <w:r>
        <w:rPr>
          <w:rStyle w:val="Bodytext6Arial45pt"/>
        </w:rPr>
        <w:t>.</w:t>
      </w:r>
    </w:p>
    <w:p w:rsidR="00BB7EDA" w:rsidRDefault="007D72B3">
      <w:pPr>
        <w:pStyle w:val="Bodytext60"/>
        <w:shd w:val="clear" w:color="auto" w:fill="auto"/>
        <w:spacing w:line="187" w:lineRule="exact"/>
        <w:ind w:left="320" w:hanging="320"/>
        <w:jc w:val="both"/>
      </w:pPr>
      <w:r>
        <w:rPr>
          <w:rStyle w:val="Bodytext67ptSmallCaps"/>
        </w:rPr>
        <w:t xml:space="preserve">Kaser, </w:t>
      </w:r>
      <w:r>
        <w:t>L.: Fremde Kulturen, Eine Einführung in die Ethnologie für Entwick</w:t>
      </w:r>
      <w:r>
        <w:softHyphen/>
      </w:r>
      <w:r>
        <w:t xml:space="preserve">lungshelfer und kirchliche Mitarbeiter in Übersee, 2. Auf!., Erlangen, Lahr </w:t>
      </w:r>
      <w:r>
        <w:rPr>
          <w:rStyle w:val="Bodytext67pt"/>
        </w:rPr>
        <w:t>1998.</w:t>
      </w:r>
    </w:p>
    <w:p w:rsidR="00BB7EDA" w:rsidRDefault="007D72B3">
      <w:pPr>
        <w:pStyle w:val="Bodytext60"/>
        <w:shd w:val="clear" w:color="auto" w:fill="auto"/>
        <w:spacing w:line="187" w:lineRule="exact"/>
        <w:ind w:left="320" w:hanging="320"/>
        <w:jc w:val="both"/>
      </w:pPr>
      <w:r>
        <w:rPr>
          <w:rStyle w:val="Bodytext67ptSmallCaps"/>
        </w:rPr>
        <w:t xml:space="preserve">Kaiser, W.C./Davids, </w:t>
      </w:r>
      <w:r>
        <w:t>P.H.</w:t>
      </w:r>
      <w:r>
        <w:rPr>
          <w:rStyle w:val="Bodytext67ptSmallCaps"/>
        </w:rPr>
        <w:t xml:space="preserve">/Bruce, </w:t>
      </w:r>
      <w:r>
        <w:t>F.F.</w:t>
      </w:r>
      <w:r>
        <w:rPr>
          <w:rStyle w:val="Bodytext67ptSmallCaps"/>
        </w:rPr>
        <w:t xml:space="preserve">/Brauch, </w:t>
      </w:r>
      <w:r>
        <w:t>M.T.: Hard Sayings of the Bible,</w:t>
      </w:r>
    </w:p>
    <w:p w:rsidR="00BB7EDA" w:rsidRDefault="007D72B3">
      <w:pPr>
        <w:pStyle w:val="Bodytext60"/>
        <w:shd w:val="clear" w:color="auto" w:fill="auto"/>
        <w:spacing w:line="187" w:lineRule="exact"/>
        <w:ind w:left="320"/>
      </w:pPr>
      <w:r>
        <w:t>Downers Grove, Illinois 1996.</w:t>
      </w:r>
    </w:p>
    <w:p w:rsidR="00BB7EDA" w:rsidRDefault="007D72B3">
      <w:pPr>
        <w:pStyle w:val="Bodytext60"/>
        <w:shd w:val="clear" w:color="auto" w:fill="auto"/>
        <w:spacing w:line="187" w:lineRule="exact"/>
        <w:ind w:left="320" w:hanging="320"/>
        <w:jc w:val="both"/>
      </w:pPr>
      <w:r>
        <w:rPr>
          <w:rStyle w:val="Bodytext67ptSmallCaps"/>
        </w:rPr>
        <w:t xml:space="preserve">Kang, </w:t>
      </w:r>
      <w:r>
        <w:t>C.H.</w:t>
      </w:r>
      <w:r>
        <w:rPr>
          <w:rStyle w:val="Bodytext67ptSmallCaps"/>
        </w:rPr>
        <w:t xml:space="preserve">/Nelson, </w:t>
      </w:r>
      <w:r>
        <w:t>E.R.: Erinnerungen an die Genesis, Die Chinese</w:t>
      </w:r>
      <w:r>
        <w:t>n und die biblische Urgeschichte, Neuhausen-Stuttgart 1998.</w:t>
      </w:r>
    </w:p>
    <w:p w:rsidR="00BB7EDA" w:rsidRDefault="007D72B3">
      <w:pPr>
        <w:pStyle w:val="Bodytext60"/>
        <w:shd w:val="clear" w:color="auto" w:fill="auto"/>
        <w:spacing w:line="187" w:lineRule="exact"/>
        <w:ind w:left="320" w:hanging="320"/>
        <w:jc w:val="both"/>
      </w:pPr>
      <w:r>
        <w:rPr>
          <w:rStyle w:val="Bodytext67ptSmallCaps"/>
        </w:rPr>
        <w:t xml:space="preserve">Kedar, </w:t>
      </w:r>
      <w:r>
        <w:t>B.: Biblische Semantik, Stuttgart, Berlin, Köln, Mainz 1981.</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Keil, C.F./Delitzsch, </w:t>
      </w:r>
      <w:r w:rsidRPr="007D72B3">
        <w:rPr>
          <w:lang w:val="en-US"/>
        </w:rPr>
        <w:t>F.: Commentary on the Old Testament, Bd. I, The Penta</w:t>
      </w:r>
      <w:r w:rsidRPr="007D72B3">
        <w:rPr>
          <w:lang w:val="en-US"/>
        </w:rPr>
        <w:softHyphen/>
        <w:t>teuch, Three Volumes in one, Grand Rapids 1989.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Kitt</w:t>
      </w:r>
      <w:r w:rsidRPr="007D72B3">
        <w:rPr>
          <w:rStyle w:val="Bodytext67ptSmallCaps"/>
          <w:lang w:val="en-US"/>
        </w:rPr>
        <w:t xml:space="preserve">el, </w:t>
      </w:r>
      <w:r w:rsidRPr="007D72B3">
        <w:rPr>
          <w:lang w:val="en-US"/>
        </w:rPr>
        <w:t>G.</w:t>
      </w:r>
      <w:r w:rsidRPr="007D72B3">
        <w:rPr>
          <w:rStyle w:val="Bodytext67ptSmallCaps"/>
          <w:lang w:val="en-US"/>
        </w:rPr>
        <w:t xml:space="preserve">/Friedrich, </w:t>
      </w:r>
      <w:r w:rsidRPr="007D72B3">
        <w:rPr>
          <w:lang w:val="en-US"/>
        </w:rPr>
        <w:t xml:space="preserve">G.: Theological Dictionary of the New Testament, Bde. I - IX, Bd. X, (Index, compiled by </w:t>
      </w:r>
      <w:r w:rsidRPr="007D72B3">
        <w:rPr>
          <w:rStyle w:val="Bodytext67ptSmallCaps"/>
          <w:lang w:val="en-US"/>
        </w:rPr>
        <w:t xml:space="preserve">Pitkin, </w:t>
      </w:r>
      <w:r w:rsidRPr="007D72B3">
        <w:rPr>
          <w:lang w:val="en-US"/>
        </w:rPr>
        <w:t>R.E.), Reprinted, Grand Rapids, Michigan 1978.</w:t>
      </w:r>
    </w:p>
    <w:p w:rsidR="00BB7EDA" w:rsidRDefault="007D72B3">
      <w:pPr>
        <w:pStyle w:val="Bodytext60"/>
        <w:shd w:val="clear" w:color="auto" w:fill="auto"/>
        <w:spacing w:line="187" w:lineRule="exact"/>
        <w:ind w:left="320" w:hanging="320"/>
        <w:jc w:val="both"/>
      </w:pPr>
      <w:r>
        <w:rPr>
          <w:rStyle w:val="Bodytext67ptSmallCaps"/>
        </w:rPr>
        <w:t xml:space="preserve">Kleinschmidt, </w:t>
      </w:r>
      <w:r>
        <w:t>S.: Grammatik der grönländischen Sprache, mit teilweisem Ein</w:t>
      </w:r>
      <w:r>
        <w:softHyphen/>
        <w:t>schluß des Labrador</w:t>
      </w:r>
      <w:r>
        <w:t>dialekts, Hildesheim 1968.</w:t>
      </w:r>
    </w:p>
    <w:p w:rsidR="00BB7EDA" w:rsidRDefault="007D72B3">
      <w:pPr>
        <w:pStyle w:val="Bodytext60"/>
        <w:shd w:val="clear" w:color="auto" w:fill="auto"/>
        <w:spacing w:line="187" w:lineRule="exact"/>
        <w:ind w:left="320" w:hanging="320"/>
        <w:jc w:val="both"/>
      </w:pPr>
      <w:r>
        <w:rPr>
          <w:rStyle w:val="Bodytext67ptSmallCaps"/>
        </w:rPr>
        <w:t xml:space="preserve">Kontzi, </w:t>
      </w:r>
      <w:r>
        <w:t>R.: Zur Entstehung der romanischen Sprachen, Darmstadt 1978.</w:t>
      </w:r>
    </w:p>
    <w:p w:rsidR="00BB7EDA" w:rsidRDefault="007D72B3">
      <w:pPr>
        <w:pStyle w:val="Bodytext60"/>
        <w:shd w:val="clear" w:color="auto" w:fill="auto"/>
        <w:spacing w:line="187" w:lineRule="exact"/>
        <w:ind w:left="320" w:hanging="320"/>
        <w:jc w:val="both"/>
      </w:pPr>
      <w:r>
        <w:rPr>
          <w:rStyle w:val="Bodytext67ptSmallCaps"/>
        </w:rPr>
        <w:t xml:space="preserve">Köhler, </w:t>
      </w:r>
      <w:r>
        <w:t>L.</w:t>
      </w:r>
      <w:r>
        <w:rPr>
          <w:rStyle w:val="Bodytext67ptSmallCaps"/>
        </w:rPr>
        <w:t xml:space="preserve">/Baumgartner, </w:t>
      </w:r>
      <w:r>
        <w:t>W.: Hebräisches und aramäisches Lexikon zum Alten Testament, 3. Aufl., Bd. I, Leiden 1967, Bd. 0, Leiden 1974, Bd. III, Leiden 1983, Bd.</w:t>
      </w:r>
      <w:r>
        <w:t xml:space="preserve"> IV, Leiden 1990.</w:t>
      </w:r>
    </w:p>
    <w:p w:rsidR="00BB7EDA" w:rsidRDefault="007D72B3">
      <w:pPr>
        <w:pStyle w:val="Bodytext60"/>
        <w:shd w:val="clear" w:color="auto" w:fill="auto"/>
        <w:spacing w:line="187" w:lineRule="exact"/>
        <w:ind w:left="320" w:hanging="320"/>
        <w:jc w:val="both"/>
      </w:pPr>
      <w:r>
        <w:rPr>
          <w:rStyle w:val="Bodytext67ptSmallCaps"/>
        </w:rPr>
        <w:t xml:space="preserve">König, </w:t>
      </w:r>
      <w:r>
        <w:t>E.: Hebräisches und aramäisches Wörterbuch zum Alten Testament mit Einschaltung und Analyse aller schwer erkennbaren Formen, Deutung der Eigennamen sowie der massoretischen Randbemerkungen und einem deutsch-hebräischen Wortregister</w:t>
      </w:r>
      <w:r>
        <w:t>, Leipzig 1910.</w:t>
      </w:r>
    </w:p>
    <w:p w:rsidR="00BB7EDA" w:rsidRDefault="007D72B3">
      <w:pPr>
        <w:pStyle w:val="Bodytext60"/>
        <w:shd w:val="clear" w:color="auto" w:fill="auto"/>
        <w:spacing w:line="187" w:lineRule="exact"/>
        <w:ind w:left="320" w:hanging="320"/>
        <w:jc w:val="both"/>
      </w:pPr>
      <w:r>
        <w:rPr>
          <w:rStyle w:val="Bodytext67ptSmallCaps"/>
        </w:rPr>
        <w:t xml:space="preserve">Külling, </w:t>
      </w:r>
      <w:r>
        <w:t>S.R.: Zur Datierung der „Genesis-P-Stücke" namentlich des Kapitels Genesis XVII, 2. erweiterte und neu durchgesehene Auflage, Riehen 1985.</w:t>
      </w:r>
    </w:p>
    <w:p w:rsidR="00BB7EDA" w:rsidRPr="007D72B3" w:rsidRDefault="007D72B3">
      <w:pPr>
        <w:pStyle w:val="Bodytext60"/>
        <w:shd w:val="clear" w:color="auto" w:fill="auto"/>
        <w:spacing w:line="187" w:lineRule="exact"/>
        <w:ind w:left="320" w:hanging="320"/>
        <w:jc w:val="both"/>
        <w:rPr>
          <w:lang w:val="en-US"/>
        </w:rPr>
      </w:pPr>
      <w:r>
        <w:rPr>
          <w:rStyle w:val="Bodytext67ptSmallCaps"/>
        </w:rPr>
        <w:t xml:space="preserve">Külling, </w:t>
      </w:r>
      <w:r>
        <w:t xml:space="preserve">S.R.: Sind die Genealogien in Gen 5 und 11 historisch und lückenlos? </w:t>
      </w:r>
      <w:r w:rsidRPr="007D72B3">
        <w:rPr>
          <w:lang w:val="en-US"/>
        </w:rPr>
        <w:t>Riehen 1996.</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L</w:t>
      </w:r>
      <w:r w:rsidRPr="007D72B3">
        <w:rPr>
          <w:rStyle w:val="Bodytext67ptSmallCaps"/>
          <w:lang w:val="en-US"/>
        </w:rPr>
        <w:t xml:space="preserve">a Haye, T./Morris, </w:t>
      </w:r>
      <w:r w:rsidRPr="007D72B3">
        <w:rPr>
          <w:lang w:val="en-US"/>
        </w:rPr>
        <w:t>J.D.: The Ark on Ararat, Nashville, New York, 1976.</w:t>
      </w:r>
    </w:p>
    <w:p w:rsidR="00BB7EDA" w:rsidRDefault="007D72B3">
      <w:pPr>
        <w:pStyle w:val="Bodytext60"/>
        <w:shd w:val="clear" w:color="auto" w:fill="auto"/>
        <w:spacing w:line="187" w:lineRule="exact"/>
        <w:ind w:left="320" w:hanging="320"/>
        <w:jc w:val="both"/>
      </w:pPr>
      <w:r>
        <w:rPr>
          <w:rStyle w:val="Bodytext67ptSmallCaps"/>
        </w:rPr>
        <w:t xml:space="preserve">Laitman, </w:t>
      </w:r>
      <w:r>
        <w:t>J. T.: Konnte unser Urahn sprechen? Bild der Wissenschaft, Mai 1987, S. 38-47.</w:t>
      </w:r>
    </w:p>
    <w:p w:rsidR="00BB7EDA" w:rsidRDefault="007D72B3">
      <w:pPr>
        <w:pStyle w:val="Bodytext60"/>
        <w:shd w:val="clear" w:color="auto" w:fill="auto"/>
        <w:spacing w:line="187" w:lineRule="exact"/>
        <w:ind w:left="320" w:hanging="320"/>
        <w:jc w:val="both"/>
      </w:pPr>
      <w:r>
        <w:rPr>
          <w:rStyle w:val="Bodytext67ptSmallCaps"/>
        </w:rPr>
        <w:t xml:space="preserve">Lange, </w:t>
      </w:r>
      <w:r>
        <w:t xml:space="preserve">J.P.: Theologisch-homiletisches Bibelwerk, Die Heilige Schrift, Alten und Neuen </w:t>
      </w:r>
      <w:r>
        <w:t>Testaments, mit Rücksicht auf das theologisch-homiletische Bedürf</w:t>
      </w:r>
      <w:r>
        <w:softHyphen/>
        <w:t xml:space="preserve">nis des pastoralen Amtes in Verbindung mit namhaften evangelischen Theologen, bearbeitet und herausgegeben von J.P. </w:t>
      </w:r>
      <w:r>
        <w:rPr>
          <w:rStyle w:val="Bodytext67ptSmallCaps"/>
        </w:rPr>
        <w:t xml:space="preserve">Lange, </w:t>
      </w:r>
      <w:r>
        <w:t>Vierzehnter Theil: Der Prophet Jesaja, Theologisch-homiletisch bear</w:t>
      </w:r>
      <w:r>
        <w:t xml:space="preserve">beitet von C.W.E. </w:t>
      </w:r>
      <w:r>
        <w:rPr>
          <w:rStyle w:val="Bodytext67ptSmallCaps"/>
        </w:rPr>
        <w:t xml:space="preserve">Naegels- bach, </w:t>
      </w:r>
      <w:r>
        <w:t>Bielefeld und Leipzig 1877.</w:t>
      </w:r>
    </w:p>
    <w:p w:rsidR="00BB7EDA" w:rsidRDefault="007D72B3">
      <w:pPr>
        <w:pStyle w:val="Bodytext60"/>
        <w:shd w:val="clear" w:color="auto" w:fill="auto"/>
        <w:spacing w:line="187" w:lineRule="exact"/>
        <w:ind w:left="320" w:hanging="320"/>
        <w:jc w:val="both"/>
      </w:pPr>
      <w:r>
        <w:rPr>
          <w:rStyle w:val="Bodytext67ptSmallCaps"/>
        </w:rPr>
        <w:t xml:space="preserve">Lange, </w:t>
      </w:r>
      <w:r>
        <w:t>J.P.: Theologisch-homiletisches Bibelwerk, Die Heilige Schrift, Alten und Neuen Testaments, mit Rücksicht auf das theologisch-homiletische Bedürf</w:t>
      </w:r>
      <w:r>
        <w:softHyphen/>
        <w:t>nis des pastoralen Amtes in Verbindung mit</w:t>
      </w:r>
      <w:r>
        <w:t xml:space="preserve"> namhaften evangelischen Tneoiogen, Gearbeitet und herausgegeben von j.P. </w:t>
      </w:r>
      <w:r>
        <w:rPr>
          <w:rStyle w:val="Bodytext67ptSmallCaps"/>
        </w:rPr>
        <w:t xml:space="preserve">Lange, </w:t>
      </w:r>
      <w:r>
        <w:t>Erster Theii: Die Genesis oder das erste Buch Mose, Bielefeld 1864.</w:t>
      </w:r>
    </w:p>
    <w:p w:rsidR="00BB7EDA" w:rsidRDefault="007D72B3">
      <w:pPr>
        <w:pStyle w:val="Bodytext60"/>
        <w:shd w:val="clear" w:color="auto" w:fill="auto"/>
        <w:spacing w:line="187" w:lineRule="exact"/>
        <w:ind w:left="320" w:hanging="320"/>
        <w:jc w:val="both"/>
      </w:pPr>
      <w:r>
        <w:rPr>
          <w:rStyle w:val="Bodytext67ptSmallCaps"/>
        </w:rPr>
        <w:t xml:space="preserve">Lenneberg, </w:t>
      </w:r>
      <w:r>
        <w:t>E.H.: Biologische Grundlagen der Sprache, 1972.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Les, </w:t>
      </w:r>
      <w:r w:rsidRPr="007D72B3">
        <w:rPr>
          <w:lang w:val="en-US"/>
        </w:rPr>
        <w:t>B., Jr.: On the Origin of Language, Institu</w:t>
      </w:r>
      <w:r w:rsidRPr="007D72B3">
        <w:rPr>
          <w:lang w:val="en-US"/>
        </w:rPr>
        <w:t xml:space="preserve">te for Creation Research, </w:t>
      </w:r>
      <w:r w:rsidRPr="007D72B3">
        <w:rPr>
          <w:rStyle w:val="Bodytext675ptItalic"/>
          <w:lang w:val="en-US"/>
        </w:rPr>
        <w:t>Impact</w:t>
      </w:r>
      <w:r w:rsidRPr="007D72B3">
        <w:rPr>
          <w:lang w:val="en-US"/>
        </w:rPr>
        <w:t xml:space="preserve"> No. 44, „Vital Articles on Science/Creation", February 1977. Herunterzuladen bei: </w:t>
      </w:r>
      <w:hyperlink r:id="rId149" w:history="1">
        <w:r>
          <w:rPr>
            <w:rStyle w:val="Hyperlink"/>
            <w:lang w:val="en-US" w:eastAsia="en-US" w:bidi="en-US"/>
          </w:rPr>
          <w:t>www.icr.org</w:t>
        </w:r>
      </w:hyperlink>
      <w:r>
        <w:rPr>
          <w:lang w:val="en-US" w:eastAsia="en-US" w:bidi="en-US"/>
        </w:rPr>
        <w:t>.</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Lidell, </w:t>
      </w:r>
      <w:r w:rsidRPr="007D72B3">
        <w:rPr>
          <w:lang w:val="en-US"/>
        </w:rPr>
        <w:t>G.H.</w:t>
      </w:r>
      <w:r w:rsidRPr="007D72B3">
        <w:rPr>
          <w:rStyle w:val="Bodytext67ptSmallCaps"/>
          <w:lang w:val="en-US"/>
        </w:rPr>
        <w:t xml:space="preserve">/Scott, </w:t>
      </w:r>
      <w:r w:rsidRPr="007D72B3">
        <w:rPr>
          <w:lang w:val="en-US"/>
        </w:rPr>
        <w:t xml:space="preserve">R.: A Greek-English Lexicon, Revised and augmented by Sir Henry Stuart </w:t>
      </w:r>
      <w:r w:rsidRPr="007D72B3">
        <w:rPr>
          <w:rStyle w:val="Bodytext67ptSmallCaps"/>
          <w:lang w:val="en-US"/>
        </w:rPr>
        <w:t>Jone</w:t>
      </w:r>
      <w:r w:rsidRPr="007D72B3">
        <w:rPr>
          <w:rStyle w:val="Bodytext67ptSmallCaps"/>
          <w:lang w:val="en-US"/>
        </w:rPr>
        <w:t xml:space="preserve">s, </w:t>
      </w:r>
      <w:r w:rsidRPr="007D72B3">
        <w:rPr>
          <w:lang w:val="en-US"/>
        </w:rPr>
        <w:t xml:space="preserve">with the assistence Roderick </w:t>
      </w:r>
      <w:r w:rsidRPr="007D72B3">
        <w:rPr>
          <w:rStyle w:val="Bodytext67ptSmallCaps"/>
          <w:lang w:val="en-US"/>
        </w:rPr>
        <w:t xml:space="preserve">McKenzie </w:t>
      </w:r>
      <w:r w:rsidRPr="007D72B3">
        <w:rPr>
          <w:lang w:val="en-US"/>
        </w:rPr>
        <w:t xml:space="preserve">and with the </w:t>
      </w:r>
      <w:r w:rsidRPr="007D72B3">
        <w:rPr>
          <w:rStyle w:val="Bodytext67pt"/>
          <w:lang w:val="en-US"/>
        </w:rPr>
        <w:t>Co</w:t>
      </w:r>
      <w:r w:rsidRPr="007D72B3">
        <w:rPr>
          <w:rStyle w:val="Bodytext67pt"/>
          <w:lang w:val="en-US"/>
        </w:rPr>
        <w:softHyphen/>
      </w:r>
      <w:r w:rsidRPr="007D72B3">
        <w:rPr>
          <w:lang w:val="en-US"/>
        </w:rPr>
        <w:t>operation of many scholars, with a Supplement, Oxford 1968.</w:t>
      </w:r>
    </w:p>
    <w:p w:rsidR="00BB7EDA" w:rsidRDefault="007D72B3">
      <w:pPr>
        <w:pStyle w:val="Bodytext60"/>
        <w:shd w:val="clear" w:color="auto" w:fill="auto"/>
        <w:spacing w:line="187" w:lineRule="exact"/>
        <w:ind w:left="320" w:hanging="320"/>
        <w:jc w:val="both"/>
      </w:pPr>
      <w:r>
        <w:rPr>
          <w:rStyle w:val="Bodytext67ptSmallCaps"/>
        </w:rPr>
        <w:t xml:space="preserve">Lewandowsky, </w:t>
      </w:r>
      <w:r>
        <w:t xml:space="preserve">TH.: Linguistisches Wörterbuch, Bd. </w:t>
      </w:r>
      <w:r>
        <w:rPr>
          <w:rStyle w:val="Bodytext67pt"/>
        </w:rPr>
        <w:t xml:space="preserve">3, </w:t>
      </w:r>
      <w:r>
        <w:t xml:space="preserve">Heidelberg </w:t>
      </w:r>
      <w:r>
        <w:rPr>
          <w:rStyle w:val="Bodytext67pt"/>
        </w:rPr>
        <w:t>1975.</w:t>
      </w:r>
    </w:p>
    <w:p w:rsidR="00BB7EDA" w:rsidRPr="007D72B3" w:rsidRDefault="007D72B3">
      <w:pPr>
        <w:pStyle w:val="Bodytext60"/>
        <w:shd w:val="clear" w:color="auto" w:fill="auto"/>
        <w:spacing w:line="187" w:lineRule="exact"/>
        <w:ind w:left="320" w:hanging="320"/>
        <w:jc w:val="both"/>
        <w:rPr>
          <w:lang w:val="en-US"/>
        </w:rPr>
      </w:pPr>
      <w:r w:rsidRPr="007D72B3">
        <w:rPr>
          <w:lang w:val="en-US"/>
        </w:rPr>
        <w:t>Li, Ch.N.</w:t>
      </w:r>
      <w:r w:rsidRPr="007D72B3">
        <w:rPr>
          <w:rStyle w:val="Bodytext67ptSmallCaps"/>
          <w:lang w:val="en-US"/>
        </w:rPr>
        <w:t xml:space="preserve">/Thompson, </w:t>
      </w:r>
      <w:r w:rsidRPr="007D72B3">
        <w:rPr>
          <w:lang w:val="en-US"/>
        </w:rPr>
        <w:t xml:space="preserve">S.A.: Chinese, in: </w:t>
      </w:r>
      <w:r w:rsidRPr="007D72B3">
        <w:rPr>
          <w:rStyle w:val="Bodytext67ptSmallCaps"/>
          <w:lang w:val="en-US"/>
        </w:rPr>
        <w:t xml:space="preserve">Comrie: </w:t>
      </w:r>
      <w:r w:rsidRPr="007D72B3">
        <w:rPr>
          <w:lang w:val="en-US"/>
        </w:rPr>
        <w:t>The World's Major Langu</w:t>
      </w:r>
      <w:r w:rsidRPr="007D72B3">
        <w:rPr>
          <w:lang w:val="en-US"/>
        </w:rPr>
        <w:t>ages, a.a.O., S. 811-833.</w:t>
      </w:r>
    </w:p>
    <w:p w:rsidR="00BB7EDA" w:rsidRDefault="007D72B3">
      <w:pPr>
        <w:pStyle w:val="Bodytext60"/>
        <w:shd w:val="clear" w:color="auto" w:fill="auto"/>
        <w:spacing w:line="187" w:lineRule="exact"/>
        <w:ind w:left="320" w:hanging="320"/>
        <w:jc w:val="both"/>
      </w:pPr>
      <w:r>
        <w:rPr>
          <w:rStyle w:val="Bodytext67ptSmallCaps"/>
        </w:rPr>
        <w:t xml:space="preserve">Liebi, </w:t>
      </w:r>
      <w:r>
        <w:t xml:space="preserve">R.: Hebräische Poesie im Alten Testament, in: </w:t>
      </w:r>
      <w:r>
        <w:rPr>
          <w:rStyle w:val="Bodytext675ptItalic"/>
        </w:rPr>
        <w:t>factum,</w:t>
      </w:r>
      <w:r>
        <w:t xml:space="preserve"> Bemeck, Mai 1988, S. 189-191.</w:t>
      </w:r>
    </w:p>
    <w:p w:rsidR="00BB7EDA" w:rsidRDefault="007D72B3">
      <w:pPr>
        <w:pStyle w:val="Bodytext60"/>
        <w:shd w:val="clear" w:color="auto" w:fill="auto"/>
        <w:spacing w:line="187" w:lineRule="exact"/>
        <w:ind w:left="320" w:hanging="320"/>
      </w:pPr>
      <w:r>
        <w:rPr>
          <w:rStyle w:val="Bodytext67ptSmallCaps"/>
        </w:rPr>
        <w:t xml:space="preserve">Liebi, </w:t>
      </w:r>
      <w:r>
        <w:t>R.: Erfüllte Prophetie, Messianische Prophetie - ihre Erfüllung und histori</w:t>
      </w:r>
      <w:r>
        <w:softHyphen/>
        <w:t>sehe Echtheit, 5. Aufl., Berneck 1990.</w:t>
      </w:r>
    </w:p>
    <w:p w:rsidR="00BB7EDA" w:rsidRDefault="007D72B3">
      <w:pPr>
        <w:pStyle w:val="Bodytext60"/>
        <w:shd w:val="clear" w:color="auto" w:fill="auto"/>
        <w:spacing w:line="187" w:lineRule="exact"/>
        <w:ind w:left="320" w:hanging="320"/>
        <w:jc w:val="both"/>
      </w:pPr>
      <w:r>
        <w:rPr>
          <w:rStyle w:val="Bodytext685ptSmallCaps"/>
        </w:rPr>
        <w:t xml:space="preserve">Liebi, </w:t>
      </w:r>
      <w:r>
        <w:t xml:space="preserve">R.: Der </w:t>
      </w:r>
      <w:r>
        <w:t>Mensch - ein sprechender Affe? Sprachwissenschaft contra Evolu</w:t>
      </w:r>
      <w:r>
        <w:softHyphen/>
        <w:t>tion, Berneck 1991.</w:t>
      </w:r>
    </w:p>
    <w:p w:rsidR="00BB7EDA" w:rsidRDefault="007D72B3">
      <w:pPr>
        <w:pStyle w:val="Bodytext60"/>
        <w:shd w:val="clear" w:color="auto" w:fill="auto"/>
        <w:spacing w:line="187" w:lineRule="exact"/>
        <w:ind w:left="320" w:hanging="320"/>
        <w:jc w:val="both"/>
      </w:pPr>
      <w:r>
        <w:rPr>
          <w:rStyle w:val="Bodytext67ptSmallCaps"/>
        </w:rPr>
        <w:t xml:space="preserve">Liebi, </w:t>
      </w:r>
      <w:r>
        <w:t>R.: New Age! Daten, Fakten, Hintergründe, Hat die große Wende begon</w:t>
      </w:r>
      <w:r>
        <w:softHyphen/>
        <w:t>nen? Kritische Analysen zum gegenwärtigen Esoterik-Boom, Zürich 1991.</w:t>
      </w:r>
    </w:p>
    <w:p w:rsidR="00BB7EDA" w:rsidRDefault="007D72B3">
      <w:pPr>
        <w:pStyle w:val="Bodytext60"/>
        <w:shd w:val="clear" w:color="auto" w:fill="auto"/>
        <w:spacing w:line="187" w:lineRule="exact"/>
        <w:ind w:left="320" w:hanging="320"/>
        <w:jc w:val="both"/>
      </w:pPr>
      <w:r>
        <w:rPr>
          <w:rStyle w:val="Bodytext67ptSmallCaps"/>
        </w:rPr>
        <w:t xml:space="preserve">Liebi, </w:t>
      </w:r>
      <w:r>
        <w:t>R.: Der verheißene Er</w:t>
      </w:r>
      <w:r>
        <w:t>löser, Zürich 1994.</w:t>
      </w:r>
    </w:p>
    <w:p w:rsidR="00BB7EDA" w:rsidRDefault="007D72B3">
      <w:pPr>
        <w:pStyle w:val="Bodytext60"/>
        <w:shd w:val="clear" w:color="auto" w:fill="auto"/>
        <w:spacing w:line="187" w:lineRule="exact"/>
        <w:ind w:left="320" w:hanging="320"/>
        <w:jc w:val="both"/>
      </w:pPr>
      <w:r>
        <w:rPr>
          <w:rStyle w:val="Bodytext67ptSmallCaps"/>
        </w:rPr>
        <w:t xml:space="preserve">Liebi, </w:t>
      </w:r>
      <w:r>
        <w:t>R.: Introduction ä la poesie hebraique, Cahiers des REBS, Nr. 8, 1994.</w:t>
      </w:r>
    </w:p>
    <w:p w:rsidR="00BB7EDA" w:rsidRDefault="007D72B3">
      <w:pPr>
        <w:pStyle w:val="Bodytext60"/>
        <w:shd w:val="clear" w:color="auto" w:fill="auto"/>
        <w:spacing w:line="187" w:lineRule="exact"/>
        <w:ind w:left="320" w:hanging="320"/>
        <w:jc w:val="both"/>
      </w:pPr>
      <w:r>
        <w:rPr>
          <w:rStyle w:val="Bodytext67ptSmallCaps"/>
        </w:rPr>
        <w:t xml:space="preserve">Liebi, </w:t>
      </w:r>
      <w:r>
        <w:t>R.: Rockmusik! Daten, Fakten, Hintergründe, Ausdruck einer Jugend in einem sterbenden Zeitalter, 4. Aufl., Zürich 1995.</w:t>
      </w:r>
    </w:p>
    <w:p w:rsidR="00BB7EDA" w:rsidRPr="007D72B3" w:rsidRDefault="007D72B3">
      <w:pPr>
        <w:pStyle w:val="Bodytext60"/>
        <w:shd w:val="clear" w:color="auto" w:fill="auto"/>
        <w:spacing w:line="187" w:lineRule="exact"/>
        <w:ind w:left="320" w:hanging="320"/>
        <w:jc w:val="both"/>
        <w:rPr>
          <w:lang w:val="en-US"/>
        </w:rPr>
      </w:pPr>
      <w:r>
        <w:rPr>
          <w:rStyle w:val="Bodytext67ptSmallCaps"/>
        </w:rPr>
        <w:t xml:space="preserve">Liebi, </w:t>
      </w:r>
      <w:r>
        <w:t xml:space="preserve">R.: Weltgeschichte im </w:t>
      </w:r>
      <w:r>
        <w:t xml:space="preserve">Visier des Propheten Daniel, 5. </w:t>
      </w:r>
      <w:r w:rsidRPr="007D72B3">
        <w:rPr>
          <w:lang w:val="en-US"/>
        </w:rPr>
        <w:t>Aufl., Berneck 1997.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Lieinski, </w:t>
      </w:r>
      <w:r w:rsidRPr="007D72B3">
        <w:rPr>
          <w:lang w:val="en-US"/>
        </w:rPr>
        <w:t>E.: Semitic Languages, Outline of a Comparative Grammar, Orientalia Lovaniensia Analecta, Leuven 1997.</w:t>
      </w:r>
    </w:p>
    <w:p w:rsidR="00BB7EDA" w:rsidRDefault="007D72B3">
      <w:pPr>
        <w:pStyle w:val="Bodytext60"/>
        <w:shd w:val="clear" w:color="auto" w:fill="auto"/>
        <w:spacing w:line="187" w:lineRule="exact"/>
        <w:ind w:left="320" w:hanging="320"/>
        <w:jc w:val="both"/>
      </w:pPr>
      <w:r>
        <w:rPr>
          <w:rStyle w:val="Bodytext67ptSmallCaps"/>
        </w:rPr>
        <w:t xml:space="preserve">Linnenkugel, </w:t>
      </w:r>
      <w:r>
        <w:t>A.: Lateinische Grammatik, Paderborn 1957.</w:t>
      </w:r>
    </w:p>
    <w:p w:rsidR="00BB7EDA" w:rsidRPr="007D72B3" w:rsidRDefault="007D72B3">
      <w:pPr>
        <w:pStyle w:val="Bodytext60"/>
        <w:shd w:val="clear" w:color="auto" w:fill="auto"/>
        <w:spacing w:line="187" w:lineRule="exact"/>
        <w:ind w:left="320" w:hanging="320"/>
        <w:jc w:val="both"/>
        <w:rPr>
          <w:lang w:val="en-US"/>
        </w:rPr>
      </w:pPr>
      <w:r w:rsidRPr="007D72B3">
        <w:rPr>
          <w:rStyle w:val="Bodytext685pt"/>
          <w:lang w:val="en-US"/>
        </w:rPr>
        <w:t xml:space="preserve">Louw, </w:t>
      </w:r>
      <w:r w:rsidRPr="007D72B3">
        <w:rPr>
          <w:rStyle w:val="Bodytext685ptSmallCaps"/>
          <w:lang w:val="en-US"/>
        </w:rPr>
        <w:t xml:space="preserve">J.P./Nida, </w:t>
      </w:r>
      <w:r w:rsidRPr="007D72B3">
        <w:rPr>
          <w:lang w:val="en-US"/>
        </w:rPr>
        <w:t>E.A. (Ed.): Greek</w:t>
      </w:r>
      <w:r w:rsidRPr="007D72B3">
        <w:rPr>
          <w:lang w:val="en-US"/>
        </w:rPr>
        <w:t>-English Lexicon of the New Testament Based on Semantic Domains, 2nd Edition, New York 1988.</w:t>
      </w:r>
    </w:p>
    <w:p w:rsidR="00BB7EDA" w:rsidRDefault="007D72B3">
      <w:pPr>
        <w:pStyle w:val="Bodytext60"/>
        <w:shd w:val="clear" w:color="auto" w:fill="auto"/>
        <w:spacing w:line="187" w:lineRule="exact"/>
        <w:ind w:left="320" w:hanging="320"/>
        <w:jc w:val="both"/>
      </w:pPr>
      <w:r>
        <w:rPr>
          <w:rStyle w:val="Bodytext67ptSmallCaps"/>
        </w:rPr>
        <w:t xml:space="preserve">Lüken, </w:t>
      </w:r>
      <w:r>
        <w:t>H.: Die Traditionen des Menschengeschlechts, 1. Aufl, Münster 1856.</w:t>
      </w:r>
    </w:p>
    <w:p w:rsidR="00BB7EDA" w:rsidRPr="007D72B3" w:rsidRDefault="007D72B3">
      <w:pPr>
        <w:pStyle w:val="Bodytext60"/>
        <w:shd w:val="clear" w:color="auto" w:fill="auto"/>
        <w:spacing w:line="187" w:lineRule="exact"/>
        <w:ind w:left="320" w:hanging="320"/>
        <w:jc w:val="both"/>
        <w:rPr>
          <w:lang w:val="en-US"/>
        </w:rPr>
      </w:pPr>
      <w:r>
        <w:rPr>
          <w:rStyle w:val="Bodytext67ptSmallCaps"/>
        </w:rPr>
        <w:t xml:space="preserve">Luken, </w:t>
      </w:r>
      <w:r>
        <w:t xml:space="preserve">H.: Die Traditionen des Menschengeschlechts, 2. </w:t>
      </w:r>
      <w:r w:rsidRPr="007D72B3">
        <w:rPr>
          <w:lang w:val="en-US"/>
        </w:rPr>
        <w:t>Aufl., Münster 1869.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Mallinson, </w:t>
      </w:r>
      <w:r w:rsidRPr="007D72B3">
        <w:rPr>
          <w:lang w:val="en-US"/>
        </w:rPr>
        <w:t>G</w:t>
      </w:r>
      <w:r w:rsidRPr="007D72B3">
        <w:rPr>
          <w:lang w:val="en-US"/>
        </w:rPr>
        <w:t xml:space="preserve">.: Rumanian, in: </w:t>
      </w:r>
      <w:r w:rsidRPr="007D72B3">
        <w:rPr>
          <w:rStyle w:val="Bodytext67ptSmallCaps"/>
          <w:lang w:val="en-US"/>
        </w:rPr>
        <w:t xml:space="preserve">Comrie: </w:t>
      </w:r>
      <w:r w:rsidRPr="007D72B3">
        <w:rPr>
          <w:lang w:val="en-US"/>
        </w:rPr>
        <w:t>The World's Major Languages, a.a.O., S. 303-321.</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MacDonald, </w:t>
      </w:r>
      <w:r w:rsidRPr="007D72B3">
        <w:rPr>
          <w:lang w:val="en-US"/>
        </w:rPr>
        <w:t xml:space="preserve">W.: Believer's Bible Commentary, Old Testament, Edition with Introductions by Arthur </w:t>
      </w:r>
      <w:r w:rsidRPr="007D72B3">
        <w:rPr>
          <w:rStyle w:val="Bodytext67ptSmallCaps"/>
          <w:lang w:val="en-US"/>
        </w:rPr>
        <w:t xml:space="preserve">Farstad, </w:t>
      </w:r>
      <w:r w:rsidRPr="007D72B3">
        <w:rPr>
          <w:lang w:val="en-US"/>
        </w:rPr>
        <w:t>Nashville 1992.</w:t>
      </w:r>
    </w:p>
    <w:p w:rsidR="00BB7EDA" w:rsidRDefault="007D72B3">
      <w:pPr>
        <w:pStyle w:val="Bodytext60"/>
        <w:shd w:val="clear" w:color="auto" w:fill="auto"/>
        <w:spacing w:line="187" w:lineRule="exact"/>
        <w:ind w:left="320" w:hanging="320"/>
        <w:jc w:val="both"/>
      </w:pPr>
      <w:r>
        <w:rPr>
          <w:rStyle w:val="Bodytext67ptSmallCaps"/>
        </w:rPr>
        <w:t xml:space="preserve">Mackensen, </w:t>
      </w:r>
      <w:r>
        <w:t>L.: Deutsche Etymologie, Ein Leitfaden durch die G</w:t>
      </w:r>
      <w:r>
        <w:t>eschichte des deutschen Wortschatzes, Bremen 1977.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McCarter, </w:t>
      </w:r>
      <w:r w:rsidRPr="007D72B3">
        <w:rPr>
          <w:lang w:val="en-US"/>
        </w:rPr>
        <w:t>P.K. Jr.: Ancient Inscriptions, Voices from the Biblical World, Wa</w:t>
      </w:r>
      <w:r w:rsidRPr="007D72B3">
        <w:rPr>
          <w:lang w:val="en-US"/>
        </w:rPr>
        <w:softHyphen/>
        <w:t>shington 1996.</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McFall, </w:t>
      </w:r>
      <w:r w:rsidRPr="007D72B3">
        <w:rPr>
          <w:lang w:val="en-US"/>
        </w:rPr>
        <w:t>L.: The Enigma of the Hebrew Verbal System, Sheffield 1982.</w:t>
      </w:r>
    </w:p>
    <w:p w:rsidR="00BB7EDA" w:rsidRDefault="007D72B3">
      <w:pPr>
        <w:pStyle w:val="Bodytext60"/>
        <w:shd w:val="clear" w:color="auto" w:fill="auto"/>
        <w:spacing w:line="187" w:lineRule="exact"/>
        <w:ind w:left="320" w:hanging="320"/>
        <w:jc w:val="both"/>
      </w:pPr>
      <w:r>
        <w:rPr>
          <w:rStyle w:val="Bodytext67ptSmallCaps"/>
        </w:rPr>
        <w:t xml:space="preserve">Mechsner, </w:t>
      </w:r>
      <w:r>
        <w:t>F.: Sprachevolution, Wer sprach das</w:t>
      </w:r>
      <w:r>
        <w:t xml:space="preserve"> erste Wort? in: GEO, September 1998, S. 76-83.</w:t>
      </w:r>
    </w:p>
    <w:p w:rsidR="00BB7EDA" w:rsidRDefault="007D72B3">
      <w:pPr>
        <w:pStyle w:val="Bodytext60"/>
        <w:shd w:val="clear" w:color="auto" w:fill="auto"/>
        <w:spacing w:line="187" w:lineRule="exact"/>
        <w:ind w:left="320" w:hanging="320"/>
        <w:jc w:val="both"/>
      </w:pPr>
      <w:r>
        <w:rPr>
          <w:rStyle w:val="Bodytext67ptSmallCaps"/>
        </w:rPr>
        <w:t xml:space="preserve">Meillet, </w:t>
      </w:r>
      <w:r>
        <w:t xml:space="preserve">A.: Einführung in die vergleichende Grammatik der indogermanischen Sprachen, vom Verfasser genehmigte und durchgesehene Übersetzung von Wilhelm </w:t>
      </w:r>
      <w:r>
        <w:rPr>
          <w:rStyle w:val="Bodytext67ptSmallCaps"/>
        </w:rPr>
        <w:t xml:space="preserve">Printz, </w:t>
      </w:r>
      <w:r>
        <w:t>Leipzig und Berlin 1909.</w:t>
      </w:r>
    </w:p>
    <w:p w:rsidR="00BB7EDA" w:rsidRDefault="007D72B3">
      <w:pPr>
        <w:pStyle w:val="Bodytext60"/>
        <w:shd w:val="clear" w:color="auto" w:fill="auto"/>
        <w:spacing w:line="187" w:lineRule="exact"/>
        <w:ind w:left="320" w:hanging="320"/>
        <w:jc w:val="both"/>
      </w:pPr>
      <w:r>
        <w:t>Meyers Enzyklopädische</w:t>
      </w:r>
      <w:r>
        <w:t>s Lexikon, Mannheim/Wien/Zürich 1971.</w:t>
      </w:r>
    </w:p>
    <w:p w:rsidR="00BB7EDA" w:rsidRDefault="007D72B3">
      <w:pPr>
        <w:pStyle w:val="Bodytext60"/>
        <w:shd w:val="clear" w:color="auto" w:fill="auto"/>
        <w:spacing w:line="187" w:lineRule="exact"/>
        <w:ind w:left="320" w:hanging="320"/>
        <w:jc w:val="both"/>
      </w:pPr>
      <w:r>
        <w:rPr>
          <w:rStyle w:val="Bodytext67ptSmallCaps"/>
        </w:rPr>
        <w:t xml:space="preserve">Meyer, </w:t>
      </w:r>
      <w:r>
        <w:t>R.: Hebräische Grammatik, Bd. 1, Einleitung, Schrift- und Lautlehre, Bd. 2, Formenlehre, Flexionstabellen, Berlin 1969.</w:t>
      </w:r>
    </w:p>
    <w:p w:rsidR="00BB7EDA" w:rsidRDefault="007D72B3">
      <w:pPr>
        <w:pStyle w:val="Bodytext60"/>
        <w:shd w:val="clear" w:color="auto" w:fill="auto"/>
        <w:spacing w:line="187" w:lineRule="exact"/>
        <w:ind w:left="320" w:hanging="320"/>
        <w:jc w:val="both"/>
      </w:pPr>
      <w:r>
        <w:t>Microsoft, Encarta 99 Enzyklopädie, 1993-1998.</w:t>
      </w:r>
    </w:p>
    <w:p w:rsidR="00BB7EDA" w:rsidRDefault="007D72B3">
      <w:pPr>
        <w:pStyle w:val="Bodytext60"/>
        <w:shd w:val="clear" w:color="auto" w:fill="auto"/>
        <w:spacing w:line="187" w:lineRule="exact"/>
        <w:ind w:left="320" w:hanging="320"/>
        <w:jc w:val="both"/>
      </w:pPr>
      <w:r>
        <w:rPr>
          <w:rStyle w:val="Bodytext67ptSmallCaps"/>
        </w:rPr>
        <w:t xml:space="preserve">Millard, </w:t>
      </w:r>
      <w:r>
        <w:t>A.: Schätze aus biblischer Zeit, Gi</w:t>
      </w:r>
      <w:r>
        <w:t>essen/Basel 1986.</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Millard, </w:t>
      </w:r>
      <w:r w:rsidRPr="007D72B3">
        <w:rPr>
          <w:lang w:val="en-US"/>
        </w:rPr>
        <w:t>A.: Images du monde biblique, Cergy-Pointoise 1987.</w:t>
      </w:r>
    </w:p>
    <w:p w:rsidR="00BB7EDA" w:rsidRPr="007D72B3" w:rsidRDefault="007D72B3">
      <w:pPr>
        <w:pStyle w:val="Bodytext60"/>
        <w:shd w:val="clear" w:color="auto" w:fill="auto"/>
        <w:spacing w:line="187" w:lineRule="exact"/>
        <w:ind w:left="320" w:hanging="320"/>
        <w:jc w:val="both"/>
        <w:rPr>
          <w:lang w:val="en-US"/>
        </w:rPr>
      </w:pPr>
      <w:r w:rsidRPr="007D72B3">
        <w:rPr>
          <w:lang w:val="en-US"/>
        </w:rPr>
        <w:t>Miqra'oth Gedoloth, 8 Bde, Jerusalem 1972.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Mitchell, </w:t>
      </w:r>
      <w:r w:rsidRPr="007D72B3">
        <w:rPr>
          <w:lang w:val="en-US"/>
        </w:rPr>
        <w:t>B.: A Guide to Old English, Oxford 1975.</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Moore, </w:t>
      </w:r>
      <w:r w:rsidRPr="007D72B3">
        <w:rPr>
          <w:lang w:val="en-US"/>
        </w:rPr>
        <w:t>H. (Ed.): Any given Day in the Life of the Bible, Wycliffe Bible Translator,</w:t>
      </w:r>
      <w:r w:rsidRPr="007D72B3">
        <w:rPr>
          <w:lang w:val="en-US"/>
        </w:rPr>
        <w:t xml:space="preserve"> Portland, Oregon 1992.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Moore, </w:t>
      </w:r>
      <w:r w:rsidRPr="007D72B3">
        <w:rPr>
          <w:lang w:val="en-US"/>
        </w:rPr>
        <w:t>H. (Ed.): The Alphabet Makers, A Presentation from the Museum of the Alphabet, Waxhaw, North Carolina, Hountington Beach, California 1990.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Moscati, </w:t>
      </w:r>
      <w:r w:rsidRPr="007D72B3">
        <w:rPr>
          <w:lang w:val="en-US"/>
        </w:rPr>
        <w:t>S. (Ed.): An Introduction to the Comparative Grammar of Semitic Languages, Ph</w:t>
      </w:r>
      <w:r w:rsidRPr="007D72B3">
        <w:rPr>
          <w:lang w:val="en-US"/>
        </w:rPr>
        <w:t xml:space="preserve">onology and Morphology, By Sabatino </w:t>
      </w:r>
      <w:r w:rsidRPr="007D72B3">
        <w:rPr>
          <w:rStyle w:val="Bodytext67ptSmallCaps"/>
          <w:lang w:val="en-US"/>
        </w:rPr>
        <w:t xml:space="preserve">Moscati, </w:t>
      </w:r>
      <w:r w:rsidRPr="007D72B3">
        <w:rPr>
          <w:lang w:val="en-US"/>
        </w:rPr>
        <w:t xml:space="preserve">Anton </w:t>
      </w:r>
      <w:r w:rsidRPr="007D72B3">
        <w:rPr>
          <w:rStyle w:val="Bodytext67ptSmallCaps"/>
          <w:lang w:val="en-US"/>
        </w:rPr>
        <w:t>Spita</w:t>
      </w:r>
      <w:r w:rsidRPr="007D72B3">
        <w:rPr>
          <w:rStyle w:val="Bodytext67ptSmallCaps"/>
          <w:lang w:val="en-US"/>
        </w:rPr>
        <w:softHyphen/>
        <w:t xml:space="preserve">ler, </w:t>
      </w:r>
      <w:r w:rsidRPr="007D72B3">
        <w:rPr>
          <w:lang w:val="en-US"/>
        </w:rPr>
        <w:t xml:space="preserve">Edward </w:t>
      </w:r>
      <w:r w:rsidRPr="007D72B3">
        <w:rPr>
          <w:rStyle w:val="Bodytext67ptSmallCaps"/>
          <w:lang w:val="en-US"/>
        </w:rPr>
        <w:t xml:space="preserve">Ullendorff, </w:t>
      </w:r>
      <w:r w:rsidRPr="007D72B3">
        <w:rPr>
          <w:lang w:val="en-US"/>
        </w:rPr>
        <w:t xml:space="preserve">Wolfram </w:t>
      </w:r>
      <w:r w:rsidRPr="007D72B3">
        <w:rPr>
          <w:rStyle w:val="Bodytext67ptSmallCaps"/>
          <w:lang w:val="en-US"/>
        </w:rPr>
        <w:t xml:space="preserve">von Soden, </w:t>
      </w:r>
      <w:r w:rsidRPr="007D72B3">
        <w:rPr>
          <w:lang w:val="en-US"/>
        </w:rPr>
        <w:t>Porta Linguarum Orientalum, Wiesbaden 1980.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Morris, </w:t>
      </w:r>
      <w:r w:rsidRPr="007D72B3">
        <w:rPr>
          <w:lang w:val="en-US"/>
        </w:rPr>
        <w:t xml:space="preserve">H.M.: Language, Creation and the Inner Man, Institute for Creation Research, </w:t>
      </w:r>
      <w:r w:rsidRPr="007D72B3">
        <w:rPr>
          <w:rStyle w:val="Bodytext675ptItalic"/>
          <w:lang w:val="en-US"/>
        </w:rPr>
        <w:t>Impact</w:t>
      </w:r>
      <w:r w:rsidRPr="007D72B3">
        <w:rPr>
          <w:lang w:val="en-US"/>
        </w:rPr>
        <w:t xml:space="preserve"> No. 28, „Vital Artic</w:t>
      </w:r>
      <w:r w:rsidRPr="007D72B3">
        <w:rPr>
          <w:lang w:val="en-US"/>
        </w:rPr>
        <w:t xml:space="preserve">les on Science/Creation" October 1975. Internetadresse: </w:t>
      </w:r>
      <w:hyperlink r:id="rId150" w:history="1">
        <w:r>
          <w:rPr>
            <w:rStyle w:val="Hyperlink"/>
            <w:lang w:val="en-US" w:eastAsia="en-US" w:bidi="en-US"/>
          </w:rPr>
          <w:t>www.icr.org</w:t>
        </w:r>
      </w:hyperlink>
      <w:r>
        <w:rPr>
          <w:lang w:val="en-US" w:eastAsia="en-US" w:bidi="en-US"/>
        </w:rPr>
        <w:t>.</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Morris, </w:t>
      </w:r>
      <w:r w:rsidRPr="007D72B3">
        <w:rPr>
          <w:lang w:val="en-US"/>
        </w:rPr>
        <w:t xml:space="preserve">H.M.: The Genesis Record, A Scientific &amp; Devotional Commentary on the Book of Beginnings, Forword by Arnold D. </w:t>
      </w:r>
      <w:r w:rsidRPr="007D72B3">
        <w:rPr>
          <w:rStyle w:val="Bodytext67ptSmallCaps"/>
          <w:lang w:val="en-US"/>
        </w:rPr>
        <w:t xml:space="preserve">Ehlert, </w:t>
      </w:r>
      <w:r w:rsidRPr="007D72B3">
        <w:rPr>
          <w:lang w:val="en-US"/>
        </w:rPr>
        <w:t xml:space="preserve">fifteenth Printing, Grand </w:t>
      </w:r>
      <w:r w:rsidRPr="007D72B3">
        <w:rPr>
          <w:lang w:val="en-US"/>
        </w:rPr>
        <w:t>Rapids, Michigan 1990.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Nagel, </w:t>
      </w:r>
      <w:r w:rsidRPr="007D72B3">
        <w:rPr>
          <w:lang w:val="en-US"/>
        </w:rPr>
        <w:t xml:space="preserve">V.: Italian, in: </w:t>
      </w:r>
      <w:r w:rsidRPr="007D72B3">
        <w:rPr>
          <w:rStyle w:val="Bodytext67ptSmallCaps"/>
          <w:lang w:val="en-US"/>
        </w:rPr>
        <w:t xml:space="preserve">Comrie: </w:t>
      </w:r>
      <w:r w:rsidRPr="007D72B3">
        <w:rPr>
          <w:lang w:val="en-US"/>
        </w:rPr>
        <w:t>The World's Major Languages, a.a.O. S. 279-302.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Naveh, </w:t>
      </w:r>
      <w:r w:rsidRPr="007D72B3">
        <w:rPr>
          <w:lang w:val="en-US"/>
        </w:rPr>
        <w:t xml:space="preserve">Origins </w:t>
      </w:r>
      <w:r w:rsidRPr="007D72B3">
        <w:rPr>
          <w:rStyle w:val="Bodytext67pt"/>
          <w:lang w:val="en-US"/>
        </w:rPr>
        <w:t xml:space="preserve">of </w:t>
      </w:r>
      <w:r w:rsidRPr="007D72B3">
        <w:rPr>
          <w:lang w:val="en-US"/>
        </w:rPr>
        <w:t>the Alphabets, Introduction to Archaeology, Jerusalem 1994.</w:t>
      </w:r>
    </w:p>
    <w:p w:rsidR="00BB7EDA" w:rsidRDefault="007D72B3">
      <w:pPr>
        <w:pStyle w:val="Bodytext60"/>
        <w:shd w:val="clear" w:color="auto" w:fill="auto"/>
        <w:spacing w:line="187" w:lineRule="exact"/>
        <w:ind w:left="320" w:hanging="320"/>
        <w:jc w:val="both"/>
      </w:pPr>
      <w:r>
        <w:rPr>
          <w:rStyle w:val="Bodytext67ptSmallCaps"/>
        </w:rPr>
        <w:t xml:space="preserve">Negev, </w:t>
      </w:r>
      <w:r>
        <w:t>A.: Archäologisches Bibellexikon, Neuhausen-Stuttgart 1991.</w:t>
      </w:r>
    </w:p>
    <w:p w:rsidR="00BB7EDA" w:rsidRPr="007D72B3" w:rsidRDefault="007D72B3">
      <w:pPr>
        <w:pStyle w:val="Bodytext60"/>
        <w:shd w:val="clear" w:color="auto" w:fill="auto"/>
        <w:spacing w:line="187" w:lineRule="exact"/>
        <w:ind w:left="320" w:hanging="320"/>
        <w:jc w:val="both"/>
        <w:rPr>
          <w:lang w:val="en-US"/>
        </w:rPr>
      </w:pPr>
      <w:r w:rsidRPr="007D72B3">
        <w:rPr>
          <w:lang w:val="en-US"/>
        </w:rPr>
        <w:t>Neues Le</w:t>
      </w:r>
      <w:r w:rsidRPr="007D72B3">
        <w:rPr>
          <w:lang w:val="en-US"/>
        </w:rPr>
        <w:t>xikon, Zürich 1965.</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Newman, </w:t>
      </w:r>
      <w:r w:rsidRPr="007D72B3">
        <w:rPr>
          <w:lang w:val="en-US"/>
        </w:rPr>
        <w:t xml:space="preserve">P.: Hausa and the Chadic Languages, in: </w:t>
      </w:r>
      <w:r w:rsidRPr="007D72B3">
        <w:rPr>
          <w:rStyle w:val="Bodytext67ptSmallCaps"/>
          <w:lang w:val="en-US"/>
        </w:rPr>
        <w:t xml:space="preserve">Comrie: </w:t>
      </w:r>
      <w:r w:rsidRPr="007D72B3">
        <w:rPr>
          <w:lang w:val="en-US"/>
        </w:rPr>
        <w:t>The World's Major Languages, a.a.O., S. 705-723.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Niccacci, </w:t>
      </w:r>
      <w:r w:rsidRPr="007D72B3">
        <w:rPr>
          <w:lang w:val="en-US"/>
        </w:rPr>
        <w:t>A.: The Syntax of the Verb in Classical Hebrew Prose, Sheffield 1990.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Nida, </w:t>
      </w:r>
      <w:r w:rsidRPr="007D72B3">
        <w:rPr>
          <w:lang w:val="en-US"/>
        </w:rPr>
        <w:t xml:space="preserve">E.A.: Coutumes </w:t>
      </w:r>
      <w:r w:rsidRPr="007D72B3">
        <w:rPr>
          <w:rStyle w:val="Bodytext67pt"/>
          <w:lang w:val="en-US"/>
        </w:rPr>
        <w:t xml:space="preserve">et </w:t>
      </w:r>
      <w:r w:rsidRPr="007D72B3">
        <w:rPr>
          <w:lang w:val="en-US"/>
        </w:rPr>
        <w:t>Cultures, Anthropologie pou</w:t>
      </w:r>
      <w:r w:rsidRPr="007D72B3">
        <w:rPr>
          <w:lang w:val="en-US"/>
        </w:rPr>
        <w:t>r missions chretiennes, Editions G.M., o.O. 1978.</w:t>
      </w:r>
    </w:p>
    <w:p w:rsidR="00BB7EDA" w:rsidRDefault="007D72B3">
      <w:pPr>
        <w:pStyle w:val="Bodytext60"/>
        <w:shd w:val="clear" w:color="auto" w:fill="auto"/>
        <w:spacing w:line="187" w:lineRule="exact"/>
        <w:ind w:left="320" w:hanging="320"/>
        <w:jc w:val="both"/>
      </w:pPr>
      <w:r>
        <w:rPr>
          <w:rStyle w:val="Bodytext67ptSmallCaps"/>
        </w:rPr>
        <w:t xml:space="preserve">Nida, </w:t>
      </w:r>
      <w:r>
        <w:t>E.A.: Gott spricht viele Sprachen, Der dramatische Bericht von der Über</w:t>
      </w:r>
      <w:r>
        <w:softHyphen/>
        <w:t>setzung der Bibel für alle Völker, Stuttgart 1966.</w:t>
      </w:r>
    </w:p>
    <w:p w:rsidR="00BB7EDA" w:rsidRDefault="007D72B3">
      <w:pPr>
        <w:pStyle w:val="Bodytext60"/>
        <w:shd w:val="clear" w:color="auto" w:fill="auto"/>
        <w:spacing w:line="187" w:lineRule="exact"/>
        <w:ind w:left="320" w:hanging="320"/>
        <w:jc w:val="both"/>
      </w:pPr>
      <w:r>
        <w:rPr>
          <w:rStyle w:val="Bodytext67ptSmallCaps"/>
        </w:rPr>
        <w:t xml:space="preserve">Ouweneel, </w:t>
      </w:r>
      <w:r>
        <w:t>W.J.: Gedanken zum Schöpfungsbericht, Neustadt/Weinstrasse 1974.</w:t>
      </w:r>
    </w:p>
    <w:p w:rsidR="00BB7EDA" w:rsidRDefault="007D72B3">
      <w:pPr>
        <w:pStyle w:val="Bodytext60"/>
        <w:shd w:val="clear" w:color="auto" w:fill="auto"/>
        <w:spacing w:line="187" w:lineRule="exact"/>
        <w:ind w:left="320" w:hanging="320"/>
        <w:jc w:val="both"/>
      </w:pPr>
      <w:r>
        <w:rPr>
          <w:rStyle w:val="Bodytext67ptSmallCaps"/>
        </w:rPr>
        <w:t>Ou</w:t>
      </w:r>
      <w:r>
        <w:rPr>
          <w:rStyle w:val="Bodytext67ptSmallCaps"/>
        </w:rPr>
        <w:t xml:space="preserve">weneel, </w:t>
      </w:r>
      <w:r>
        <w:t>W.J.: Hat die Evolutionslehre einen wissenschaftlichen Charakter? 2. Aufl., Schwelm 1977.</w:t>
      </w:r>
    </w:p>
    <w:p w:rsidR="00BB7EDA" w:rsidRDefault="007D72B3">
      <w:pPr>
        <w:pStyle w:val="Bodytext60"/>
        <w:shd w:val="clear" w:color="auto" w:fill="auto"/>
        <w:spacing w:line="187" w:lineRule="exact"/>
        <w:ind w:left="320" w:hanging="320"/>
        <w:jc w:val="both"/>
      </w:pPr>
      <w:r>
        <w:rPr>
          <w:rStyle w:val="Bodytext67ptSmallCaps"/>
        </w:rPr>
        <w:t xml:space="preserve">Ouweneel: </w:t>
      </w:r>
      <w:r>
        <w:t>Der Untergang des christlichen Abendlandes, Philosophische Strö</w:t>
      </w:r>
      <w:r>
        <w:softHyphen/>
        <w:t>mungen und Kulturepochen, Eine Analyse, Wetzlar 1978.</w:t>
      </w:r>
    </w:p>
    <w:p w:rsidR="00BB7EDA" w:rsidRDefault="007D72B3">
      <w:pPr>
        <w:pStyle w:val="Bodytext60"/>
        <w:shd w:val="clear" w:color="auto" w:fill="auto"/>
        <w:spacing w:line="187" w:lineRule="exact"/>
        <w:ind w:left="320" w:hanging="320"/>
        <w:jc w:val="both"/>
      </w:pPr>
      <w:r>
        <w:rPr>
          <w:rStyle w:val="Bodytext67ptSmallCaps"/>
        </w:rPr>
        <w:t xml:space="preserve">Ouweneel, </w:t>
      </w:r>
      <w:r>
        <w:t>W.J.: Die Sohnschaft</w:t>
      </w:r>
      <w:r>
        <w:t xml:space="preserve"> Christi, Neustadt/Weinstrasse 1980.</w:t>
      </w:r>
    </w:p>
    <w:p w:rsidR="00BB7EDA" w:rsidRDefault="007D72B3">
      <w:pPr>
        <w:pStyle w:val="Bodytext60"/>
        <w:shd w:val="clear" w:color="auto" w:fill="auto"/>
        <w:spacing w:line="187" w:lineRule="exact"/>
        <w:ind w:left="320" w:hanging="320"/>
        <w:jc w:val="both"/>
      </w:pPr>
      <w:r>
        <w:rPr>
          <w:rStyle w:val="Bodytext67ptSmallCaps"/>
        </w:rPr>
        <w:t xml:space="preserve">Ouweneel, </w:t>
      </w:r>
      <w:r>
        <w:t>W.J.: Evolution in der Zeitenwende, Neuhausen-Stuttgart 1984.</w:t>
      </w:r>
    </w:p>
    <w:p w:rsidR="00BB7EDA" w:rsidRDefault="007D72B3">
      <w:pPr>
        <w:pStyle w:val="Bodytext60"/>
        <w:shd w:val="clear" w:color="auto" w:fill="auto"/>
        <w:spacing w:line="187" w:lineRule="exact"/>
        <w:ind w:left="320" w:hanging="320"/>
        <w:jc w:val="both"/>
      </w:pPr>
      <w:r>
        <w:rPr>
          <w:rStyle w:val="Bodytext67ptSmallCaps"/>
        </w:rPr>
        <w:t xml:space="preserve">Pailer: </w:t>
      </w:r>
      <w:r>
        <w:t>Geheimnisvolles Weltall, Hypothesen und Fakten zur Urknalltheorie, Neuhausen-Stuttgart 1994.</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Parkinson, </w:t>
      </w:r>
      <w:r w:rsidRPr="007D72B3">
        <w:rPr>
          <w:lang w:val="en-US"/>
        </w:rPr>
        <w:t xml:space="preserve">S.: Portuguese, in: </w:t>
      </w:r>
      <w:r w:rsidRPr="007D72B3">
        <w:rPr>
          <w:rStyle w:val="Bodytext67ptSmallCaps"/>
          <w:lang w:val="en-US"/>
        </w:rPr>
        <w:t xml:space="preserve">Comrie: </w:t>
      </w:r>
      <w:r w:rsidRPr="007D72B3">
        <w:rPr>
          <w:lang w:val="en-US"/>
        </w:rPr>
        <w:t>The Wor</w:t>
      </w:r>
      <w:r w:rsidRPr="007D72B3">
        <w:rPr>
          <w:lang w:val="en-US"/>
        </w:rPr>
        <w:t>ld's Major Languages, a.a.O., S. 260-278.</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Parrot, </w:t>
      </w:r>
      <w:r w:rsidRPr="007D72B3">
        <w:rPr>
          <w:lang w:val="en-US"/>
        </w:rPr>
        <w:t xml:space="preserve">A.: La Tour </w:t>
      </w:r>
      <w:r w:rsidRPr="007D72B3">
        <w:rPr>
          <w:rStyle w:val="Bodytext67pt"/>
          <w:lang w:val="en-US"/>
        </w:rPr>
        <w:t xml:space="preserve">de Babel, </w:t>
      </w:r>
      <w:r w:rsidRPr="007D72B3">
        <w:rPr>
          <w:lang w:val="en-US"/>
        </w:rPr>
        <w:t xml:space="preserve">Neuchätel/Paris </w:t>
      </w:r>
      <w:r w:rsidRPr="007D72B3">
        <w:rPr>
          <w:rStyle w:val="Bodytext67pt"/>
          <w:lang w:val="en-US"/>
        </w:rPr>
        <w:t>1953.</w:t>
      </w:r>
    </w:p>
    <w:p w:rsidR="00BB7EDA" w:rsidRDefault="007D72B3">
      <w:pPr>
        <w:pStyle w:val="Bodytext60"/>
        <w:shd w:val="clear" w:color="auto" w:fill="auto"/>
        <w:spacing w:line="187" w:lineRule="exact"/>
        <w:ind w:left="320" w:hanging="320"/>
        <w:jc w:val="both"/>
      </w:pPr>
      <w:r>
        <w:rPr>
          <w:rStyle w:val="Bodytext67ptSmallCaps"/>
        </w:rPr>
        <w:t xml:space="preserve">Peters, </w:t>
      </w:r>
      <w:r>
        <w:t>B.: Zeichen und Wunder, 3. Aufl., Berneck 1983.</w:t>
      </w:r>
    </w:p>
    <w:p w:rsidR="00BB7EDA" w:rsidRDefault="007D72B3">
      <w:pPr>
        <w:pStyle w:val="Bodytext60"/>
        <w:shd w:val="clear" w:color="auto" w:fill="auto"/>
        <w:spacing w:line="187" w:lineRule="exact"/>
        <w:ind w:left="320" w:hanging="320"/>
        <w:jc w:val="both"/>
      </w:pPr>
      <w:r>
        <w:rPr>
          <w:rStyle w:val="Bodytext67ptSmallCaps"/>
        </w:rPr>
        <w:t xml:space="preserve">Peters, </w:t>
      </w:r>
      <w:r>
        <w:t xml:space="preserve">B.: Über den Vokalismus des Hebräischen in vorexilischer Zeit, Eine zur Hauptsache an Inschriften </w:t>
      </w:r>
      <w:r>
        <w:t>vorgenommene Untersuchung, Universität Zü</w:t>
      </w:r>
      <w:r>
        <w:softHyphen/>
        <w:t>rich 1985.</w:t>
      </w:r>
    </w:p>
    <w:p w:rsidR="00BB7EDA" w:rsidRDefault="007D72B3">
      <w:pPr>
        <w:pStyle w:val="Bodytext60"/>
        <w:shd w:val="clear" w:color="auto" w:fill="auto"/>
        <w:spacing w:line="187" w:lineRule="exact"/>
        <w:ind w:left="320" w:hanging="320"/>
        <w:jc w:val="both"/>
      </w:pPr>
      <w:r>
        <w:rPr>
          <w:rStyle w:val="Bodytext67ptSmallCaps"/>
        </w:rPr>
        <w:t xml:space="preserve">Poebel, </w:t>
      </w:r>
      <w:r>
        <w:t>A.: Grundzüge der sumerischen Grammatik, Rostock 1923.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Pope, </w:t>
      </w:r>
      <w:r w:rsidRPr="007D72B3">
        <w:rPr>
          <w:lang w:val="en-US"/>
        </w:rPr>
        <w:t>M.K.: From Latin to Modern French with Especial Consideration of Anglo- Norman, Phonology and Morphology, Manchester 1952.</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0"/>
          <w:lang w:val="en-US"/>
        </w:rPr>
        <w:t xml:space="preserve">Price, </w:t>
      </w:r>
      <w:r w:rsidRPr="007D72B3">
        <w:rPr>
          <w:lang w:val="en-US"/>
        </w:rPr>
        <w:t xml:space="preserve">R.: The Stones Cry </w:t>
      </w:r>
      <w:r w:rsidRPr="007D72B3">
        <w:rPr>
          <w:rStyle w:val="Bodytext67pt0"/>
          <w:lang w:val="en-US"/>
        </w:rPr>
        <w:t xml:space="preserve">Out, </w:t>
      </w:r>
      <w:r w:rsidRPr="007D72B3">
        <w:rPr>
          <w:lang w:val="en-US"/>
        </w:rPr>
        <w:t>What Archaeology Reveals about the Truth of the 3ib!e, Eugene, Oregon 1997.</w:t>
      </w:r>
    </w:p>
    <w:p w:rsidR="00BB7EDA" w:rsidRDefault="007D72B3">
      <w:pPr>
        <w:pStyle w:val="Bodytext60"/>
        <w:shd w:val="clear" w:color="auto" w:fill="auto"/>
        <w:spacing w:line="187" w:lineRule="exact"/>
        <w:ind w:left="320" w:hanging="320"/>
        <w:jc w:val="both"/>
      </w:pPr>
      <w:r>
        <w:rPr>
          <w:rStyle w:val="Bodytext67ptSmallCaps"/>
        </w:rPr>
        <w:t xml:space="preserve">Pinsker, </w:t>
      </w:r>
      <w:r>
        <w:t>H.: Altenglisches Studienbuch, Düsseldorf 1976.</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Pritchard, </w:t>
      </w:r>
      <w:r w:rsidRPr="007D72B3">
        <w:rPr>
          <w:lang w:val="en-US"/>
        </w:rPr>
        <w:t>J.B. (Hrsg.): Ancient Near Eastem Texts Relating to the Old Testa</w:t>
      </w:r>
      <w:r w:rsidRPr="007D72B3">
        <w:rPr>
          <w:lang w:val="en-US"/>
        </w:rPr>
        <w:softHyphen/>
        <w:t>ment, Third Edition wi</w:t>
      </w:r>
      <w:r w:rsidRPr="007D72B3">
        <w:rPr>
          <w:lang w:val="en-US"/>
        </w:rPr>
        <w:t>th Supplement, Princeton/New Jersey 1969.</w:t>
      </w:r>
    </w:p>
    <w:p w:rsidR="00BB7EDA" w:rsidRDefault="007D72B3">
      <w:pPr>
        <w:pStyle w:val="Bodytext60"/>
        <w:shd w:val="clear" w:color="auto" w:fill="auto"/>
        <w:spacing w:line="187" w:lineRule="exact"/>
        <w:ind w:left="320" w:hanging="320"/>
        <w:jc w:val="both"/>
      </w:pPr>
      <w:r>
        <w:rPr>
          <w:rStyle w:val="Bodytext67ptSmallCaps"/>
        </w:rPr>
        <w:t xml:space="preserve">Rjchardson, </w:t>
      </w:r>
      <w:r>
        <w:t>D.: Ewigkeit in ihren Herzen, Lahr 1983.</w:t>
      </w:r>
    </w:p>
    <w:p w:rsidR="00BB7EDA" w:rsidRDefault="007D72B3">
      <w:pPr>
        <w:pStyle w:val="Bodytext60"/>
        <w:shd w:val="clear" w:color="auto" w:fill="auto"/>
        <w:spacing w:line="187" w:lineRule="exact"/>
        <w:ind w:left="320" w:hanging="320"/>
        <w:jc w:val="both"/>
      </w:pPr>
      <w:r>
        <w:rPr>
          <w:rStyle w:val="Bodytext67ptSmallCaps"/>
        </w:rPr>
        <w:t xml:space="preserve">Riem, </w:t>
      </w:r>
      <w:r>
        <w:t>J.: Die Sintflut in Sage und Wissenschaft, Hamburg 1925.</w:t>
      </w:r>
    </w:p>
    <w:p w:rsidR="00BB7EDA" w:rsidRDefault="007D72B3">
      <w:pPr>
        <w:pStyle w:val="Bodytext60"/>
        <w:shd w:val="clear" w:color="auto" w:fill="auto"/>
        <w:spacing w:line="187" w:lineRule="exact"/>
        <w:ind w:left="320" w:hanging="320"/>
        <w:jc w:val="both"/>
      </w:pPr>
      <w:r>
        <w:rPr>
          <w:rStyle w:val="Bodytext67ptSmallCaps"/>
        </w:rPr>
        <w:t xml:space="preserve">Riemschneider, </w:t>
      </w:r>
      <w:r>
        <w:t>K.K.: Lehrbuch des Akkadischen, 4. Aufl., Leipzig 1984.</w:t>
      </w:r>
    </w:p>
    <w:p w:rsidR="00BB7EDA" w:rsidRDefault="007D72B3">
      <w:pPr>
        <w:pStyle w:val="Bodytext60"/>
        <w:shd w:val="clear" w:color="auto" w:fill="auto"/>
        <w:spacing w:line="187" w:lineRule="exact"/>
        <w:ind w:left="320" w:hanging="320"/>
        <w:jc w:val="both"/>
      </w:pPr>
      <w:r>
        <w:rPr>
          <w:rStyle w:val="Bodytext67ptSmallCaps"/>
        </w:rPr>
        <w:t xml:space="preserve">Rienecker, </w:t>
      </w:r>
      <w:r>
        <w:t xml:space="preserve">F.: Lexikon zur </w:t>
      </w:r>
      <w:r>
        <w:t>Bibel, 13. Gesamtauflage, Wuppertal 1978.</w:t>
      </w:r>
    </w:p>
    <w:p w:rsidR="00BB7EDA" w:rsidRDefault="007D72B3">
      <w:pPr>
        <w:pStyle w:val="Bodytext60"/>
        <w:shd w:val="clear" w:color="auto" w:fill="auto"/>
        <w:spacing w:line="187" w:lineRule="exact"/>
        <w:ind w:left="320" w:hanging="320"/>
        <w:jc w:val="both"/>
      </w:pPr>
      <w:r>
        <w:rPr>
          <w:rStyle w:val="Bodytext67ptSmallCaps"/>
        </w:rPr>
        <w:t xml:space="preserve">Risch, </w:t>
      </w:r>
      <w:r>
        <w:t xml:space="preserve">E.: Griechisch, in: </w:t>
      </w:r>
      <w:r>
        <w:rPr>
          <w:rStyle w:val="Bodytext67ptSmallCaps"/>
        </w:rPr>
        <w:t xml:space="preserve">Andresen, </w:t>
      </w:r>
      <w:r>
        <w:t>C. (Hrsg.): Lexikon der Alten Welt, Zürich und Stuttgart 1965, S.l 165-1173.</w:t>
      </w:r>
    </w:p>
    <w:p w:rsidR="00BB7EDA" w:rsidRDefault="007D72B3">
      <w:pPr>
        <w:pStyle w:val="Bodytext60"/>
        <w:shd w:val="clear" w:color="auto" w:fill="auto"/>
        <w:spacing w:line="187" w:lineRule="exact"/>
        <w:ind w:left="320" w:hanging="320"/>
        <w:jc w:val="both"/>
      </w:pPr>
      <w:r>
        <w:rPr>
          <w:rStyle w:val="Bodytext67ptSmallCaps"/>
        </w:rPr>
        <w:t xml:space="preserve">Ritschard, </w:t>
      </w:r>
      <w:r>
        <w:t>G.: Bödellitüütsch, Wörterbuch mit Bildern aus dem Volksleben, Volkssprache der Gemeinden</w:t>
      </w:r>
      <w:r>
        <w:t xml:space="preserve"> Bönigen, Interlaken, Matten, Unterseen und Wilderswil, Unterseen 1983.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Robinson, M.A./Pierpont, </w:t>
      </w:r>
      <w:r w:rsidRPr="007D72B3">
        <w:rPr>
          <w:lang w:val="en-US"/>
        </w:rPr>
        <w:t>W.G.: The New Testament in the Original Greek according to the Byzantine/Majority Textform, Introduction and appendix</w:t>
      </w:r>
    </w:p>
    <w:p w:rsidR="00BB7EDA" w:rsidRPr="007D72B3" w:rsidRDefault="007D72B3">
      <w:pPr>
        <w:pStyle w:val="Bodytext150"/>
        <w:shd w:val="clear" w:color="auto" w:fill="auto"/>
        <w:spacing w:line="187" w:lineRule="exact"/>
        <w:ind w:left="320"/>
        <w:jc w:val="left"/>
        <w:rPr>
          <w:lang w:val="en-US"/>
        </w:rPr>
      </w:pPr>
      <w:r w:rsidRPr="007D72B3">
        <w:rPr>
          <w:lang w:val="en-US"/>
        </w:rPr>
        <w:t xml:space="preserve">by the editors, executive editor </w:t>
      </w:r>
      <w:r w:rsidRPr="007D72B3">
        <w:rPr>
          <w:rStyle w:val="Bodytext158pt"/>
          <w:lang w:val="en-US"/>
        </w:rPr>
        <w:t xml:space="preserve">W.D. </w:t>
      </w:r>
      <w:r w:rsidRPr="007D72B3">
        <w:rPr>
          <w:rStyle w:val="Bodytext15SmallCaps"/>
          <w:lang w:val="en-US"/>
        </w:rPr>
        <w:t>McB</w:t>
      </w:r>
      <w:r w:rsidRPr="007D72B3">
        <w:rPr>
          <w:rStyle w:val="Bodytext15SmallCaps"/>
          <w:lang w:val="en-US"/>
        </w:rPr>
        <w:t>rayer,</w:t>
      </w:r>
      <w:r w:rsidRPr="007D72B3">
        <w:rPr>
          <w:lang w:val="en-US"/>
        </w:rPr>
        <w:t xml:space="preserve"> Atlanta </w:t>
      </w:r>
      <w:r w:rsidRPr="007D72B3">
        <w:rPr>
          <w:rStyle w:val="Bodytext158pt"/>
          <w:lang w:val="en-US"/>
        </w:rPr>
        <w:t>1991.</w:t>
      </w:r>
    </w:p>
    <w:p w:rsidR="00BB7EDA" w:rsidRDefault="007D72B3">
      <w:pPr>
        <w:pStyle w:val="Bodytext60"/>
        <w:shd w:val="clear" w:color="auto" w:fill="auto"/>
        <w:spacing w:line="187" w:lineRule="exact"/>
        <w:ind w:left="320" w:hanging="320"/>
        <w:jc w:val="both"/>
      </w:pPr>
      <w:r>
        <w:rPr>
          <w:rStyle w:val="Bodytext67ptSmallCaps"/>
        </w:rPr>
        <w:t xml:space="preserve">Rohl, </w:t>
      </w:r>
      <w:r>
        <w:t>D.: Pharaonen und Propheten, München 1996.</w:t>
      </w:r>
    </w:p>
    <w:p w:rsidR="00BB7EDA" w:rsidRPr="007D72B3" w:rsidRDefault="007D72B3">
      <w:pPr>
        <w:pStyle w:val="Bodytext60"/>
        <w:shd w:val="clear" w:color="auto" w:fill="auto"/>
        <w:spacing w:line="187" w:lineRule="exact"/>
        <w:ind w:left="320" w:hanging="320"/>
        <w:jc w:val="both"/>
        <w:rPr>
          <w:lang w:val="en-US"/>
        </w:rPr>
      </w:pPr>
      <w:r w:rsidRPr="007D72B3">
        <w:rPr>
          <w:lang w:val="en-US"/>
        </w:rPr>
        <w:t xml:space="preserve">Ross, P.E.: Hard Words, Trends in Linguistics, in: </w:t>
      </w:r>
      <w:r w:rsidRPr="007D72B3">
        <w:rPr>
          <w:rStyle w:val="Bodytext675ptItalic"/>
          <w:lang w:val="en-US"/>
        </w:rPr>
        <w:t>Sientific American,</w:t>
      </w:r>
      <w:r w:rsidRPr="007D72B3">
        <w:rPr>
          <w:lang w:val="en-US"/>
        </w:rPr>
        <w:t xml:space="preserve"> April 1991, S. 70-79.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Sanford, </w:t>
      </w:r>
      <w:r w:rsidRPr="007D72B3">
        <w:rPr>
          <w:lang w:val="en-US"/>
        </w:rPr>
        <w:t xml:space="preserve">B.S.: Tamil and the Dravidian Languages, in: </w:t>
      </w:r>
      <w:r w:rsidRPr="007D72B3">
        <w:rPr>
          <w:rStyle w:val="Bodytext67ptSmallCaps"/>
          <w:lang w:val="en-US"/>
        </w:rPr>
        <w:t xml:space="preserve">Comrie: </w:t>
      </w:r>
      <w:r w:rsidRPr="007D72B3">
        <w:rPr>
          <w:lang w:val="en-US"/>
        </w:rPr>
        <w:t>The World Major's Languages, a.</w:t>
      </w:r>
      <w:r w:rsidRPr="007D72B3">
        <w:rPr>
          <w:lang w:val="en-US"/>
        </w:rPr>
        <w:t>a.O., S. 725-746.</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Schaub, </w:t>
      </w:r>
      <w:r w:rsidRPr="007D72B3">
        <w:rPr>
          <w:lang w:val="en-US"/>
        </w:rPr>
        <w:t>W.: Babungo, London, Sydney, Dover, New Hampshire 1985.</w:t>
      </w:r>
    </w:p>
    <w:p w:rsidR="00BB7EDA" w:rsidRDefault="007D72B3">
      <w:pPr>
        <w:pStyle w:val="Bodytext60"/>
        <w:shd w:val="clear" w:color="auto" w:fill="auto"/>
        <w:spacing w:line="187" w:lineRule="exact"/>
        <w:ind w:left="320" w:hanging="320"/>
        <w:jc w:val="both"/>
      </w:pPr>
      <w:r>
        <w:rPr>
          <w:rStyle w:val="Bodytext67ptSmallCaps"/>
        </w:rPr>
        <w:t xml:space="preserve">Scherer, </w:t>
      </w:r>
      <w:r>
        <w:t>S. (Hrsg.): Die Suche nach Eden, Wege zur alternativen Deutung der menschlichen Frühgeschichte, Neuhausen-Stuttgart 1991.</w:t>
      </w:r>
    </w:p>
    <w:p w:rsidR="00BB7EDA" w:rsidRDefault="007D72B3">
      <w:pPr>
        <w:pStyle w:val="Bodytext60"/>
        <w:shd w:val="clear" w:color="auto" w:fill="auto"/>
        <w:spacing w:line="187" w:lineRule="exact"/>
        <w:ind w:left="320" w:hanging="320"/>
        <w:jc w:val="both"/>
      </w:pPr>
      <w:r>
        <w:rPr>
          <w:rStyle w:val="Bodytext67ptSmallCaps"/>
        </w:rPr>
        <w:t xml:space="preserve">Scherer, </w:t>
      </w:r>
      <w:r>
        <w:t>S. (Hrsg.): Typen des Lebens, Stud</w:t>
      </w:r>
      <w:r>
        <w:t>ium Integrale, Neuhausen-Stuttgart 1993.</w:t>
      </w:r>
    </w:p>
    <w:p w:rsidR="00BB7EDA" w:rsidRDefault="007D72B3">
      <w:pPr>
        <w:pStyle w:val="Bodytext60"/>
        <w:shd w:val="clear" w:color="auto" w:fill="auto"/>
        <w:spacing w:line="187" w:lineRule="exact"/>
        <w:ind w:left="320" w:hanging="320"/>
        <w:jc w:val="both"/>
      </w:pPr>
      <w:r>
        <w:rPr>
          <w:rStyle w:val="Bodytext67ptSmallCaps"/>
        </w:rPr>
        <w:t xml:space="preserve">Schenkel, </w:t>
      </w:r>
      <w:r>
        <w:t>W.: Tübinger Einführung in die klassisch-ägyptische Sprache und Schrift, Tübingen 1997.</w:t>
      </w:r>
    </w:p>
    <w:p w:rsidR="00BB7EDA" w:rsidRDefault="007D72B3">
      <w:pPr>
        <w:pStyle w:val="Bodytext60"/>
        <w:shd w:val="clear" w:color="auto" w:fill="auto"/>
        <w:spacing w:line="187" w:lineRule="exact"/>
        <w:ind w:left="320" w:hanging="320"/>
        <w:jc w:val="both"/>
      </w:pPr>
      <w:r>
        <w:rPr>
          <w:rStyle w:val="Bodytext67ptSmallCaps"/>
        </w:rPr>
        <w:t xml:space="preserve">Scheven, </w:t>
      </w:r>
      <w:r>
        <w:t>J.: Daten zur Evolutionslehre im Biologieunterricht, Kritische Bilddo</w:t>
      </w:r>
      <w:r>
        <w:softHyphen/>
        <w:t>kumentation, Neuhausen-Stuttgart 1979.</w:t>
      </w:r>
    </w:p>
    <w:p w:rsidR="00BB7EDA" w:rsidRDefault="007D72B3">
      <w:pPr>
        <w:pStyle w:val="Bodytext60"/>
        <w:shd w:val="clear" w:color="auto" w:fill="auto"/>
        <w:spacing w:line="187" w:lineRule="exact"/>
        <w:ind w:left="320" w:hanging="320"/>
        <w:jc w:val="both"/>
      </w:pPr>
      <w:r>
        <w:rPr>
          <w:rStyle w:val="Bodytext67ptSmallCaps"/>
        </w:rPr>
        <w:t xml:space="preserve">Scheven, </w:t>
      </w:r>
      <w:r>
        <w:rPr>
          <w:rStyle w:val="Bodytext6Arial75pt"/>
        </w:rPr>
        <w:t xml:space="preserve">J.: </w:t>
      </w:r>
      <w:r>
        <w:t>Karbonstudien, Neues Licht auf das Alter der Erde, Neuhausen- Stuttgart 1986.</w:t>
      </w:r>
    </w:p>
    <w:p w:rsidR="00BB7EDA" w:rsidRDefault="007D72B3">
      <w:pPr>
        <w:pStyle w:val="Bodytext60"/>
        <w:shd w:val="clear" w:color="auto" w:fill="auto"/>
        <w:spacing w:line="187" w:lineRule="exact"/>
        <w:ind w:left="320" w:hanging="320"/>
        <w:jc w:val="both"/>
      </w:pPr>
      <w:r>
        <w:rPr>
          <w:rStyle w:val="Bodytext67ptSmallCaps"/>
        </w:rPr>
        <w:t xml:space="preserve">Scheven, </w:t>
      </w:r>
      <w:r>
        <w:t>J.: Mega-Sukzessionen und Klimax im Tertiär, Katastrophen zwischen Sintflut und Eiszeit, Neuhausen-Stuttgart 1988.</w:t>
      </w:r>
    </w:p>
    <w:p w:rsidR="00BB7EDA" w:rsidRDefault="007D72B3">
      <w:pPr>
        <w:pStyle w:val="Bodytext60"/>
        <w:shd w:val="clear" w:color="auto" w:fill="auto"/>
        <w:spacing w:line="187" w:lineRule="exact"/>
        <w:ind w:left="320" w:hanging="320"/>
        <w:jc w:val="both"/>
      </w:pPr>
      <w:r>
        <w:rPr>
          <w:rStyle w:val="Bodytext67ptSmallCaps"/>
        </w:rPr>
        <w:t xml:space="preserve">Schrirrmacher, </w:t>
      </w:r>
      <w:r>
        <w:t>Th.: Urzeitmythen der afr</w:t>
      </w:r>
      <w:r>
        <w:t xml:space="preserve">ikanischen Völker, in: </w:t>
      </w:r>
      <w:r>
        <w:rPr>
          <w:rStyle w:val="Bodytext675ptItalic"/>
        </w:rPr>
        <w:t>factum,</w:t>
      </w:r>
      <w:r>
        <w:t xml:space="preserve"> Oktober 1984, S. 18-25.</w:t>
      </w:r>
    </w:p>
    <w:p w:rsidR="00BB7EDA" w:rsidRDefault="007D72B3">
      <w:pPr>
        <w:pStyle w:val="Bodytext60"/>
        <w:shd w:val="clear" w:color="auto" w:fill="auto"/>
        <w:spacing w:line="187" w:lineRule="exact"/>
        <w:ind w:left="320" w:hanging="320"/>
        <w:jc w:val="both"/>
      </w:pPr>
      <w:r>
        <w:rPr>
          <w:rStyle w:val="Bodytext67ptSmallCaps"/>
        </w:rPr>
        <w:t xml:space="preserve">Schrirrmacher, </w:t>
      </w:r>
      <w:r>
        <w:t>Th.: Marxismus - Opium für das Volk? Berneck 1990.</w:t>
      </w:r>
    </w:p>
    <w:p w:rsidR="00BB7EDA" w:rsidRDefault="007D72B3">
      <w:pPr>
        <w:pStyle w:val="Bodytext60"/>
        <w:shd w:val="clear" w:color="auto" w:fill="auto"/>
        <w:spacing w:line="187" w:lineRule="exact"/>
        <w:ind w:left="320" w:hanging="320"/>
        <w:jc w:val="both"/>
      </w:pPr>
      <w:r>
        <w:rPr>
          <w:rStyle w:val="Bodytext67ptSmallCaps"/>
        </w:rPr>
        <w:t xml:space="preserve">Schrirrmacher, </w:t>
      </w:r>
      <w:r>
        <w:t>Th.: Galilei-Legenden und andere Beiträge zu Schöpfungsfor</w:t>
      </w:r>
      <w:r>
        <w:softHyphen/>
        <w:t>schung, Evolutionskritik und Chronologie der Kulturgeschichte</w:t>
      </w:r>
      <w:r>
        <w:t xml:space="preserve"> 1979-1994, Biblia et symbiotica, Band 12, Bonn 1995.</w:t>
      </w:r>
    </w:p>
    <w:p w:rsidR="00BB7EDA" w:rsidRDefault="007D72B3">
      <w:pPr>
        <w:pStyle w:val="Bodytext60"/>
        <w:shd w:val="clear" w:color="auto" w:fill="auto"/>
        <w:spacing w:line="187" w:lineRule="exact"/>
        <w:ind w:left="320" w:hanging="320"/>
        <w:jc w:val="both"/>
      </w:pPr>
      <w:r>
        <w:t xml:space="preserve">Schlachter-Bibel, Das Neue Testament und die Psalmen, nach dem Grundtext übersetzt von F.E. </w:t>
      </w:r>
      <w:r>
        <w:rPr>
          <w:rStyle w:val="Bodytext67ptSmallCaps"/>
        </w:rPr>
        <w:t xml:space="preserve">Schlachter, </w:t>
      </w:r>
      <w:r>
        <w:t>Version 2000, Neue revidierte Fassung, Genf 1999.</w:t>
      </w:r>
    </w:p>
    <w:p w:rsidR="00BB7EDA" w:rsidRDefault="007D72B3">
      <w:pPr>
        <w:pStyle w:val="Bodytext60"/>
        <w:shd w:val="clear" w:color="auto" w:fill="auto"/>
        <w:spacing w:line="187" w:lineRule="exact"/>
        <w:ind w:left="320" w:hanging="320"/>
        <w:jc w:val="both"/>
      </w:pPr>
      <w:r>
        <w:rPr>
          <w:rStyle w:val="Bodytext67ptSmallCaps"/>
        </w:rPr>
        <w:t xml:space="preserve">Schleicher: </w:t>
      </w:r>
      <w:r>
        <w:t>Die Darwinsche Theorie und die Sprac</w:t>
      </w:r>
      <w:r>
        <w:t>hwissenschaft, 1863.</w:t>
      </w:r>
    </w:p>
    <w:p w:rsidR="00BB7EDA" w:rsidRDefault="007D72B3">
      <w:pPr>
        <w:pStyle w:val="Bodytext60"/>
        <w:shd w:val="clear" w:color="auto" w:fill="auto"/>
        <w:spacing w:line="187" w:lineRule="exact"/>
        <w:ind w:left="320" w:hanging="320"/>
        <w:jc w:val="both"/>
      </w:pPr>
      <w:r>
        <w:rPr>
          <w:rStyle w:val="Bodytext67ptSmallCaps"/>
        </w:rPr>
        <w:t xml:space="preserve">Schneider, </w:t>
      </w:r>
      <w:r>
        <w:t xml:space="preserve">H.: Datierungsmethoden und ihre physikalische Relevanz, </w:t>
      </w:r>
      <w:r>
        <w:rPr>
          <w:rStyle w:val="Bodytext67pt"/>
        </w:rPr>
        <w:t xml:space="preserve">S. </w:t>
      </w:r>
      <w:r>
        <w:t xml:space="preserve">114ff., in: </w:t>
      </w:r>
      <w:r>
        <w:rPr>
          <w:rStyle w:val="Bodytext67ptSmallCaps"/>
        </w:rPr>
        <w:t xml:space="preserve">Gitt: </w:t>
      </w:r>
      <w:r>
        <w:t>Am Anfang war die Information, Forschungsergebnisse aus Natur</w:t>
      </w:r>
      <w:r>
        <w:softHyphen/>
        <w:t>wissenschaft und Technik, a.a.O.</w:t>
      </w:r>
    </w:p>
    <w:p w:rsidR="00BB7EDA" w:rsidRDefault="007D72B3">
      <w:pPr>
        <w:pStyle w:val="Bodytext60"/>
        <w:shd w:val="clear" w:color="auto" w:fill="auto"/>
        <w:spacing w:line="187" w:lineRule="exact"/>
        <w:ind w:left="320" w:hanging="320"/>
        <w:jc w:val="both"/>
      </w:pPr>
      <w:r>
        <w:rPr>
          <w:rStyle w:val="Bodytext67ptSmallCaps"/>
        </w:rPr>
        <w:t xml:space="preserve">Schneider, </w:t>
      </w:r>
      <w:r>
        <w:t>H.: Der Urknall und die absoluten Datieru</w:t>
      </w:r>
      <w:r>
        <w:t>ngen, Neuhausen-Stuttgart 1982.</w:t>
      </w:r>
    </w:p>
    <w:p w:rsidR="00BB7EDA" w:rsidRDefault="007D72B3">
      <w:pPr>
        <w:pStyle w:val="Bodytext60"/>
        <w:shd w:val="clear" w:color="auto" w:fill="auto"/>
        <w:spacing w:line="187" w:lineRule="exact"/>
        <w:ind w:left="320" w:hanging="320"/>
        <w:jc w:val="both"/>
      </w:pPr>
      <w:r>
        <w:rPr>
          <w:rStyle w:val="Bodytext67ptSmallCaps"/>
        </w:rPr>
        <w:t xml:space="preserve">Schott, </w:t>
      </w:r>
      <w:r>
        <w:t>Th.: Die Kirche der Wüste, 1893.</w:t>
      </w:r>
    </w:p>
    <w:p w:rsidR="00BB7EDA" w:rsidRDefault="007D72B3">
      <w:pPr>
        <w:pStyle w:val="Bodytext60"/>
        <w:shd w:val="clear" w:color="auto" w:fill="auto"/>
        <w:spacing w:line="187" w:lineRule="exact"/>
        <w:ind w:left="320" w:hanging="320"/>
        <w:jc w:val="both"/>
      </w:pPr>
      <w:r>
        <w:rPr>
          <w:rStyle w:val="Bodytext67ptSmallCaps"/>
        </w:rPr>
        <w:t xml:space="preserve">Schroeder, </w:t>
      </w:r>
      <w:r>
        <w:t>R.: Le Messie de la Bible, Belgique 1974.</w:t>
      </w:r>
    </w:p>
    <w:p w:rsidR="00BB7EDA" w:rsidRDefault="007D72B3">
      <w:pPr>
        <w:pStyle w:val="Bodytext60"/>
        <w:shd w:val="clear" w:color="auto" w:fill="auto"/>
        <w:spacing w:line="187" w:lineRule="exact"/>
        <w:ind w:left="320" w:hanging="320"/>
        <w:jc w:val="both"/>
      </w:pPr>
      <w:r>
        <w:rPr>
          <w:rStyle w:val="Bodytext67ptSmallCaps"/>
        </w:rPr>
        <w:t xml:space="preserve">Schwidetzky, </w:t>
      </w:r>
      <w:r>
        <w:t>I.: Über die Evolution der Sprache, Anatomie, Verhaltensforschung, Sprachwissenschaft, Anthropologie, Frankfurt am Ma</w:t>
      </w:r>
      <w:r>
        <w:t>in 1973.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Simpson, </w:t>
      </w:r>
      <w:r w:rsidRPr="007D72B3">
        <w:rPr>
          <w:lang w:val="en-US"/>
        </w:rPr>
        <w:t xml:space="preserve">G.G.: The Biological Nature of Man, in: </w:t>
      </w:r>
      <w:r w:rsidRPr="007D72B3">
        <w:rPr>
          <w:rStyle w:val="Bodytext675ptItalic"/>
          <w:lang w:val="en-US"/>
        </w:rPr>
        <w:t>Science,</w:t>
      </w:r>
      <w:r w:rsidRPr="007D72B3">
        <w:rPr>
          <w:lang w:val="en-US"/>
        </w:rPr>
        <w:t xml:space="preserve"> Bd. 152, April 22, 1966, S. 476-477.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Slusher, </w:t>
      </w:r>
      <w:r w:rsidRPr="007D72B3">
        <w:rPr>
          <w:lang w:val="en-US"/>
        </w:rPr>
        <w:t>H.S.: Critique of Radiometrie Dating, Institute for Creation Research, San Diego USA 1981.</w:t>
      </w:r>
    </w:p>
    <w:p w:rsidR="00BB7EDA" w:rsidRDefault="007D72B3">
      <w:pPr>
        <w:pStyle w:val="Bodytext60"/>
        <w:shd w:val="clear" w:color="auto" w:fill="auto"/>
        <w:spacing w:line="187" w:lineRule="exact"/>
        <w:ind w:left="320" w:hanging="320"/>
        <w:jc w:val="both"/>
      </w:pPr>
      <w:r>
        <w:rPr>
          <w:rStyle w:val="Bodytext67ptSmallCaps"/>
        </w:rPr>
        <w:t xml:space="preserve">Soggin, </w:t>
      </w:r>
      <w:r>
        <w:t>A.: Das Buch Genesis, Kommentar, Darmstadt 1</w:t>
      </w:r>
      <w:r>
        <w:t>997.</w:t>
      </w:r>
    </w:p>
    <w:p w:rsidR="00BB7EDA" w:rsidRDefault="007D72B3">
      <w:pPr>
        <w:pStyle w:val="Bodytext60"/>
        <w:shd w:val="clear" w:color="auto" w:fill="auto"/>
        <w:spacing w:line="187" w:lineRule="exact"/>
        <w:ind w:left="320" w:hanging="320"/>
        <w:jc w:val="both"/>
      </w:pPr>
      <w:r>
        <w:rPr>
          <w:rStyle w:val="Bodytext67ptSmallCaps"/>
        </w:rPr>
        <w:t xml:space="preserve">Sproul, </w:t>
      </w:r>
      <w:r>
        <w:t>B.C.: Schöpfungsmythen der östlichen Welt, München 1993.</w:t>
      </w:r>
    </w:p>
    <w:p w:rsidR="00BB7EDA" w:rsidRDefault="007D72B3">
      <w:pPr>
        <w:pStyle w:val="Bodytext60"/>
        <w:shd w:val="clear" w:color="auto" w:fill="auto"/>
        <w:spacing w:line="187" w:lineRule="exact"/>
        <w:ind w:left="320" w:hanging="320"/>
        <w:jc w:val="both"/>
      </w:pPr>
      <w:r>
        <w:rPr>
          <w:rStyle w:val="Bodytext67ptSmallCaps"/>
        </w:rPr>
        <w:t xml:space="preserve">Sproul, </w:t>
      </w:r>
      <w:r>
        <w:t>B.C.: Schöpfungsmythen der westlichen Welt, München 1994.</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Starlinc,, </w:t>
      </w:r>
      <w:r w:rsidRPr="007D72B3">
        <w:rPr>
          <w:lang w:val="en-US"/>
        </w:rPr>
        <w:t>A. (Hrsg.): Peoplesfile Index, Pasadena CA 1986.</w:t>
      </w:r>
    </w:p>
    <w:p w:rsidR="00BB7EDA" w:rsidRDefault="007D72B3">
      <w:pPr>
        <w:pStyle w:val="Bodytext60"/>
        <w:shd w:val="clear" w:color="auto" w:fill="auto"/>
        <w:spacing w:line="187" w:lineRule="exact"/>
        <w:ind w:left="320" w:hanging="320"/>
        <w:jc w:val="both"/>
      </w:pPr>
      <w:r>
        <w:t>Studiengemeinschaft Wort und Wissen: Schöpfung oder Evolutio</w:t>
      </w:r>
      <w:r>
        <w:t>n? Denkansät</w:t>
      </w:r>
      <w:r>
        <w:softHyphen/>
        <w:t>ze zwischen Glauben und Wissen, Neuhausen-Stuttgart 1996.</w:t>
      </w:r>
    </w:p>
    <w:p w:rsidR="00BB7EDA" w:rsidRDefault="007D72B3">
      <w:pPr>
        <w:pStyle w:val="Bodytext60"/>
        <w:shd w:val="clear" w:color="auto" w:fill="auto"/>
        <w:spacing w:line="187" w:lineRule="exact"/>
        <w:ind w:left="320" w:hanging="320"/>
        <w:jc w:val="both"/>
      </w:pPr>
      <w:r>
        <w:rPr>
          <w:rStyle w:val="Bodytext67ptSmallCaps"/>
        </w:rPr>
        <w:t xml:space="preserve">St. John, </w:t>
      </w:r>
      <w:r>
        <w:t>R.: Die Sprache der Propheten, Die Lebensgeschichte des Elieser Ben- Jehuda, des Schöpfers der neuhebräischen Sprache, Gerlingen 1985.</w:t>
      </w:r>
    </w:p>
    <w:p w:rsidR="00BB7EDA" w:rsidRDefault="007D72B3">
      <w:pPr>
        <w:pStyle w:val="Bodytext60"/>
        <w:shd w:val="clear" w:color="auto" w:fill="auto"/>
        <w:spacing w:line="187" w:lineRule="exact"/>
        <w:ind w:left="320" w:hanging="320"/>
        <w:jc w:val="both"/>
      </w:pPr>
      <w:r w:rsidRPr="007D72B3">
        <w:rPr>
          <w:rStyle w:val="Bodytext67ptSmallCaps"/>
          <w:lang w:val="en-US"/>
        </w:rPr>
        <w:t xml:space="preserve">Sturtevant, E.H./Hahn, </w:t>
      </w:r>
      <w:r w:rsidRPr="007D72B3">
        <w:rPr>
          <w:lang w:val="en-US"/>
        </w:rPr>
        <w:t>E.A.: A Comparati</w:t>
      </w:r>
      <w:r w:rsidRPr="007D72B3">
        <w:rPr>
          <w:lang w:val="en-US"/>
        </w:rPr>
        <w:t xml:space="preserve">ve Grammar of the Hittite Langua- ge, Revised Edition, Bd. </w:t>
      </w:r>
      <w:r>
        <w:t>I, New Haven 1951.</w:t>
      </w:r>
    </w:p>
    <w:p w:rsidR="00BB7EDA" w:rsidRDefault="007D72B3">
      <w:pPr>
        <w:pStyle w:val="Bodytext60"/>
        <w:shd w:val="clear" w:color="auto" w:fill="auto"/>
        <w:spacing w:line="187" w:lineRule="exact"/>
        <w:ind w:left="320" w:hanging="320"/>
        <w:jc w:val="both"/>
      </w:pPr>
      <w:r>
        <w:rPr>
          <w:rStyle w:val="Bodytext67ptSmallCaps"/>
        </w:rPr>
        <w:t xml:space="preserve">Stutz, </w:t>
      </w:r>
      <w:r>
        <w:t>H.: Die Millionen fehlen, Argumente für eine junge Erde, Berneck 1996.</w:t>
      </w:r>
    </w:p>
    <w:p w:rsidR="00BB7EDA" w:rsidRPr="007D72B3" w:rsidRDefault="007D72B3">
      <w:pPr>
        <w:pStyle w:val="Bodytext60"/>
        <w:shd w:val="clear" w:color="auto" w:fill="auto"/>
        <w:spacing w:line="187" w:lineRule="exact"/>
        <w:ind w:left="320" w:hanging="320"/>
        <w:jc w:val="both"/>
        <w:rPr>
          <w:lang w:val="en-US"/>
        </w:rPr>
      </w:pPr>
      <w:r w:rsidRPr="007D72B3">
        <w:rPr>
          <w:lang w:val="en-US"/>
        </w:rPr>
        <w:t>The British and Foreign Bible Societies: The Gospel in many Tongues, Specimens of 872 languages in w</w:t>
      </w:r>
      <w:r w:rsidRPr="007D72B3">
        <w:rPr>
          <w:lang w:val="en-US"/>
        </w:rPr>
        <w:t>hich The British and Foreign Bible Society has pu- blished or circulated some portion of the Bible, London 1965.</w:t>
      </w:r>
    </w:p>
    <w:p w:rsidR="00BB7EDA" w:rsidRPr="007D72B3" w:rsidRDefault="007D72B3">
      <w:pPr>
        <w:pStyle w:val="Bodytext60"/>
        <w:shd w:val="clear" w:color="auto" w:fill="auto"/>
        <w:spacing w:line="187" w:lineRule="exact"/>
        <w:ind w:left="320" w:hanging="320"/>
        <w:jc w:val="both"/>
        <w:rPr>
          <w:lang w:val="en-US"/>
        </w:rPr>
      </w:pPr>
      <w:r w:rsidRPr="007D72B3">
        <w:rPr>
          <w:lang w:val="en-US"/>
        </w:rPr>
        <w:t>The Greek New Testament, United Bible Societies, Fourth Revised Edition 1993.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Thiele, </w:t>
      </w:r>
      <w:r w:rsidRPr="007D72B3">
        <w:rPr>
          <w:lang w:val="en-US"/>
        </w:rPr>
        <w:t>E.R.: The Mysterious Numbers of the Hebrew Kings, Grand R</w:t>
      </w:r>
      <w:r w:rsidRPr="007D72B3">
        <w:rPr>
          <w:lang w:val="en-US"/>
        </w:rPr>
        <w:t>apids, Michigan, 1994.</w:t>
      </w:r>
    </w:p>
    <w:p w:rsidR="00BB7EDA" w:rsidRDefault="007D72B3">
      <w:pPr>
        <w:pStyle w:val="Bodytext60"/>
        <w:shd w:val="clear" w:color="auto" w:fill="auto"/>
        <w:spacing w:line="187" w:lineRule="exact"/>
        <w:ind w:left="320" w:hanging="320"/>
        <w:jc w:val="both"/>
      </w:pPr>
      <w:r>
        <w:rPr>
          <w:rStyle w:val="Bodytext67ptSmallCaps"/>
        </w:rPr>
        <w:t xml:space="preserve">Tirkel, </w:t>
      </w:r>
      <w:r>
        <w:t>E.: Hebräisch leicht gemacht, 'ivrith beqalluth, Tel-Aviv 1989.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Träger, </w:t>
      </w:r>
      <w:r w:rsidRPr="007D72B3">
        <w:rPr>
          <w:lang w:val="en-US"/>
        </w:rPr>
        <w:t xml:space="preserve">G.L.: Languages </w:t>
      </w:r>
      <w:r w:rsidRPr="007D72B3">
        <w:rPr>
          <w:rStyle w:val="Bodytext67pt"/>
          <w:lang w:val="en-US"/>
        </w:rPr>
        <w:t xml:space="preserve">of </w:t>
      </w:r>
      <w:r w:rsidRPr="007D72B3">
        <w:rPr>
          <w:lang w:val="en-US"/>
        </w:rPr>
        <w:t>the World, in: Collier's Dictionary, New York, Toronto, Sydney 1994, Bd. 14, S. 307-313.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Trench, </w:t>
      </w:r>
      <w:r w:rsidRPr="007D72B3">
        <w:rPr>
          <w:lang w:val="en-US"/>
        </w:rPr>
        <w:t>R.Ch.: Synonyms of the New Testament,</w:t>
      </w:r>
      <w:r w:rsidRPr="007D72B3">
        <w:rPr>
          <w:lang w:val="en-US"/>
        </w:rPr>
        <w:t xml:space="preserve"> Numerically coded to Strong's Exhaustive Concordance and edited by Robert G. </w:t>
      </w:r>
      <w:r w:rsidRPr="007D72B3">
        <w:rPr>
          <w:rStyle w:val="Bodytext67ptSmallCaps"/>
          <w:lang w:val="en-US"/>
        </w:rPr>
        <w:t xml:space="preserve">Hoerber, </w:t>
      </w:r>
      <w:r w:rsidRPr="007D72B3">
        <w:rPr>
          <w:lang w:val="en-US"/>
        </w:rPr>
        <w:t>Grand Rapids, Michigan 1989.</w:t>
      </w:r>
    </w:p>
    <w:p w:rsidR="00BB7EDA" w:rsidRDefault="007D72B3">
      <w:pPr>
        <w:pStyle w:val="Bodytext60"/>
        <w:shd w:val="clear" w:color="auto" w:fill="auto"/>
        <w:spacing w:line="187" w:lineRule="exact"/>
        <w:ind w:left="320" w:hanging="320"/>
        <w:jc w:val="both"/>
      </w:pPr>
      <w:r w:rsidRPr="007D72B3">
        <w:rPr>
          <w:rStyle w:val="Bodytext67ptSmallCaps"/>
          <w:lang w:val="en-US"/>
        </w:rPr>
        <w:t xml:space="preserve">Truax, </w:t>
      </w:r>
      <w:r w:rsidRPr="007D72B3">
        <w:rPr>
          <w:lang w:val="en-US"/>
        </w:rPr>
        <w:t>E.A.: Genesis according to the Miao People, Institute for Creation Rese</w:t>
      </w:r>
      <w:r w:rsidRPr="007D72B3">
        <w:rPr>
          <w:lang w:val="en-US"/>
        </w:rPr>
        <w:softHyphen/>
        <w:t xml:space="preserve">arch, </w:t>
      </w:r>
      <w:r w:rsidRPr="007D72B3">
        <w:rPr>
          <w:rStyle w:val="Bodytext675ptItalic"/>
          <w:lang w:val="en-US"/>
        </w:rPr>
        <w:t>Impact</w:t>
      </w:r>
      <w:r w:rsidRPr="007D72B3">
        <w:rPr>
          <w:lang w:val="en-US"/>
        </w:rPr>
        <w:t xml:space="preserve"> No. 214, „Vital Articles on Science/Creation"</w:t>
      </w:r>
      <w:r w:rsidRPr="007D72B3">
        <w:rPr>
          <w:lang w:val="en-US"/>
        </w:rPr>
        <w:t xml:space="preserve">, April 1991. </w:t>
      </w:r>
      <w:r>
        <w:t xml:space="preserve">Herunterzuladen bei: </w:t>
      </w:r>
      <w:hyperlink r:id="rId151" w:history="1">
        <w:r w:rsidRPr="007D72B3">
          <w:rPr>
            <w:rStyle w:val="Hyperlink"/>
            <w:lang w:eastAsia="en-US" w:bidi="en-US"/>
          </w:rPr>
          <w:t>www.icr.org</w:t>
        </w:r>
      </w:hyperlink>
      <w:r w:rsidRPr="007D72B3">
        <w:rPr>
          <w:lang w:eastAsia="en-US" w:bidi="en-US"/>
        </w:rPr>
        <w:t>.</w:t>
      </w:r>
    </w:p>
    <w:p w:rsidR="00BB7EDA" w:rsidRDefault="007D72B3">
      <w:pPr>
        <w:pStyle w:val="Bodytext60"/>
        <w:shd w:val="clear" w:color="auto" w:fill="auto"/>
        <w:spacing w:line="187" w:lineRule="exact"/>
        <w:ind w:left="320" w:hanging="320"/>
        <w:jc w:val="both"/>
      </w:pPr>
      <w:r>
        <w:rPr>
          <w:rStyle w:val="Bodytext67ptSmallCaps"/>
        </w:rPr>
        <w:t xml:space="preserve">Uhlmann, </w:t>
      </w:r>
      <w:r>
        <w:t xml:space="preserve">R.F.: Sprache, in: </w:t>
      </w:r>
      <w:r>
        <w:rPr>
          <w:rStyle w:val="Bodytext67ptSmallCaps"/>
        </w:rPr>
        <w:t xml:space="preserve">Burkhardt, </w:t>
      </w:r>
      <w:r>
        <w:t>H.</w:t>
      </w:r>
      <w:r>
        <w:rPr>
          <w:rStyle w:val="Bodytext67ptSmallCaps"/>
        </w:rPr>
        <w:t xml:space="preserve">/Grünzweig, F./Laubach F./Maier, </w:t>
      </w:r>
      <w:r>
        <w:t>G. (Hrsg.): Das große Bibellexikon, Bd. III, a.a.O., S. 1461-1462.</w:t>
      </w:r>
    </w:p>
    <w:p w:rsidR="00BB7EDA" w:rsidRDefault="007D72B3">
      <w:pPr>
        <w:pStyle w:val="Bodytext60"/>
        <w:shd w:val="clear" w:color="auto" w:fill="auto"/>
        <w:spacing w:line="187" w:lineRule="exact"/>
        <w:ind w:left="320" w:hanging="320"/>
        <w:jc w:val="both"/>
      </w:pPr>
      <w:r>
        <w:rPr>
          <w:rStyle w:val="Bodytext67ptSmallCaps"/>
        </w:rPr>
        <w:t xml:space="preserve">Unger, </w:t>
      </w:r>
      <w:r>
        <w:t xml:space="preserve">M.F.: Ungers großes Bibelhandbuch, bearbeitet </w:t>
      </w:r>
      <w:r>
        <w:rPr>
          <w:rStyle w:val="Bodytext67pt"/>
        </w:rPr>
        <w:t xml:space="preserve">v. </w:t>
      </w:r>
      <w:r>
        <w:t xml:space="preserve">G.N. </w:t>
      </w:r>
      <w:r>
        <w:rPr>
          <w:rStyle w:val="Bodytext67ptSmallCaps"/>
        </w:rPr>
        <w:t xml:space="preserve">Larson, </w:t>
      </w:r>
      <w:r>
        <w:t>Asslar 1987.</w:t>
      </w:r>
    </w:p>
    <w:p w:rsidR="00BB7EDA" w:rsidRDefault="007D72B3">
      <w:pPr>
        <w:pStyle w:val="Bodytext60"/>
        <w:shd w:val="clear" w:color="auto" w:fill="auto"/>
        <w:spacing w:line="187" w:lineRule="exact"/>
        <w:ind w:left="320" w:hanging="320"/>
        <w:jc w:val="both"/>
      </w:pPr>
      <w:r w:rsidRPr="007D72B3">
        <w:rPr>
          <w:rStyle w:val="Bodytext67ptSmallCaps"/>
          <w:lang w:val="en-US"/>
        </w:rPr>
        <w:t xml:space="preserve">Vangemeren, </w:t>
      </w:r>
      <w:r w:rsidRPr="007D72B3">
        <w:rPr>
          <w:lang w:val="en-US"/>
        </w:rPr>
        <w:t xml:space="preserve">W.A.: New International Dictionary of Old Testament Theology &amp; Exegesis, Bde. </w:t>
      </w:r>
      <w:r>
        <w:t>I-V, Carlisle, Cumbria 1997.</w:t>
      </w:r>
    </w:p>
    <w:p w:rsidR="00BB7EDA" w:rsidRDefault="007D72B3">
      <w:pPr>
        <w:pStyle w:val="Bodytext60"/>
        <w:shd w:val="clear" w:color="auto" w:fill="auto"/>
        <w:spacing w:line="187" w:lineRule="exact"/>
        <w:ind w:left="320" w:hanging="320"/>
        <w:jc w:val="both"/>
      </w:pPr>
      <w:r>
        <w:rPr>
          <w:rStyle w:val="Bodytext67ptSmallCaps"/>
        </w:rPr>
        <w:t xml:space="preserve">van der Veen, </w:t>
      </w:r>
      <w:r>
        <w:t>P.</w:t>
      </w:r>
      <w:r>
        <w:rPr>
          <w:rStyle w:val="Bodytext67ptSmallCaps"/>
        </w:rPr>
        <w:t xml:space="preserve">/Zerbst, </w:t>
      </w:r>
      <w:r>
        <w:t>U.: Biblische Archäologie am Scheidew</w:t>
      </w:r>
      <w:r>
        <w:t>eg?, Für und Wider einer Neudatierung archäologischer Epochen im alttestamentlichen Palästina, Studium Integrale, Holzgerlingen 2002.</w:t>
      </w:r>
    </w:p>
    <w:p w:rsidR="00BB7EDA" w:rsidRDefault="007D72B3">
      <w:pPr>
        <w:pStyle w:val="Bodytext60"/>
        <w:shd w:val="clear" w:color="auto" w:fill="auto"/>
        <w:spacing w:line="187" w:lineRule="exact"/>
        <w:ind w:left="320" w:hanging="320"/>
        <w:jc w:val="both"/>
      </w:pPr>
      <w:r>
        <w:rPr>
          <w:rStyle w:val="Bodytext67ptSmallCaps"/>
        </w:rPr>
        <w:t xml:space="preserve">Vetter, </w:t>
      </w:r>
      <w:r>
        <w:t xml:space="preserve">].: Menschliche Sprachfähigkeit und Ohrmuschel zufällig entstanden? </w:t>
      </w:r>
      <w:r>
        <w:rPr>
          <w:rStyle w:val="Bodytext675ptItalic"/>
        </w:rPr>
        <w:t>factum,</w:t>
      </w:r>
      <w:r>
        <w:t xml:space="preserve"> Oktober 1988, S. 436-444.</w:t>
      </w:r>
    </w:p>
    <w:p w:rsidR="00BB7EDA" w:rsidRDefault="007D72B3">
      <w:pPr>
        <w:pStyle w:val="Bodytext60"/>
        <w:shd w:val="clear" w:color="auto" w:fill="auto"/>
        <w:spacing w:line="187" w:lineRule="exact"/>
        <w:ind w:left="320" w:hanging="320"/>
        <w:jc w:val="both"/>
      </w:pPr>
      <w:r>
        <w:rPr>
          <w:rStyle w:val="Bodytext67ptSmallCaps"/>
        </w:rPr>
        <w:t xml:space="preserve">Vilmar, </w:t>
      </w:r>
      <w:r>
        <w:t>A.F.</w:t>
      </w:r>
      <w:r>
        <w:t xml:space="preserve">C.: Collegium Biblicum, Praktische Erklärung der heiligen Schrift Alten und Neuen Testaments, Aus dem handschriftlichen Nachlass der akademischen Vorlesungen von Dr. Aug. Friedr. Chr. </w:t>
      </w:r>
      <w:r>
        <w:rPr>
          <w:rStyle w:val="Bodytext67ptSmallCaps"/>
        </w:rPr>
        <w:t xml:space="preserve">Vilmar, </w:t>
      </w:r>
      <w:r>
        <w:t>weil. ord. Prof, der Theologie zu Marburg in Hessen, Herausgegeb</w:t>
      </w:r>
      <w:r>
        <w:t xml:space="preserve">en von Christian </w:t>
      </w:r>
      <w:r>
        <w:rPr>
          <w:rStyle w:val="Bodytext67ptSmallCaps"/>
        </w:rPr>
        <w:t xml:space="preserve">Müller, </w:t>
      </w:r>
      <w:r>
        <w:t>Pfarrer zu Fürstenau, Erster Teil: Einleitung, Der Pentateuch oder die fünf Bücher Mose, Neue Ausgabe, Gütersloh 1891.</w:t>
      </w:r>
    </w:p>
    <w:p w:rsidR="00BB7EDA" w:rsidRDefault="007D72B3">
      <w:pPr>
        <w:pStyle w:val="Bodytext60"/>
        <w:shd w:val="clear" w:color="auto" w:fill="auto"/>
        <w:spacing w:line="187" w:lineRule="exact"/>
        <w:ind w:left="320" w:hanging="320"/>
        <w:jc w:val="both"/>
      </w:pPr>
      <w:r>
        <w:rPr>
          <w:rStyle w:val="Bodytext665ptSmallCaps"/>
        </w:rPr>
        <w:t xml:space="preserve">von </w:t>
      </w:r>
      <w:r>
        <w:rPr>
          <w:rStyle w:val="Bodytext67ptSmallCaps"/>
        </w:rPr>
        <w:t xml:space="preserve">SilBEnthal, </w:t>
      </w:r>
      <w:r>
        <w:t>H.: „So tötet nun eure Glieder, die auf der Erde sind: Hurerei...", Das altgriechische Verbalsys</w:t>
      </w:r>
      <w:r>
        <w:t xml:space="preserve">tem und drei Befehlsformen in Kol 3, in: </w:t>
      </w:r>
      <w:r>
        <w:rPr>
          <w:rStyle w:val="Bodytext675ptItalic"/>
        </w:rPr>
        <w:t>Funda- mentum</w:t>
      </w:r>
      <w:r>
        <w:t xml:space="preserve"> 4/82, S. 92-104.</w:t>
      </w:r>
    </w:p>
    <w:p w:rsidR="00BB7EDA" w:rsidRDefault="007D72B3">
      <w:pPr>
        <w:pStyle w:val="Bodytext60"/>
        <w:shd w:val="clear" w:color="auto" w:fill="auto"/>
        <w:spacing w:line="187" w:lineRule="exact"/>
        <w:ind w:left="320" w:hanging="320"/>
        <w:jc w:val="both"/>
      </w:pPr>
      <w:r>
        <w:rPr>
          <w:rStyle w:val="Bodytext67ptSmallCaps"/>
        </w:rPr>
        <w:t xml:space="preserve">von Siebenthal, </w:t>
      </w:r>
      <w:r>
        <w:t>H.: Die Mehrdeutigkeit sprachlicher Ausdrücke und Textinter</w:t>
      </w:r>
      <w:r>
        <w:softHyphen/>
        <w:t xml:space="preserve">pretation, </w:t>
      </w:r>
      <w:r>
        <w:rPr>
          <w:rStyle w:val="Bodytext675ptItalic"/>
        </w:rPr>
        <w:t>Fundamentum</w:t>
      </w:r>
      <w:r>
        <w:t xml:space="preserve"> 1/1984, S. 204-227.</w:t>
      </w:r>
    </w:p>
    <w:p w:rsidR="00BB7EDA" w:rsidRDefault="007D72B3">
      <w:pPr>
        <w:pStyle w:val="Bodytext60"/>
        <w:shd w:val="clear" w:color="auto" w:fill="auto"/>
        <w:spacing w:line="187" w:lineRule="exact"/>
        <w:ind w:left="320" w:hanging="320"/>
        <w:jc w:val="both"/>
      </w:pPr>
      <w:r>
        <w:rPr>
          <w:rStyle w:val="Bodytext67ptSmallCaps"/>
        </w:rPr>
        <w:t xml:space="preserve">von Siebenthal, </w:t>
      </w:r>
      <w:r>
        <w:t>H.: Kleine Einführung ins Akkadische, (unveröffen</w:t>
      </w:r>
      <w:r>
        <w:t>tlichtes Vor- lesungs- Script) 1984.</w:t>
      </w:r>
    </w:p>
    <w:p w:rsidR="00BB7EDA" w:rsidRDefault="007D72B3">
      <w:pPr>
        <w:pStyle w:val="Bodytext60"/>
        <w:shd w:val="clear" w:color="auto" w:fill="auto"/>
        <w:spacing w:line="187" w:lineRule="exact"/>
        <w:ind w:left="320" w:hanging="320"/>
        <w:jc w:val="both"/>
      </w:pPr>
      <w:r>
        <w:rPr>
          <w:rStyle w:val="Bodytext67ptSmallCaps"/>
        </w:rPr>
        <w:t xml:space="preserve">von Soden, </w:t>
      </w:r>
      <w:r>
        <w:t>W.: Grundriss der akkadischen Grammatik, Analecta Orientalia, 2. unveränderte Auflage, samt Ergänzungsheft zum Grundriss der akkadi</w:t>
      </w:r>
      <w:r>
        <w:softHyphen/>
        <w:t>schen Grammatik, Analecta Orientalia 47, Roma 1969.</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Wald, </w:t>
      </w:r>
      <w:r w:rsidRPr="007D72B3">
        <w:rPr>
          <w:lang w:val="en-US"/>
        </w:rPr>
        <w:t>B.: Swahili and th</w:t>
      </w:r>
      <w:r w:rsidRPr="007D72B3">
        <w:rPr>
          <w:lang w:val="en-US"/>
        </w:rPr>
        <w:t xml:space="preserve">e Bantu Languages, in: </w:t>
      </w:r>
      <w:r w:rsidRPr="007D72B3">
        <w:rPr>
          <w:rStyle w:val="Bodytext67ptSmallCaps"/>
          <w:lang w:val="en-US"/>
        </w:rPr>
        <w:t xml:space="preserve">Comrie: </w:t>
      </w:r>
      <w:r w:rsidRPr="007D72B3">
        <w:rPr>
          <w:lang w:val="en-US"/>
        </w:rPr>
        <w:t>The World's Major Languages, a.a.O., S. 991-1014.</w:t>
      </w:r>
    </w:p>
    <w:p w:rsidR="00BB7EDA" w:rsidRDefault="007D72B3">
      <w:pPr>
        <w:pStyle w:val="Bodytext60"/>
        <w:shd w:val="clear" w:color="auto" w:fill="auto"/>
        <w:spacing w:line="187" w:lineRule="exact"/>
        <w:ind w:left="320" w:hanging="320"/>
        <w:jc w:val="both"/>
      </w:pPr>
      <w:r>
        <w:rPr>
          <w:rStyle w:val="Bodytext67ptSmallCaps"/>
        </w:rPr>
        <w:t xml:space="preserve">Wallis, E.E./Bennett, </w:t>
      </w:r>
      <w:r>
        <w:t xml:space="preserve">M.A.: Noch </w:t>
      </w:r>
      <w:r>
        <w:rPr>
          <w:rStyle w:val="Bodytext67pt"/>
        </w:rPr>
        <w:t xml:space="preserve">2000 </w:t>
      </w:r>
      <w:r>
        <w:t>Sprachen, Geschichte einer modernen Pioniermission, Wuppertal 1972.</w:t>
      </w:r>
    </w:p>
    <w:p w:rsidR="00BB7EDA" w:rsidRDefault="007D72B3">
      <w:pPr>
        <w:pStyle w:val="Bodytext60"/>
        <w:shd w:val="clear" w:color="auto" w:fill="auto"/>
        <w:spacing w:line="187" w:lineRule="exact"/>
        <w:ind w:left="320" w:hanging="320"/>
        <w:jc w:val="both"/>
      </w:pPr>
      <w:r>
        <w:rPr>
          <w:rStyle w:val="Bodytext67ptSmallCaps"/>
        </w:rPr>
        <w:t xml:space="preserve">Walter, </w:t>
      </w:r>
      <w:r>
        <w:t xml:space="preserve">N.: 6000 Sprachen - und nur eine Grammatik? in: </w:t>
      </w:r>
      <w:r>
        <w:rPr>
          <w:rStyle w:val="Bodytext675ptItalic"/>
        </w:rPr>
        <w:t>Tages-Anzeige</w:t>
      </w:r>
      <w:r>
        <w:rPr>
          <w:rStyle w:val="Bodytext675ptItalic"/>
        </w:rPr>
        <w:t>r,</w:t>
      </w:r>
      <w:r>
        <w:t xml:space="preserve"> 30.</w:t>
      </w:r>
    </w:p>
    <w:p w:rsidR="00BB7EDA" w:rsidRPr="007D72B3" w:rsidRDefault="007D72B3">
      <w:pPr>
        <w:pStyle w:val="Bodytext60"/>
        <w:shd w:val="clear" w:color="auto" w:fill="auto"/>
        <w:spacing w:line="187" w:lineRule="exact"/>
        <w:ind w:left="320"/>
        <w:rPr>
          <w:lang w:val="en-US"/>
        </w:rPr>
      </w:pPr>
      <w:r w:rsidRPr="007D72B3">
        <w:rPr>
          <w:lang w:val="en-US"/>
        </w:rPr>
        <w:t>Juni 1995, S. 90.</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Walvoord, J.F./Zuck, </w:t>
      </w:r>
      <w:r w:rsidRPr="007D72B3">
        <w:rPr>
          <w:lang w:val="en-US"/>
        </w:rPr>
        <w:t>R.B.(Hrsg-): The Bible Knowledge Commentary, CD- ROM, NavPress Software 1987-1998.</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Wells, </w:t>
      </w:r>
      <w:r w:rsidRPr="007D72B3">
        <w:rPr>
          <w:lang w:val="en-US"/>
        </w:rPr>
        <w:t>P.: Dieu a parle, La Bible, semence de vie dans le coeur laboure, Preface d'Henri Blocher, Quebec 1997.</w:t>
      </w:r>
    </w:p>
    <w:p w:rsidR="00BB7EDA" w:rsidRDefault="007D72B3">
      <w:pPr>
        <w:pStyle w:val="Bodytext60"/>
        <w:shd w:val="clear" w:color="auto" w:fill="auto"/>
        <w:spacing w:line="187" w:lineRule="exact"/>
        <w:ind w:left="320" w:hanging="320"/>
        <w:jc w:val="both"/>
      </w:pPr>
      <w:r>
        <w:rPr>
          <w:rStyle w:val="Bodytext67ptSmallCaps"/>
        </w:rPr>
        <w:t xml:space="preserve">Westermann, </w:t>
      </w:r>
      <w:r>
        <w:t xml:space="preserve">C: Genesis, I. Teilband Genesis 1-11, Biblischer Kommentar, Altes Testament, Begründet von Martin </w:t>
      </w:r>
      <w:r>
        <w:rPr>
          <w:rStyle w:val="Bodytext67ptSmallCaps"/>
        </w:rPr>
        <w:t xml:space="preserve">Noth, </w:t>
      </w:r>
      <w:r>
        <w:t>Herausgegeben von Sieg</w:t>
      </w:r>
      <w:r>
        <w:softHyphen/>
        <w:t xml:space="preserve">fried </w:t>
      </w:r>
      <w:r>
        <w:rPr>
          <w:rStyle w:val="Bodytext67ptSmallCaps"/>
        </w:rPr>
        <w:t xml:space="preserve">Hermann </w:t>
      </w:r>
      <w:r>
        <w:t xml:space="preserve">und Hans Walter </w:t>
      </w:r>
      <w:r>
        <w:rPr>
          <w:rStyle w:val="Bodytext67ptSmallCaps"/>
        </w:rPr>
        <w:t xml:space="preserve">Wolff, </w:t>
      </w:r>
      <w:r>
        <w:t>Band 1/1, Genesis, Neukirchen- Vluyn 1975.</w:t>
      </w:r>
    </w:p>
    <w:p w:rsidR="00BB7EDA" w:rsidRDefault="007D72B3">
      <w:pPr>
        <w:pStyle w:val="Bodytext60"/>
        <w:shd w:val="clear" w:color="auto" w:fill="auto"/>
        <w:spacing w:line="187" w:lineRule="exact"/>
        <w:ind w:left="320" w:hanging="320"/>
        <w:jc w:val="both"/>
      </w:pPr>
      <w:r>
        <w:rPr>
          <w:rStyle w:val="Bodytext67ptSmallCaps"/>
        </w:rPr>
        <w:t xml:space="preserve">Whitcomb, </w:t>
      </w:r>
      <w:r>
        <w:t>C.</w:t>
      </w:r>
      <w:r>
        <w:rPr>
          <w:rStyle w:val="Bodytext67ptSmallCaps"/>
        </w:rPr>
        <w:t xml:space="preserve">/Morris, </w:t>
      </w:r>
      <w:r>
        <w:t>H.: Die Sintflut, Der Berich</w:t>
      </w:r>
      <w:r>
        <w:t>t der Bibel und seine wissen</w:t>
      </w:r>
      <w:r>
        <w:softHyphen/>
        <w:t>schaftlichen Folgen, Neuhausen-Stuttgart 1977.</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Whitney, </w:t>
      </w:r>
      <w:r w:rsidRPr="007D72B3">
        <w:rPr>
          <w:lang w:val="en-US"/>
        </w:rPr>
        <w:t>D.W.: A Sanskrit Grammar, Including both the Classical Language, and the Older Dialects, Of Veda and Brahmana, Second (Revised and Extended) Edition, Leipzig, London 1889.</w:t>
      </w:r>
    </w:p>
    <w:p w:rsidR="00BB7EDA" w:rsidRDefault="007D72B3">
      <w:pPr>
        <w:pStyle w:val="Bodytext60"/>
        <w:shd w:val="clear" w:color="auto" w:fill="auto"/>
        <w:spacing w:line="187" w:lineRule="exact"/>
        <w:ind w:left="320" w:hanging="320"/>
        <w:jc w:val="both"/>
      </w:pPr>
      <w:r>
        <w:rPr>
          <w:rStyle w:val="Bodytext67ptSmallCaps"/>
        </w:rPr>
        <w:t xml:space="preserve">Wilder Smith, </w:t>
      </w:r>
      <w:r>
        <w:t>A.E.: Herkunft und Zukunft des Menschen, Neuhausen-Stuttgart 1972.</w:t>
      </w:r>
    </w:p>
    <w:p w:rsidR="00BB7EDA" w:rsidRDefault="007D72B3">
      <w:pPr>
        <w:pStyle w:val="Bodytext60"/>
        <w:shd w:val="clear" w:color="auto" w:fill="auto"/>
        <w:spacing w:line="187" w:lineRule="exact"/>
        <w:ind w:left="320" w:hanging="320"/>
        <w:jc w:val="both"/>
      </w:pPr>
      <w:r>
        <w:rPr>
          <w:rStyle w:val="Bodytext67ptSmallCaps"/>
        </w:rPr>
        <w:t xml:space="preserve">Wilder Smith, </w:t>
      </w:r>
      <w:r>
        <w:t>A.E.: Der Mensch - ein sprechender Computer? Neuhausen- Stuttgart 1982.</w:t>
      </w:r>
    </w:p>
    <w:p w:rsidR="00BB7EDA" w:rsidRDefault="007D72B3">
      <w:pPr>
        <w:pStyle w:val="Bodytext60"/>
        <w:shd w:val="clear" w:color="auto" w:fill="auto"/>
        <w:spacing w:line="187" w:lineRule="exact"/>
        <w:ind w:left="320" w:hanging="320"/>
        <w:jc w:val="both"/>
      </w:pPr>
      <w:r>
        <w:rPr>
          <w:rStyle w:val="Bodytext67ptSmallCaps"/>
        </w:rPr>
        <w:t xml:space="preserve">Wilder </w:t>
      </w:r>
      <w:r>
        <w:rPr>
          <w:rStyle w:val="Bodytext6SmallCaps"/>
        </w:rPr>
        <w:t>Smith,</w:t>
      </w:r>
      <w:r>
        <w:t xml:space="preserve"> A.E.: Prions und das DNA-Molekül,/actum, Januar 1986, S. 42-45.</w:t>
      </w:r>
    </w:p>
    <w:p w:rsidR="00BB7EDA" w:rsidRDefault="007D72B3">
      <w:pPr>
        <w:pStyle w:val="Bodytext60"/>
        <w:shd w:val="clear" w:color="auto" w:fill="auto"/>
        <w:spacing w:line="187" w:lineRule="exact"/>
        <w:ind w:left="320" w:hanging="320"/>
        <w:jc w:val="both"/>
      </w:pPr>
      <w:r>
        <w:rPr>
          <w:rStyle w:val="Bodytext67ptSmallCaps"/>
        </w:rPr>
        <w:t>Wiesemann,</w:t>
      </w:r>
      <w:r>
        <w:rPr>
          <w:rStyle w:val="Bodytext67ptSmallCaps"/>
        </w:rPr>
        <w:t xml:space="preserve"> </w:t>
      </w:r>
      <w:r>
        <w:t>U.: Seminar für Sprachmethodik, Phonologie, Ein wissenschaftli</w:t>
      </w:r>
      <w:r>
        <w:softHyphen/>
        <w:t>ches Lehrbuch, Bd. A 1, 2. korrigierte Auflage, Bonn 2000.</w:t>
      </w:r>
    </w:p>
    <w:p w:rsidR="00BB7EDA" w:rsidRDefault="007D72B3">
      <w:pPr>
        <w:pStyle w:val="Bodytext60"/>
        <w:shd w:val="clear" w:color="auto" w:fill="auto"/>
        <w:spacing w:line="187" w:lineRule="exact"/>
        <w:ind w:left="320" w:hanging="320"/>
        <w:jc w:val="both"/>
      </w:pPr>
      <w:r>
        <w:rPr>
          <w:rStyle w:val="Bodytext67ptSmallCaps"/>
        </w:rPr>
        <w:t xml:space="preserve">Wiseman, </w:t>
      </w:r>
      <w:r>
        <w:t xml:space="preserve">D.J.: Babel, </w:t>
      </w:r>
      <w:r>
        <w:rPr>
          <w:rStyle w:val="Bodytext67pt"/>
        </w:rPr>
        <w:t xml:space="preserve">in: </w:t>
      </w:r>
      <w:r>
        <w:rPr>
          <w:rStyle w:val="Bodytext67ptSmallCaps"/>
        </w:rPr>
        <w:t xml:space="preserve">Burkhardt, </w:t>
      </w:r>
      <w:r>
        <w:t>H.</w:t>
      </w:r>
      <w:r>
        <w:rPr>
          <w:rStyle w:val="Bodytext67ptSmallCaps"/>
        </w:rPr>
        <w:t xml:space="preserve">/Grünzweig, F./Laubach F./Maier G. </w:t>
      </w:r>
      <w:r>
        <w:t>(Hrsg.): Das große Bibellexikon, Bd. I, a.a.O., S. 147-150.</w:t>
      </w:r>
    </w:p>
    <w:p w:rsidR="00BB7EDA" w:rsidRPr="007D72B3" w:rsidRDefault="007D72B3">
      <w:pPr>
        <w:pStyle w:val="Bodytext60"/>
        <w:shd w:val="clear" w:color="auto" w:fill="auto"/>
        <w:spacing w:line="187" w:lineRule="exact"/>
        <w:ind w:left="320" w:hanging="320"/>
        <w:jc w:val="both"/>
        <w:rPr>
          <w:lang w:val="en-US"/>
        </w:rPr>
      </w:pPr>
      <w:r>
        <w:rPr>
          <w:rStyle w:val="Bodytext67ptSmallCaps"/>
        </w:rPr>
        <w:t xml:space="preserve">Wiseman, </w:t>
      </w:r>
      <w:r>
        <w:t xml:space="preserve">D.J.: Babylon, </w:t>
      </w:r>
      <w:r>
        <w:rPr>
          <w:rStyle w:val="Bodytext67pt"/>
        </w:rPr>
        <w:t xml:space="preserve">in: </w:t>
      </w:r>
      <w:r>
        <w:rPr>
          <w:rStyle w:val="Bodytext67ptSmallCaps"/>
        </w:rPr>
        <w:t xml:space="preserve">Burkhardt, </w:t>
      </w:r>
      <w:r>
        <w:t>H.</w:t>
      </w:r>
      <w:r>
        <w:rPr>
          <w:rStyle w:val="Bodytext67ptSmallCaps"/>
        </w:rPr>
        <w:t xml:space="preserve">/Grünzweig, F./Laubach F./Maier G. </w:t>
      </w:r>
      <w:r>
        <w:t xml:space="preserve">(Hrsg.): Das große Bibellexikon, Bd. </w:t>
      </w:r>
      <w:r w:rsidRPr="007D72B3">
        <w:rPr>
          <w:lang w:val="en-US"/>
        </w:rPr>
        <w:t>I, a.a.O., S. 150-153.</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Wiseman, </w:t>
      </w:r>
      <w:r w:rsidRPr="007D72B3">
        <w:rPr>
          <w:lang w:val="en-US"/>
        </w:rPr>
        <w:t>D.J.: Shinar, Logos Bible Atlas 1.0a, Logos Research System 1994.</w:t>
      </w:r>
    </w:p>
    <w:p w:rsidR="00BB7EDA" w:rsidRDefault="007D72B3">
      <w:pPr>
        <w:pStyle w:val="Bodytext60"/>
        <w:shd w:val="clear" w:color="auto" w:fill="auto"/>
        <w:spacing w:line="187" w:lineRule="exact"/>
        <w:ind w:left="320" w:hanging="320"/>
        <w:jc w:val="both"/>
      </w:pPr>
      <w:r>
        <w:rPr>
          <w:rStyle w:val="Bodytext67ptSmallCaps"/>
        </w:rPr>
        <w:t xml:space="preserve">Wiseman, </w:t>
      </w:r>
      <w:r>
        <w:t xml:space="preserve">P.J.: Die Entstehung der Genesis. </w:t>
      </w:r>
      <w:r>
        <w:t>Das erste Buch der Bibel im Licht archäologischer Forschung, Wuppertal, o.J.</w:t>
      </w:r>
    </w:p>
    <w:p w:rsidR="00BB7EDA" w:rsidRDefault="007D72B3">
      <w:pPr>
        <w:pStyle w:val="Bodytext60"/>
        <w:shd w:val="clear" w:color="auto" w:fill="auto"/>
        <w:spacing w:line="187" w:lineRule="exact"/>
        <w:ind w:left="320" w:hanging="320"/>
        <w:jc w:val="both"/>
      </w:pPr>
      <w:r>
        <w:rPr>
          <w:rStyle w:val="Bodytext67ptSmallCaps"/>
        </w:rPr>
        <w:t xml:space="preserve">Wiskin, </w:t>
      </w:r>
      <w:r>
        <w:t>R.: Die Bibel und das Alter der Erde, Neuhausen-Stuttgart 1996.</w:t>
      </w:r>
    </w:p>
    <w:p w:rsidR="00BB7EDA" w:rsidRPr="007D72B3" w:rsidRDefault="007D72B3">
      <w:pPr>
        <w:pStyle w:val="Bodytext60"/>
        <w:shd w:val="clear" w:color="auto" w:fill="auto"/>
        <w:spacing w:line="187" w:lineRule="exact"/>
        <w:ind w:left="320" w:hanging="320"/>
        <w:jc w:val="both"/>
        <w:rPr>
          <w:lang w:val="en-US"/>
        </w:rPr>
      </w:pPr>
      <w:r w:rsidRPr="007D72B3">
        <w:rPr>
          <w:rStyle w:val="Bodytext67ptSmallCaps"/>
          <w:lang w:val="en-US"/>
        </w:rPr>
        <w:t xml:space="preserve">Watson, </w:t>
      </w:r>
      <w:r w:rsidRPr="007D72B3">
        <w:rPr>
          <w:lang w:val="en-US"/>
        </w:rPr>
        <w:t>W.G.E.: Classical Hebrew Poetry, A Guide to its Techniques, Reprint with Corrections, Sheffield 199</w:t>
      </w:r>
      <w:r w:rsidRPr="007D72B3">
        <w:rPr>
          <w:lang w:val="en-US"/>
        </w:rPr>
        <w:t>5.</w:t>
      </w:r>
    </w:p>
    <w:p w:rsidR="00BB7EDA" w:rsidRDefault="007D72B3">
      <w:pPr>
        <w:pStyle w:val="Bodytext60"/>
        <w:shd w:val="clear" w:color="auto" w:fill="auto"/>
        <w:spacing w:line="187" w:lineRule="exact"/>
        <w:ind w:left="320" w:hanging="320"/>
        <w:jc w:val="both"/>
        <w:sectPr w:rsidR="00BB7EDA">
          <w:pgSz w:w="7266" w:h="11422"/>
          <w:pgMar w:top="774" w:right="789" w:bottom="1138" w:left="808" w:header="0" w:footer="3" w:gutter="0"/>
          <w:cols w:space="720"/>
          <w:noEndnote/>
          <w:docGrid w:linePitch="360"/>
        </w:sectPr>
      </w:pPr>
      <w:r>
        <w:rPr>
          <w:rStyle w:val="Bodytext67ptSmallCaps"/>
        </w:rPr>
        <w:t xml:space="preserve">Zimmer, </w:t>
      </w:r>
      <w:r>
        <w:t>D.E.: So kommt der Mensch zur Sprache, Über Spracherwerb, Sprach- entstehung und Sprache &amp; Denken, München 1986.</w:t>
      </w:r>
    </w:p>
    <w:p w:rsidR="00BB7EDA" w:rsidRDefault="007D72B3">
      <w:pPr>
        <w:pStyle w:val="Heading30"/>
        <w:keepNext/>
        <w:keepLines/>
        <w:shd w:val="clear" w:color="auto" w:fill="auto"/>
        <w:spacing w:after="265" w:line="260" w:lineRule="exact"/>
        <w:jc w:val="left"/>
      </w:pPr>
      <w:bookmarkStart w:id="167" w:name="bookmark166"/>
      <w:r>
        <w:t>Glossar</w:t>
      </w:r>
      <w:bookmarkEnd w:id="167"/>
    </w:p>
    <w:p w:rsidR="00BB7EDA" w:rsidRDefault="007D72B3">
      <w:pPr>
        <w:pStyle w:val="Bodytext20"/>
        <w:shd w:val="clear" w:color="auto" w:fill="auto"/>
        <w:spacing w:before="0" w:line="216" w:lineRule="exact"/>
        <w:jc w:val="left"/>
      </w:pPr>
      <w:r>
        <w:rPr>
          <w:rStyle w:val="Bodytext2Italic0"/>
        </w:rPr>
        <w:t>Ablativ:</w:t>
      </w:r>
      <w:r>
        <w:t xml:space="preserve"> Von-, Mit- und Durchfall</w:t>
      </w:r>
    </w:p>
    <w:p w:rsidR="00BB7EDA" w:rsidRDefault="007D72B3">
      <w:pPr>
        <w:pStyle w:val="Bodytext20"/>
        <w:shd w:val="clear" w:color="auto" w:fill="auto"/>
        <w:spacing w:before="0" w:line="216" w:lineRule="exact"/>
        <w:jc w:val="left"/>
      </w:pPr>
      <w:r>
        <w:rPr>
          <w:rStyle w:val="Bodytext2Italic0"/>
        </w:rPr>
        <w:t>Ablativ-Instrumental:</w:t>
      </w:r>
      <w:r>
        <w:t xml:space="preserve"> (im Sumerischen) Von- und Mitfall</w:t>
      </w:r>
    </w:p>
    <w:p w:rsidR="00BB7EDA" w:rsidRDefault="007D72B3">
      <w:pPr>
        <w:pStyle w:val="Bodytext20"/>
        <w:shd w:val="clear" w:color="auto" w:fill="auto"/>
        <w:spacing w:before="0" w:line="216" w:lineRule="exact"/>
        <w:jc w:val="left"/>
      </w:pPr>
      <w:r>
        <w:rPr>
          <w:rStyle w:val="Bodytext2Italic0"/>
        </w:rPr>
        <w:t>Adhortativ:</w:t>
      </w:r>
      <w:r>
        <w:t xml:space="preserve"> E</w:t>
      </w:r>
      <w:r>
        <w:t>rmahnungsform</w:t>
      </w:r>
    </w:p>
    <w:p w:rsidR="00BB7EDA" w:rsidRDefault="007D72B3">
      <w:pPr>
        <w:pStyle w:val="Bodytext20"/>
        <w:shd w:val="clear" w:color="auto" w:fill="auto"/>
        <w:spacing w:before="0" w:line="216" w:lineRule="exact"/>
        <w:jc w:val="left"/>
      </w:pPr>
      <w:r>
        <w:rPr>
          <w:rStyle w:val="Bodytext2Italic0"/>
        </w:rPr>
        <w:t>Affix:</w:t>
      </w:r>
      <w:r>
        <w:t xml:space="preserve"> hinten an ein Wort angehängtes Morphem</w:t>
      </w:r>
    </w:p>
    <w:p w:rsidR="00BB7EDA" w:rsidRDefault="007D72B3">
      <w:pPr>
        <w:pStyle w:val="Bodytext20"/>
        <w:shd w:val="clear" w:color="auto" w:fill="auto"/>
        <w:spacing w:before="0" w:line="216" w:lineRule="exact"/>
        <w:jc w:val="left"/>
      </w:pPr>
      <w:r>
        <w:rPr>
          <w:rStyle w:val="Bodytext2Italic0"/>
        </w:rPr>
        <w:t>Agentiv:</w:t>
      </w:r>
      <w:r>
        <w:t xml:space="preserve"> Handlungsfall</w:t>
      </w:r>
    </w:p>
    <w:p w:rsidR="00BB7EDA" w:rsidRDefault="007D72B3">
      <w:pPr>
        <w:pStyle w:val="Bodytext80"/>
        <w:shd w:val="clear" w:color="auto" w:fill="auto"/>
        <w:spacing w:line="216" w:lineRule="exact"/>
        <w:jc w:val="left"/>
      </w:pPr>
      <w:r>
        <w:t>Akkusativ:</w:t>
      </w:r>
      <w:r>
        <w:rPr>
          <w:rStyle w:val="Bodytext8NotItalic"/>
        </w:rPr>
        <w:t xml:space="preserve"> Wenfall</w:t>
      </w:r>
    </w:p>
    <w:p w:rsidR="00BB7EDA" w:rsidRDefault="007D72B3">
      <w:pPr>
        <w:pStyle w:val="Bodytext20"/>
        <w:shd w:val="clear" w:color="auto" w:fill="auto"/>
        <w:spacing w:before="0" w:line="216" w:lineRule="exact"/>
        <w:jc w:val="left"/>
      </w:pPr>
      <w:r>
        <w:rPr>
          <w:rStyle w:val="Bodytext2Italic0"/>
        </w:rPr>
        <w:t>Aktiv:</w:t>
      </w:r>
      <w:r>
        <w:t xml:space="preserve"> Tatform</w:t>
      </w:r>
    </w:p>
    <w:p w:rsidR="00BB7EDA" w:rsidRDefault="007D72B3">
      <w:pPr>
        <w:pStyle w:val="Bodytext20"/>
        <w:shd w:val="clear" w:color="auto" w:fill="auto"/>
        <w:spacing w:before="0" w:line="216" w:lineRule="exact"/>
        <w:ind w:left="340" w:hanging="340"/>
      </w:pPr>
      <w:r>
        <w:rPr>
          <w:rStyle w:val="Bodytext2Italic0"/>
        </w:rPr>
        <w:t>analytische Form:</w:t>
      </w:r>
      <w:r>
        <w:t xml:space="preserve"> durch mehr als ein Wort umschriebene grammatikali</w:t>
      </w:r>
      <w:r>
        <w:softHyphen/>
        <w:t>sche Form</w:t>
      </w:r>
    </w:p>
    <w:p w:rsidR="00BB7EDA" w:rsidRDefault="007D72B3">
      <w:pPr>
        <w:pStyle w:val="Bodytext20"/>
        <w:shd w:val="clear" w:color="auto" w:fill="auto"/>
        <w:spacing w:before="0" w:line="216" w:lineRule="exact"/>
        <w:jc w:val="left"/>
      </w:pPr>
      <w:r>
        <w:rPr>
          <w:rStyle w:val="Bodytext2Italic0"/>
        </w:rPr>
        <w:t>Aorist:</w:t>
      </w:r>
      <w:r>
        <w:t xml:space="preserve"> griechischer Punktual, im Indikativ mit Vergangenheitsbedeutung </w:t>
      </w:r>
      <w:r>
        <w:rPr>
          <w:rStyle w:val="Bodytext2Italic0"/>
        </w:rPr>
        <w:t>Äquativ:</w:t>
      </w:r>
      <w:r>
        <w:t xml:space="preserve"> Vergleichsform</w:t>
      </w:r>
    </w:p>
    <w:p w:rsidR="00BB7EDA" w:rsidRDefault="007D72B3">
      <w:pPr>
        <w:pStyle w:val="Bodytext20"/>
        <w:shd w:val="clear" w:color="auto" w:fill="auto"/>
        <w:spacing w:before="0" w:line="216" w:lineRule="exact"/>
        <w:ind w:left="340" w:hanging="340"/>
      </w:pPr>
      <w:r>
        <w:rPr>
          <w:rStyle w:val="Bodytext2Italic0"/>
        </w:rPr>
        <w:t>Aspekt:</w:t>
      </w:r>
      <w:r>
        <w:t xml:space="preserve"> Geschehensform des Verbs (ob punktuell, linear oder resultativ etc.)</w:t>
      </w:r>
    </w:p>
    <w:p w:rsidR="00BB7EDA" w:rsidRDefault="007D72B3">
      <w:pPr>
        <w:pStyle w:val="Bodytext20"/>
        <w:shd w:val="clear" w:color="auto" w:fill="auto"/>
        <w:spacing w:before="0" w:line="216" w:lineRule="exact"/>
        <w:ind w:left="340" w:hanging="340"/>
      </w:pPr>
      <w:r>
        <w:rPr>
          <w:rStyle w:val="Bodytext2Italic0"/>
        </w:rPr>
        <w:t>Dativ:</w:t>
      </w:r>
      <w:r>
        <w:t xml:space="preserve"> Wemfall</w:t>
      </w:r>
    </w:p>
    <w:p w:rsidR="00BB7EDA" w:rsidRDefault="007D72B3">
      <w:pPr>
        <w:pStyle w:val="Bodytext20"/>
        <w:shd w:val="clear" w:color="auto" w:fill="auto"/>
        <w:spacing w:before="0" w:line="216" w:lineRule="exact"/>
        <w:jc w:val="left"/>
      </w:pPr>
      <w:r>
        <w:rPr>
          <w:rStyle w:val="Bodytext2Italic0"/>
        </w:rPr>
        <w:t>deskriptive Linguistik:</w:t>
      </w:r>
      <w:r>
        <w:t xml:space="preserve"> beschreibende Sprachwissenschaft </w:t>
      </w:r>
      <w:r>
        <w:rPr>
          <w:rStyle w:val="Bodytext2Italic0"/>
        </w:rPr>
        <w:t>diachrone Methode:</w:t>
      </w:r>
      <w:r>
        <w:t xml:space="preserve"> Beschreibung einer bestimmten Sprache in ihrer zeitlichen Entwicklung</w:t>
      </w:r>
    </w:p>
    <w:p w:rsidR="00BB7EDA" w:rsidRDefault="007D72B3">
      <w:pPr>
        <w:pStyle w:val="Bodytext20"/>
        <w:shd w:val="clear" w:color="auto" w:fill="auto"/>
        <w:spacing w:before="0" w:line="216" w:lineRule="exact"/>
        <w:jc w:val="left"/>
      </w:pPr>
      <w:r>
        <w:rPr>
          <w:rStyle w:val="Bodytext2Italic0"/>
        </w:rPr>
        <w:t>Diathese:</w:t>
      </w:r>
      <w:r>
        <w:t xml:space="preserve"> Verhaltensrichtung des Verbs (aktiv, passiv oder medial) </w:t>
      </w:r>
      <w:r>
        <w:rPr>
          <w:rStyle w:val="Bodytext2Italic0"/>
        </w:rPr>
        <w:t>Dual:</w:t>
      </w:r>
      <w:r>
        <w:t xml:space="preserve"> Zweizahl</w:t>
      </w:r>
    </w:p>
    <w:p w:rsidR="00BB7EDA" w:rsidRDefault="007D72B3">
      <w:pPr>
        <w:pStyle w:val="Bodytext20"/>
        <w:shd w:val="clear" w:color="auto" w:fill="auto"/>
        <w:spacing w:before="0" w:line="216" w:lineRule="exact"/>
        <w:ind w:left="340" w:hanging="340"/>
        <w:jc w:val="left"/>
      </w:pPr>
      <w:r>
        <w:rPr>
          <w:rStyle w:val="Bodytext2Italic0"/>
        </w:rPr>
        <w:t>Durativ:</w:t>
      </w:r>
      <w:r>
        <w:t xml:space="preserve"> Verbform, die eine Handlung in ihrem linearen Verlauf be</w:t>
      </w:r>
      <w:r>
        <w:softHyphen/>
        <w:t>schreibt</w:t>
      </w:r>
    </w:p>
    <w:p w:rsidR="00BB7EDA" w:rsidRDefault="007D72B3">
      <w:pPr>
        <w:pStyle w:val="Bodytext20"/>
        <w:shd w:val="clear" w:color="auto" w:fill="auto"/>
        <w:spacing w:before="0" w:line="216" w:lineRule="exact"/>
        <w:ind w:left="340" w:hanging="340"/>
        <w:jc w:val="left"/>
      </w:pPr>
      <w:r>
        <w:rPr>
          <w:rStyle w:val="Bodytext2Italic0"/>
        </w:rPr>
        <w:t>Energeticum:</w:t>
      </w:r>
      <w:r>
        <w:t xml:space="preserve"> Verbalform zum </w:t>
      </w:r>
      <w:r>
        <w:t>Ausdruck des Energischen einer Hand- lung</w:t>
      </w:r>
    </w:p>
    <w:p w:rsidR="00BB7EDA" w:rsidRDefault="007D72B3">
      <w:pPr>
        <w:pStyle w:val="Bodytext20"/>
        <w:shd w:val="clear" w:color="auto" w:fill="auto"/>
        <w:spacing w:before="0" w:line="216" w:lineRule="exact"/>
        <w:ind w:left="340" w:hanging="340"/>
      </w:pPr>
      <w:r>
        <w:rPr>
          <w:rStyle w:val="Bodytext2Italic0"/>
        </w:rPr>
        <w:t>Etymologie:</w:t>
      </w:r>
      <w:r>
        <w:t xml:space="preserve"> Wortherkunfts-Forschung</w:t>
      </w:r>
    </w:p>
    <w:p w:rsidR="00BB7EDA" w:rsidRDefault="007D72B3">
      <w:pPr>
        <w:pStyle w:val="Bodytext20"/>
        <w:shd w:val="clear" w:color="auto" w:fill="auto"/>
        <w:spacing w:before="0" w:line="216" w:lineRule="exact"/>
        <w:ind w:left="340" w:hanging="340"/>
      </w:pPr>
      <w:r>
        <w:rPr>
          <w:rStyle w:val="Bodytext2Italic0"/>
        </w:rPr>
        <w:t>Faktitiv:</w:t>
      </w:r>
      <w:r>
        <w:t xml:space="preserve"> Semitischer Verbalstamm, der oft die Herbeiführung des durch den G-Stamm ausgedrückten Vorgangs bzw. Zustands zum Aus</w:t>
      </w:r>
      <w:r>
        <w:softHyphen/>
        <w:t>druck bringt.</w:t>
      </w:r>
    </w:p>
    <w:p w:rsidR="00BB7EDA" w:rsidRDefault="007D72B3">
      <w:pPr>
        <w:pStyle w:val="Bodytext20"/>
        <w:shd w:val="clear" w:color="auto" w:fill="auto"/>
        <w:spacing w:before="0" w:line="216" w:lineRule="exact"/>
        <w:ind w:left="340" w:hanging="340"/>
      </w:pPr>
      <w:r>
        <w:rPr>
          <w:rStyle w:val="Bodytext2Italic0"/>
        </w:rPr>
        <w:t>Femininum:</w:t>
      </w:r>
      <w:r>
        <w:t xml:space="preserve"> weibliches Geschlecht</w:t>
      </w:r>
    </w:p>
    <w:p w:rsidR="00BB7EDA" w:rsidRDefault="007D72B3">
      <w:pPr>
        <w:pStyle w:val="Bodytext20"/>
        <w:shd w:val="clear" w:color="auto" w:fill="auto"/>
        <w:spacing w:before="0" w:line="216" w:lineRule="exact"/>
        <w:ind w:left="340" w:hanging="340"/>
      </w:pPr>
      <w:r>
        <w:rPr>
          <w:rStyle w:val="Bodytext2Italic0"/>
        </w:rPr>
        <w:t>fin</w:t>
      </w:r>
      <w:r>
        <w:rPr>
          <w:rStyle w:val="Bodytext2Italic0"/>
        </w:rPr>
        <w:t>ite Form:</w:t>
      </w:r>
      <w:r>
        <w:t xml:space="preserve"> Verbform, die Person und Numerus angibt</w:t>
      </w:r>
    </w:p>
    <w:p w:rsidR="00BB7EDA" w:rsidRDefault="007D72B3">
      <w:pPr>
        <w:pStyle w:val="Bodytext20"/>
        <w:shd w:val="clear" w:color="auto" w:fill="auto"/>
        <w:spacing w:before="0" w:line="216" w:lineRule="exact"/>
        <w:ind w:left="340" w:hanging="340"/>
      </w:pPr>
      <w:r>
        <w:rPr>
          <w:rStyle w:val="Bodytext2Italic0"/>
        </w:rPr>
        <w:t>Futur:</w:t>
      </w:r>
      <w:r>
        <w:t xml:space="preserve"> Zukunft</w:t>
      </w:r>
    </w:p>
    <w:p w:rsidR="00BB7EDA" w:rsidRDefault="007D72B3">
      <w:pPr>
        <w:pStyle w:val="Bodytext80"/>
        <w:shd w:val="clear" w:color="auto" w:fill="auto"/>
        <w:spacing w:line="216" w:lineRule="exact"/>
        <w:ind w:left="340" w:hanging="340"/>
      </w:pPr>
      <w:r>
        <w:t>Futur I:</w:t>
      </w:r>
      <w:r>
        <w:rPr>
          <w:rStyle w:val="Bodytext8NotItalic"/>
        </w:rPr>
        <w:t xml:space="preserve"> einfache Zukunft (z.B. </w:t>
      </w:r>
      <w:r>
        <w:t>Ich werde singen)</w:t>
      </w:r>
    </w:p>
    <w:p w:rsidR="00BB7EDA" w:rsidRDefault="007D72B3">
      <w:pPr>
        <w:pStyle w:val="Bodytext80"/>
        <w:shd w:val="clear" w:color="auto" w:fill="auto"/>
        <w:spacing w:line="216" w:lineRule="exact"/>
        <w:ind w:left="340" w:hanging="340"/>
      </w:pPr>
      <w:r>
        <w:t>Futur II:</w:t>
      </w:r>
      <w:r>
        <w:rPr>
          <w:rStyle w:val="Bodytext8NotItalic"/>
        </w:rPr>
        <w:t xml:space="preserve"> vollendete Zukunft (z.B. </w:t>
      </w:r>
      <w:r>
        <w:t>Ich werde gesungen haben)</w:t>
      </w:r>
    </w:p>
    <w:p w:rsidR="00BB7EDA" w:rsidRDefault="007D72B3">
      <w:pPr>
        <w:pStyle w:val="Bodytext20"/>
        <w:shd w:val="clear" w:color="auto" w:fill="auto"/>
        <w:spacing w:before="0" w:line="216" w:lineRule="exact"/>
        <w:ind w:left="340" w:hanging="340"/>
      </w:pPr>
      <w:r>
        <w:rPr>
          <w:rStyle w:val="Bodytext2Italic0"/>
        </w:rPr>
        <w:t>Genera:</w:t>
      </w:r>
      <w:r>
        <w:t xml:space="preserve"> PI. von Genus (s.d.)</w:t>
      </w:r>
    </w:p>
    <w:p w:rsidR="00BB7EDA" w:rsidRDefault="007D72B3">
      <w:pPr>
        <w:pStyle w:val="Bodytext20"/>
        <w:shd w:val="clear" w:color="auto" w:fill="auto"/>
        <w:spacing w:before="0" w:line="216" w:lineRule="exact"/>
        <w:ind w:left="340" w:hanging="340"/>
      </w:pPr>
      <w:r>
        <w:rPr>
          <w:rStyle w:val="Bodytext2Italic0"/>
        </w:rPr>
        <w:t>Genitiv:</w:t>
      </w:r>
      <w:r>
        <w:t xml:space="preserve"> Wesfall</w:t>
      </w:r>
    </w:p>
    <w:p w:rsidR="00BB7EDA" w:rsidRDefault="007D72B3">
      <w:pPr>
        <w:pStyle w:val="Bodytext20"/>
        <w:shd w:val="clear" w:color="auto" w:fill="auto"/>
        <w:spacing w:before="0" w:line="216" w:lineRule="exact"/>
        <w:jc w:val="left"/>
      </w:pPr>
      <w:r>
        <w:rPr>
          <w:rStyle w:val="Bodytext2Italic0"/>
        </w:rPr>
        <w:t>Genus:</w:t>
      </w:r>
      <w:r>
        <w:t xml:space="preserve"> grammatisches Geschlecht </w:t>
      </w:r>
      <w:r>
        <w:rPr>
          <w:rStyle w:val="Bodytext2Italic0"/>
        </w:rPr>
        <w:t>Gl</w:t>
      </w:r>
      <w:r>
        <w:rPr>
          <w:rStyle w:val="Bodytext2Italic0"/>
        </w:rPr>
        <w:t>ossar:</w:t>
      </w:r>
      <w:r>
        <w:t xml:space="preserve"> erklärende Wortliste</w:t>
      </w:r>
    </w:p>
    <w:p w:rsidR="00BB7EDA" w:rsidRDefault="007D72B3">
      <w:pPr>
        <w:pStyle w:val="Bodytext20"/>
        <w:shd w:val="clear" w:color="auto" w:fill="auto"/>
        <w:spacing w:before="0" w:line="216" w:lineRule="exact"/>
        <w:jc w:val="left"/>
      </w:pPr>
      <w:r>
        <w:rPr>
          <w:rStyle w:val="Bodytext2Italic0"/>
        </w:rPr>
        <w:t>Grammatik:</w:t>
      </w:r>
      <w:r>
        <w:t xml:space="preserve"> Ein System von Gesetzmäßigkeiten, das Laute und ihre Zusammensetzungen regelt </w:t>
      </w:r>
      <w:r>
        <w:rPr>
          <w:rStyle w:val="Bodytext2Italic0"/>
        </w:rPr>
        <w:t>Graphemik:</w:t>
      </w:r>
      <w:r>
        <w:t xml:space="preserve"> Schriftlehre</w:t>
      </w:r>
    </w:p>
    <w:p w:rsidR="00BB7EDA" w:rsidRDefault="007D72B3">
      <w:pPr>
        <w:pStyle w:val="Bodytext20"/>
        <w:shd w:val="clear" w:color="auto" w:fill="auto"/>
        <w:spacing w:before="0" w:line="216" w:lineRule="exact"/>
        <w:ind w:left="340" w:hanging="340"/>
      </w:pPr>
      <w:r>
        <w:rPr>
          <w:rStyle w:val="Bodytext2Italic0"/>
        </w:rPr>
        <w:t>gräzisiert:</w:t>
      </w:r>
      <w:r>
        <w:t xml:space="preserve"> der griechischen Sprache angepasst</w:t>
      </w:r>
    </w:p>
    <w:p w:rsidR="00BB7EDA" w:rsidRDefault="007D72B3">
      <w:pPr>
        <w:pStyle w:val="Bodytext20"/>
        <w:shd w:val="clear" w:color="auto" w:fill="auto"/>
        <w:spacing w:before="0" w:line="216" w:lineRule="exact"/>
        <w:jc w:val="left"/>
      </w:pPr>
      <w:r>
        <w:rPr>
          <w:rStyle w:val="Bodytext2Italic0"/>
        </w:rPr>
        <w:t>Hiph'il:</w:t>
      </w:r>
      <w:r>
        <w:t xml:space="preserve"> der hebräische Kausativ-Stamm</w:t>
      </w:r>
    </w:p>
    <w:p w:rsidR="00BB7EDA" w:rsidRDefault="007D72B3">
      <w:pPr>
        <w:pStyle w:val="Bodytext20"/>
        <w:shd w:val="clear" w:color="auto" w:fill="auto"/>
        <w:spacing w:before="0" w:line="216" w:lineRule="exact"/>
        <w:ind w:left="320" w:hanging="320"/>
        <w:jc w:val="left"/>
      </w:pPr>
      <w:r>
        <w:rPr>
          <w:rStyle w:val="Bodytext2Italic0"/>
        </w:rPr>
        <w:t>Homophonie:</w:t>
      </w:r>
      <w:r>
        <w:t xml:space="preserve"> zwei gleichklingende Lautkörper (Wörter) mit verschiede</w:t>
      </w:r>
      <w:r>
        <w:softHyphen/>
        <w:t>nen Bedeutungen</w:t>
      </w:r>
    </w:p>
    <w:p w:rsidR="00BB7EDA" w:rsidRDefault="007D72B3">
      <w:pPr>
        <w:pStyle w:val="Bodytext20"/>
        <w:shd w:val="clear" w:color="auto" w:fill="auto"/>
        <w:spacing w:before="0" w:line="216" w:lineRule="exact"/>
        <w:jc w:val="left"/>
      </w:pPr>
      <w:r>
        <w:rPr>
          <w:rStyle w:val="Bodytext2Italic0"/>
        </w:rPr>
        <w:t>Hoph'al:</w:t>
      </w:r>
      <w:r>
        <w:t xml:space="preserve"> das Passiv zum Hiph'il-Stamm im Hebräischen </w:t>
      </w:r>
      <w:r>
        <w:rPr>
          <w:rStyle w:val="Bodytext2Italic0"/>
        </w:rPr>
        <w:t>Idiom:</w:t>
      </w:r>
      <w:r>
        <w:t xml:space="preserve"> die einer bestimmten Gruppe eigentümliche Sprechweise </w:t>
      </w:r>
      <w:r>
        <w:rPr>
          <w:rStyle w:val="Bodytext2Italic0"/>
        </w:rPr>
        <w:t>Imperativ:</w:t>
      </w:r>
      <w:r>
        <w:t xml:space="preserve"> Befehlsform </w:t>
      </w:r>
      <w:r>
        <w:rPr>
          <w:rStyle w:val="Bodytext2Italic0"/>
        </w:rPr>
        <w:t>Indikativ:</w:t>
      </w:r>
      <w:r>
        <w:t xml:space="preserve"> Wirklichkeitsform</w:t>
      </w:r>
    </w:p>
    <w:p w:rsidR="00BB7EDA" w:rsidRDefault="007D72B3">
      <w:pPr>
        <w:pStyle w:val="Bodytext20"/>
        <w:shd w:val="clear" w:color="auto" w:fill="auto"/>
        <w:spacing w:before="0" w:line="216" w:lineRule="exact"/>
        <w:jc w:val="left"/>
      </w:pPr>
      <w:r>
        <w:rPr>
          <w:rStyle w:val="Bodytext2Italic0"/>
        </w:rPr>
        <w:t>Infix:</w:t>
      </w:r>
      <w:r>
        <w:t xml:space="preserve"> in ein Wort dazwischen eingeschobenes Morphem</w:t>
      </w:r>
    </w:p>
    <w:p w:rsidR="00BB7EDA" w:rsidRDefault="007D72B3">
      <w:pPr>
        <w:pStyle w:val="Bodytext20"/>
        <w:shd w:val="clear" w:color="auto" w:fill="auto"/>
        <w:spacing w:before="0" w:line="216" w:lineRule="exact"/>
        <w:jc w:val="left"/>
      </w:pPr>
      <w:r>
        <w:rPr>
          <w:rStyle w:val="Bodytext2Italic0"/>
        </w:rPr>
        <w:t>Jussiv:</w:t>
      </w:r>
      <w:r>
        <w:t xml:space="preserve"> Aufforderungsform</w:t>
      </w:r>
    </w:p>
    <w:p w:rsidR="00BB7EDA" w:rsidRDefault="007D72B3">
      <w:pPr>
        <w:pStyle w:val="Bodytext20"/>
        <w:shd w:val="clear" w:color="auto" w:fill="auto"/>
        <w:spacing w:before="0" w:line="216" w:lineRule="exact"/>
        <w:jc w:val="left"/>
      </w:pPr>
      <w:r>
        <w:rPr>
          <w:rStyle w:val="Bodytext2Italic0"/>
        </w:rPr>
        <w:t>Kal:</w:t>
      </w:r>
      <w:r>
        <w:t xml:space="preserve"> der Grundstamm im Hebräischen</w:t>
      </w:r>
    </w:p>
    <w:p w:rsidR="00BB7EDA" w:rsidRDefault="007D72B3">
      <w:pPr>
        <w:pStyle w:val="Bodytext80"/>
        <w:shd w:val="clear" w:color="auto" w:fill="auto"/>
        <w:spacing w:line="216" w:lineRule="exact"/>
        <w:jc w:val="left"/>
      </w:pPr>
      <w:r>
        <w:t>Kasus:</w:t>
      </w:r>
      <w:r>
        <w:rPr>
          <w:rStyle w:val="Bodytext8NotItalic"/>
        </w:rPr>
        <w:t xml:space="preserve"> Fall</w:t>
      </w:r>
    </w:p>
    <w:p w:rsidR="00BB7EDA" w:rsidRDefault="007D72B3">
      <w:pPr>
        <w:pStyle w:val="Bodytext20"/>
        <w:shd w:val="clear" w:color="auto" w:fill="auto"/>
        <w:spacing w:before="0" w:line="216" w:lineRule="exact"/>
        <w:jc w:val="left"/>
      </w:pPr>
      <w:r>
        <w:rPr>
          <w:rStyle w:val="Bodytext2Italic0"/>
        </w:rPr>
        <w:t>Kasussystem:</w:t>
      </w:r>
      <w:r>
        <w:t xml:space="preserve"> Fallsystem </w:t>
      </w:r>
      <w:r>
        <w:rPr>
          <w:rStyle w:val="Bodytext2Italic0"/>
        </w:rPr>
        <w:t>Kausativ:</w:t>
      </w:r>
      <w:r>
        <w:t xml:space="preserve"> Veranlassungsform </w:t>
      </w:r>
      <w:r>
        <w:rPr>
          <w:rStyle w:val="Bodytext2Italic0"/>
        </w:rPr>
        <w:t>Kohortativ:</w:t>
      </w:r>
      <w:r>
        <w:t xml:space="preserve"> Ermahnungsform </w:t>
      </w:r>
      <w:r>
        <w:rPr>
          <w:rStyle w:val="Bodytext2Italic0"/>
        </w:rPr>
        <w:t>Komitativ:</w:t>
      </w:r>
      <w:r>
        <w:t xml:space="preserve"> Gemeinschaftsfall</w:t>
      </w:r>
    </w:p>
    <w:p w:rsidR="00BB7EDA" w:rsidRDefault="007D72B3">
      <w:pPr>
        <w:pStyle w:val="Bodytext20"/>
        <w:shd w:val="clear" w:color="auto" w:fill="auto"/>
        <w:spacing w:before="0" w:line="216" w:lineRule="exact"/>
        <w:jc w:val="left"/>
      </w:pPr>
      <w:r>
        <w:rPr>
          <w:rStyle w:val="Bodytext2Italic0"/>
        </w:rPr>
        <w:t>Komparative Linguistik:</w:t>
      </w:r>
      <w:r>
        <w:t xml:space="preserve"> verg</w:t>
      </w:r>
      <w:r>
        <w:t xml:space="preserve">leichende Sprachwissenschaft </w:t>
      </w:r>
      <w:r>
        <w:rPr>
          <w:rStyle w:val="Bodytext2Italic0"/>
        </w:rPr>
        <w:t>Konjunktiv:</w:t>
      </w:r>
      <w:r>
        <w:t xml:space="preserve"> Möglichkeitsform </w:t>
      </w:r>
      <w:r>
        <w:rPr>
          <w:rStyle w:val="Bodytext2Italic0"/>
        </w:rPr>
        <w:t>Konsonant:</w:t>
      </w:r>
      <w:r>
        <w:t xml:space="preserve"> Mitlaut</w:t>
      </w:r>
    </w:p>
    <w:p w:rsidR="00BB7EDA" w:rsidRDefault="007D72B3">
      <w:pPr>
        <w:pStyle w:val="Bodytext20"/>
        <w:shd w:val="clear" w:color="auto" w:fill="auto"/>
        <w:spacing w:before="0" w:line="216" w:lineRule="exact"/>
        <w:ind w:left="320" w:hanging="320"/>
        <w:jc w:val="left"/>
      </w:pPr>
      <w:r>
        <w:rPr>
          <w:rStyle w:val="Bodytext2Italic0"/>
        </w:rPr>
        <w:t>Langue:</w:t>
      </w:r>
      <w:r>
        <w:t xml:space="preserve"> das Sprachsystem (im Gegensatz zum einzelnen Sprechakt [Parole])</w:t>
      </w:r>
    </w:p>
    <w:p w:rsidR="00BB7EDA" w:rsidRDefault="007D72B3">
      <w:pPr>
        <w:pStyle w:val="Bodytext20"/>
        <w:shd w:val="clear" w:color="auto" w:fill="auto"/>
        <w:spacing w:before="0" w:line="216" w:lineRule="exact"/>
        <w:jc w:val="left"/>
      </w:pPr>
      <w:r>
        <w:rPr>
          <w:rStyle w:val="Bodytext2Italic0"/>
        </w:rPr>
        <w:t>Linguistik:</w:t>
      </w:r>
      <w:r>
        <w:t xml:space="preserve"> Sprachwissenschaft </w:t>
      </w:r>
      <w:r>
        <w:rPr>
          <w:rStyle w:val="Bodytext2Italic0"/>
        </w:rPr>
        <w:t>Lokativ:</w:t>
      </w:r>
      <w:r>
        <w:t xml:space="preserve"> Ortsfall</w:t>
      </w:r>
    </w:p>
    <w:p w:rsidR="00BB7EDA" w:rsidRDefault="007D72B3">
      <w:pPr>
        <w:pStyle w:val="Bodytext20"/>
        <w:shd w:val="clear" w:color="auto" w:fill="auto"/>
        <w:spacing w:before="0" w:line="216" w:lineRule="exact"/>
        <w:jc w:val="left"/>
      </w:pPr>
      <w:r>
        <w:rPr>
          <w:rStyle w:val="Bodytext2Italic0"/>
        </w:rPr>
        <w:t>Lokativ-Adverbial:</w:t>
      </w:r>
      <w:r>
        <w:t xml:space="preserve"> Ortsfall im Akkadischen </w:t>
      </w:r>
      <w:r>
        <w:rPr>
          <w:rStyle w:val="Bodytext2Italic0"/>
        </w:rPr>
        <w:t>Lokativ-Termin</w:t>
      </w:r>
      <w:r>
        <w:rPr>
          <w:rStyle w:val="Bodytext2Italic0"/>
        </w:rPr>
        <w:t>ativ:</w:t>
      </w:r>
      <w:r>
        <w:t xml:space="preserve"> Richtungsfall im Akkadischen </w:t>
      </w:r>
      <w:r>
        <w:rPr>
          <w:rStyle w:val="Bodytext2Italic0"/>
        </w:rPr>
        <w:t>Maskulinum:</w:t>
      </w:r>
      <w:r>
        <w:t xml:space="preserve"> männliches Geschlecht</w:t>
      </w:r>
    </w:p>
    <w:p w:rsidR="00BB7EDA" w:rsidRDefault="007D72B3">
      <w:pPr>
        <w:pStyle w:val="Bodytext20"/>
        <w:shd w:val="clear" w:color="auto" w:fill="auto"/>
        <w:spacing w:before="0" w:line="216" w:lineRule="exact"/>
        <w:jc w:val="left"/>
      </w:pPr>
      <w:r>
        <w:rPr>
          <w:rStyle w:val="Bodytext2Italic0"/>
        </w:rPr>
        <w:t>Medium:</w:t>
      </w:r>
      <w:r>
        <w:t xml:space="preserve"> Verbform, die das Betroffensein des Subjekts durch die Tätig</w:t>
      </w:r>
      <w:r>
        <w:softHyphen/>
        <w:t xml:space="preserve">keit zum Ausdruck bringt (z.B. in reflexivem Sinn: </w:t>
      </w:r>
      <w:r>
        <w:rPr>
          <w:rStyle w:val="Bodytext2Italic0"/>
        </w:rPr>
        <w:t>Ich wasche mich) Modi:</w:t>
      </w:r>
      <w:r>
        <w:t xml:space="preserve"> Plural von Modus (s.d.)</w:t>
      </w:r>
    </w:p>
    <w:p w:rsidR="00BB7EDA" w:rsidRDefault="007D72B3">
      <w:pPr>
        <w:pStyle w:val="Bodytext20"/>
        <w:shd w:val="clear" w:color="auto" w:fill="auto"/>
        <w:spacing w:before="0" w:line="216" w:lineRule="exact"/>
        <w:jc w:val="left"/>
      </w:pPr>
      <w:r>
        <w:rPr>
          <w:rStyle w:val="Bodytext2Italic0"/>
        </w:rPr>
        <w:t>Modus:</w:t>
      </w:r>
      <w:r>
        <w:t xml:space="preserve"> Aussageweise </w:t>
      </w:r>
      <w:r>
        <w:t>des Verbs (z.B. ob Indikativ, Konjunktiv etc.)</w:t>
      </w:r>
    </w:p>
    <w:p w:rsidR="00BB7EDA" w:rsidRDefault="007D72B3">
      <w:pPr>
        <w:pStyle w:val="Bodytext20"/>
        <w:shd w:val="clear" w:color="auto" w:fill="auto"/>
        <w:spacing w:before="0" w:line="216" w:lineRule="exact"/>
        <w:jc w:val="left"/>
      </w:pPr>
      <w:r>
        <w:rPr>
          <w:rStyle w:val="Bodytext2Italic0"/>
        </w:rPr>
        <w:t>Morphem:</w:t>
      </w:r>
      <w:r>
        <w:t xml:space="preserve"> kleinste bedeutungstragende Einheit</w:t>
      </w:r>
    </w:p>
    <w:p w:rsidR="00BB7EDA" w:rsidRDefault="007D72B3">
      <w:pPr>
        <w:pStyle w:val="Bodytext20"/>
        <w:shd w:val="clear" w:color="auto" w:fill="auto"/>
        <w:spacing w:before="0" w:line="216" w:lineRule="exact"/>
        <w:jc w:val="left"/>
      </w:pPr>
      <w:r>
        <w:rPr>
          <w:rStyle w:val="Bodytext2Italic0"/>
        </w:rPr>
        <w:t>Morphologie:</w:t>
      </w:r>
      <w:r>
        <w:t xml:space="preserve"> die Lehre von den Morphemen</w:t>
      </w:r>
    </w:p>
    <w:p w:rsidR="00BB7EDA" w:rsidRDefault="007D72B3">
      <w:pPr>
        <w:pStyle w:val="Bodytext20"/>
        <w:shd w:val="clear" w:color="auto" w:fill="auto"/>
        <w:spacing w:before="0" w:line="216" w:lineRule="exact"/>
        <w:jc w:val="left"/>
      </w:pPr>
      <w:r>
        <w:rPr>
          <w:rStyle w:val="Bodytext2Italic0"/>
        </w:rPr>
        <w:t>Narrativ:</w:t>
      </w:r>
      <w:r>
        <w:t xml:space="preserve"> Erzählform</w:t>
      </w:r>
    </w:p>
    <w:p w:rsidR="00BB7EDA" w:rsidRDefault="007D72B3">
      <w:pPr>
        <w:pStyle w:val="Bodytext20"/>
        <w:shd w:val="clear" w:color="auto" w:fill="auto"/>
        <w:spacing w:before="0" w:line="216" w:lineRule="exact"/>
        <w:jc w:val="left"/>
      </w:pPr>
      <w:r>
        <w:rPr>
          <w:rStyle w:val="Bodytext2Italic0"/>
        </w:rPr>
        <w:t>Neologismus:</w:t>
      </w:r>
      <w:r>
        <w:t xml:space="preserve"> Neubildung eines Wortes</w:t>
      </w:r>
    </w:p>
    <w:p w:rsidR="00BB7EDA" w:rsidRDefault="007D72B3">
      <w:pPr>
        <w:pStyle w:val="Bodytext20"/>
        <w:shd w:val="clear" w:color="auto" w:fill="auto"/>
        <w:spacing w:before="0" w:line="216" w:lineRule="exact"/>
        <w:jc w:val="left"/>
      </w:pPr>
      <w:r>
        <w:rPr>
          <w:rStyle w:val="Bodytext2Italic0"/>
        </w:rPr>
        <w:t>Neutrum:</w:t>
      </w:r>
      <w:r>
        <w:t xml:space="preserve"> sächliches Geschlecht</w:t>
      </w:r>
    </w:p>
    <w:p w:rsidR="00BB7EDA" w:rsidRDefault="007D72B3">
      <w:pPr>
        <w:pStyle w:val="Bodytext20"/>
        <w:shd w:val="clear" w:color="auto" w:fill="auto"/>
        <w:spacing w:before="0" w:line="216" w:lineRule="exact"/>
        <w:jc w:val="left"/>
      </w:pPr>
      <w:r>
        <w:rPr>
          <w:rStyle w:val="Bodytext2Italic0"/>
        </w:rPr>
        <w:t>Niph'al:</w:t>
      </w:r>
      <w:r>
        <w:t xml:space="preserve"> Passivstamm im Hebräische</w:t>
      </w:r>
      <w:r>
        <w:t>n</w:t>
      </w:r>
    </w:p>
    <w:p w:rsidR="00BB7EDA" w:rsidRDefault="007D72B3">
      <w:pPr>
        <w:pStyle w:val="Bodytext80"/>
        <w:shd w:val="clear" w:color="auto" w:fill="auto"/>
        <w:spacing w:line="216" w:lineRule="exact"/>
        <w:jc w:val="left"/>
      </w:pPr>
      <w:r>
        <w:t>Nominativ:</w:t>
      </w:r>
      <w:r>
        <w:rPr>
          <w:rStyle w:val="Bodytext8NotItalic"/>
        </w:rPr>
        <w:t xml:space="preserve"> Werfall</w:t>
      </w:r>
    </w:p>
    <w:p w:rsidR="00BB7EDA" w:rsidRDefault="007D72B3">
      <w:pPr>
        <w:pStyle w:val="Bodytext20"/>
        <w:shd w:val="clear" w:color="auto" w:fill="auto"/>
        <w:spacing w:before="0" w:line="216" w:lineRule="exact"/>
        <w:jc w:val="left"/>
      </w:pPr>
      <w:r>
        <w:rPr>
          <w:rStyle w:val="Bodytext2Italic0"/>
        </w:rPr>
        <w:t>Numeri:</w:t>
      </w:r>
      <w:r>
        <w:t xml:space="preserve"> PI. von Numerus</w:t>
      </w:r>
    </w:p>
    <w:p w:rsidR="00BB7EDA" w:rsidRDefault="007D72B3">
      <w:pPr>
        <w:pStyle w:val="Bodytext80"/>
        <w:shd w:val="clear" w:color="auto" w:fill="auto"/>
        <w:spacing w:line="216" w:lineRule="exact"/>
        <w:jc w:val="left"/>
      </w:pPr>
      <w:r>
        <w:t>Numerus:</w:t>
      </w:r>
      <w:r>
        <w:rPr>
          <w:rStyle w:val="Bodytext8NotItalic"/>
        </w:rPr>
        <w:t xml:space="preserve"> Zahl</w:t>
      </w:r>
    </w:p>
    <w:p w:rsidR="00BB7EDA" w:rsidRDefault="007D72B3">
      <w:pPr>
        <w:pStyle w:val="Bodytext20"/>
        <w:shd w:val="clear" w:color="auto" w:fill="auto"/>
        <w:spacing w:before="0" w:line="216" w:lineRule="exact"/>
        <w:jc w:val="left"/>
      </w:pPr>
      <w:r>
        <w:rPr>
          <w:rStyle w:val="Bodytext2Italic0"/>
        </w:rPr>
        <w:t>onomatopoetisch:</w:t>
      </w:r>
      <w:r>
        <w:t xml:space="preserve"> lautmalerisch </w:t>
      </w:r>
      <w:r>
        <w:rPr>
          <w:rStyle w:val="Bodytext2Italic0"/>
        </w:rPr>
        <w:t>Optativ:</w:t>
      </w:r>
      <w:r>
        <w:t xml:space="preserve"> Wunschform</w:t>
      </w:r>
    </w:p>
    <w:p w:rsidR="00BB7EDA" w:rsidRDefault="007D72B3">
      <w:pPr>
        <w:pStyle w:val="Bodytext20"/>
        <w:shd w:val="clear" w:color="auto" w:fill="auto"/>
        <w:spacing w:before="0" w:line="216" w:lineRule="exact"/>
        <w:jc w:val="left"/>
      </w:pPr>
      <w:r>
        <w:rPr>
          <w:rStyle w:val="Bodytext2Italic0"/>
        </w:rPr>
        <w:t>Paradigma:</w:t>
      </w:r>
      <w:r>
        <w:t xml:space="preserve"> Muster einer bestimmten Deklination oder Konjugation, Flexionsmuster, Agglutinationsmuster </w:t>
      </w:r>
      <w:r>
        <w:rPr>
          <w:rStyle w:val="Bodytext2Italic0"/>
        </w:rPr>
        <w:t>Parole:</w:t>
      </w:r>
      <w:r>
        <w:t xml:space="preserve"> der Sprechakt (im Gegensatz zur Langue) </w:t>
      </w:r>
      <w:r>
        <w:rPr>
          <w:rStyle w:val="Bodytext2Italic0"/>
        </w:rPr>
        <w:t>passim:</w:t>
      </w:r>
      <w:r>
        <w:t xml:space="preserve"> da und dort, allenthalben </w:t>
      </w:r>
      <w:r>
        <w:rPr>
          <w:rStyle w:val="Bodytext2Italic0"/>
        </w:rPr>
        <w:t>Passiv:</w:t>
      </w:r>
      <w:r>
        <w:t xml:space="preserve"> Leideform (z.B. </w:t>
      </w:r>
      <w:r>
        <w:rPr>
          <w:rStyle w:val="Bodytext2Italic0"/>
        </w:rPr>
        <w:t>Ich werde gebissen)</w:t>
      </w:r>
    </w:p>
    <w:p w:rsidR="00BB7EDA" w:rsidRDefault="007D72B3">
      <w:pPr>
        <w:pStyle w:val="Bodytext20"/>
        <w:shd w:val="clear" w:color="auto" w:fill="auto"/>
        <w:spacing w:before="0" w:line="216" w:lineRule="exact"/>
        <w:jc w:val="left"/>
      </w:pPr>
      <w:r>
        <w:rPr>
          <w:rStyle w:val="Bodytext2Italic0"/>
        </w:rPr>
        <w:t>Permansiv:</w:t>
      </w:r>
      <w:r>
        <w:t xml:space="preserve"> Verbalform zum Ausdruck von Zuständen </w:t>
      </w:r>
      <w:r>
        <w:rPr>
          <w:rStyle w:val="Bodytext2Italic0"/>
        </w:rPr>
        <w:t>Person:</w:t>
      </w:r>
      <w:r>
        <w:t xml:space="preserve"> Träger einer durch das Verb beschriebenen Geschehens (z.B. </w:t>
      </w:r>
      <w:r>
        <w:rPr>
          <w:rStyle w:val="Bodytext2Italic0"/>
        </w:rPr>
        <w:t>ich gehe, du gehst et</w:t>
      </w:r>
      <w:r>
        <w:rPr>
          <w:rStyle w:val="Bodytext2Italic0"/>
        </w:rPr>
        <w:t>c.)</w:t>
      </w:r>
    </w:p>
    <w:p w:rsidR="00BB7EDA" w:rsidRDefault="007D72B3">
      <w:pPr>
        <w:pStyle w:val="Bodytext20"/>
        <w:shd w:val="clear" w:color="auto" w:fill="auto"/>
        <w:spacing w:before="0" w:line="216" w:lineRule="exact"/>
        <w:jc w:val="left"/>
      </w:pPr>
      <w:r>
        <w:rPr>
          <w:rStyle w:val="Bodytext2Italic0"/>
        </w:rPr>
        <w:t>Philologie:</w:t>
      </w:r>
      <w:r>
        <w:t xml:space="preserve"> Sprach- und Literaturwissenschaft </w:t>
      </w:r>
      <w:r>
        <w:rPr>
          <w:rStyle w:val="Bodytext2Italic0"/>
        </w:rPr>
        <w:t>Phonem:</w:t>
      </w:r>
      <w:r>
        <w:t xml:space="preserve"> kleinste bedeutungsunterscheidende Einheit </w:t>
      </w:r>
      <w:r>
        <w:rPr>
          <w:rStyle w:val="Bodytext2Italic0"/>
        </w:rPr>
        <w:t>Phonologie:</w:t>
      </w:r>
      <w:r>
        <w:t xml:space="preserve"> die Lehre von den Phonemen </w:t>
      </w:r>
      <w:r>
        <w:rPr>
          <w:rStyle w:val="Bodytext2Italic0"/>
        </w:rPr>
        <w:t>Pi'el:</w:t>
      </w:r>
      <w:r>
        <w:t xml:space="preserve"> der hebräische Faktitiv- bzw. Intensiv-Stamm </w:t>
      </w:r>
      <w:r>
        <w:rPr>
          <w:rStyle w:val="Bodytext2Italic0"/>
        </w:rPr>
        <w:t>Plural:</w:t>
      </w:r>
      <w:r>
        <w:t xml:space="preserve"> Mehrzahl</w:t>
      </w:r>
    </w:p>
    <w:p w:rsidR="00BB7EDA" w:rsidRDefault="007D72B3">
      <w:pPr>
        <w:pStyle w:val="Bodytext20"/>
        <w:shd w:val="clear" w:color="auto" w:fill="auto"/>
        <w:spacing w:before="0" w:line="216" w:lineRule="exact"/>
        <w:jc w:val="left"/>
      </w:pPr>
      <w:r>
        <w:rPr>
          <w:rStyle w:val="Bodytext2Italic0"/>
        </w:rPr>
        <w:t>Polysemie:</w:t>
      </w:r>
      <w:r>
        <w:t xml:space="preserve"> Mehrdeutigkeit sprachlicher Ausdrück</w:t>
      </w:r>
      <w:r>
        <w:t xml:space="preserve">e </w:t>
      </w:r>
      <w:r>
        <w:rPr>
          <w:rStyle w:val="Bodytext2Italic0"/>
        </w:rPr>
        <w:t>Präsens:</w:t>
      </w:r>
      <w:r>
        <w:t xml:space="preserve"> Gegenwart</w:t>
      </w:r>
    </w:p>
    <w:p w:rsidR="00BB7EDA" w:rsidRDefault="007D72B3">
      <w:pPr>
        <w:pStyle w:val="Bodytext20"/>
        <w:shd w:val="clear" w:color="auto" w:fill="auto"/>
        <w:spacing w:before="0" w:line="216" w:lineRule="exact"/>
        <w:jc w:val="left"/>
      </w:pPr>
      <w:r>
        <w:rPr>
          <w:rStyle w:val="Bodytext2Italic0"/>
        </w:rPr>
        <w:t>Präsens-Futur:</w:t>
      </w:r>
      <w:r>
        <w:t xml:space="preserve"> Zeitform zum Ausdruck von gegenwärtigen und zu</w:t>
      </w:r>
      <w:r>
        <w:softHyphen/>
        <w:t xml:space="preserve">künftigen Vorgängen </w:t>
      </w:r>
      <w:r>
        <w:rPr>
          <w:rStyle w:val="Bodytext2Italic0"/>
        </w:rPr>
        <w:t>Präteritum:</w:t>
      </w:r>
      <w:r>
        <w:t xml:space="preserve"> Vergangenheitsform </w:t>
      </w:r>
      <w:r>
        <w:rPr>
          <w:rStyle w:val="Bodytext2Italic0"/>
        </w:rPr>
        <w:t>Prohibitiv:</w:t>
      </w:r>
      <w:r>
        <w:t xml:space="preserve"> Verbotsform</w:t>
      </w:r>
    </w:p>
    <w:p w:rsidR="00BB7EDA" w:rsidRDefault="007D72B3">
      <w:pPr>
        <w:pStyle w:val="Bodytext20"/>
        <w:shd w:val="clear" w:color="auto" w:fill="auto"/>
        <w:spacing w:before="0" w:line="216" w:lineRule="exact"/>
        <w:jc w:val="left"/>
      </w:pPr>
      <w:r>
        <w:rPr>
          <w:rStyle w:val="Bodytext2Italic0"/>
        </w:rPr>
        <w:t>ProspektivM</w:t>
      </w:r>
      <w:r>
        <w:t xml:space="preserve">erbform der möglichen oder erwogenen Verwirklichung </w:t>
      </w:r>
      <w:r>
        <w:rPr>
          <w:rStyle w:val="Bodytext2Italic0"/>
        </w:rPr>
        <w:t>Pu'al:</w:t>
      </w:r>
      <w:r>
        <w:t xml:space="preserve"> das Passiv zum hebräischen P</w:t>
      </w:r>
      <w:r>
        <w:t>i'el</w:t>
      </w:r>
    </w:p>
    <w:p w:rsidR="00BB7EDA" w:rsidRDefault="007D72B3">
      <w:pPr>
        <w:pStyle w:val="Bodytext20"/>
        <w:shd w:val="clear" w:color="auto" w:fill="auto"/>
        <w:spacing w:before="0" w:line="216" w:lineRule="exact"/>
        <w:jc w:val="left"/>
      </w:pPr>
      <w:r>
        <w:rPr>
          <w:rStyle w:val="Bodytext2Italic0"/>
        </w:rPr>
        <w:t>Punktual:</w:t>
      </w:r>
      <w:r>
        <w:t xml:space="preserve"> Verbform, die Handlungen als momentanes Ereignis beschreibt </w:t>
      </w:r>
      <w:r>
        <w:rPr>
          <w:rStyle w:val="Bodytext2Italic0"/>
        </w:rPr>
        <w:t>Präfix:</w:t>
      </w:r>
      <w:r>
        <w:t xml:space="preserve"> vorne an ein Wort angehängtes Morphem </w:t>
      </w:r>
      <w:r>
        <w:rPr>
          <w:rStyle w:val="Bodytext2Italic0"/>
        </w:rPr>
        <w:t>Präsens:</w:t>
      </w:r>
      <w:r>
        <w:t xml:space="preserve"> Gegenwart</w:t>
      </w:r>
    </w:p>
    <w:p w:rsidR="00BB7EDA" w:rsidRDefault="007D72B3">
      <w:pPr>
        <w:pStyle w:val="Bodytext20"/>
        <w:shd w:val="clear" w:color="auto" w:fill="auto"/>
        <w:spacing w:before="0" w:line="216" w:lineRule="exact"/>
        <w:jc w:val="left"/>
      </w:pPr>
      <w:r>
        <w:rPr>
          <w:rStyle w:val="Bodytext2Italic0"/>
        </w:rPr>
        <w:t>Präsens-Futur:</w:t>
      </w:r>
      <w:r>
        <w:t xml:space="preserve"> Verbalformen zum Ausdruck gegenwärtiger und zu</w:t>
      </w:r>
      <w:r>
        <w:softHyphen/>
        <w:t xml:space="preserve">künftiger Handlungen </w:t>
      </w:r>
      <w:r>
        <w:rPr>
          <w:rStyle w:val="Bodytext2Italic0"/>
        </w:rPr>
        <w:t>Präteritum:</w:t>
      </w:r>
      <w:r>
        <w:t xml:space="preserve"> Vergangenheit </w:t>
      </w:r>
      <w:r>
        <w:rPr>
          <w:rStyle w:val="Bodytext2Italic0"/>
        </w:rPr>
        <w:t>Prekati</w:t>
      </w:r>
      <w:r>
        <w:rPr>
          <w:rStyle w:val="Bodytext2Italic0"/>
        </w:rPr>
        <w:t>v:</w:t>
      </w:r>
      <w:r>
        <w:t xml:space="preserve"> Wunschform</w:t>
      </w:r>
    </w:p>
    <w:p w:rsidR="00BB7EDA" w:rsidRDefault="007D72B3">
      <w:pPr>
        <w:pStyle w:val="Bodytext20"/>
        <w:shd w:val="clear" w:color="auto" w:fill="auto"/>
        <w:spacing w:before="0" w:line="216" w:lineRule="exact"/>
        <w:jc w:val="left"/>
      </w:pPr>
      <w:r>
        <w:rPr>
          <w:rStyle w:val="Bodytext2Italic0"/>
        </w:rPr>
        <w:t>Prosodie:</w:t>
      </w:r>
      <w:r>
        <w:t xml:space="preserve"> Der rhythmische und metrische Aspekt der Sprache im Zusam</w:t>
      </w:r>
      <w:r>
        <w:softHyphen/>
        <w:t xml:space="preserve">menhang mit Ton, Intonation, Akzent und Länge </w:t>
      </w:r>
      <w:r>
        <w:rPr>
          <w:rStyle w:val="Bodytext2Italic0"/>
        </w:rPr>
        <w:t>Prosodik:</w:t>
      </w:r>
      <w:r>
        <w:t xml:space="preserve"> Die Lehre von der Prosodie (s. dort)</w:t>
      </w:r>
    </w:p>
    <w:p w:rsidR="00BB7EDA" w:rsidRDefault="007D72B3">
      <w:pPr>
        <w:pStyle w:val="Bodytext20"/>
        <w:shd w:val="clear" w:color="auto" w:fill="auto"/>
        <w:spacing w:before="0" w:line="216" w:lineRule="exact"/>
        <w:ind w:left="320" w:hanging="320"/>
        <w:jc w:val="left"/>
      </w:pPr>
      <w:r>
        <w:rPr>
          <w:rStyle w:val="Bodytext2Italic0"/>
        </w:rPr>
        <w:t>Radikal:</w:t>
      </w:r>
      <w:r>
        <w:t xml:space="preserve"> wurzelbildendes Phonem</w:t>
      </w:r>
    </w:p>
    <w:p w:rsidR="00BB7EDA" w:rsidRDefault="007D72B3">
      <w:pPr>
        <w:pStyle w:val="Bodytext80"/>
        <w:shd w:val="clear" w:color="auto" w:fill="auto"/>
        <w:spacing w:line="216" w:lineRule="exact"/>
        <w:ind w:left="320" w:hanging="320"/>
        <w:jc w:val="left"/>
      </w:pPr>
      <w:r>
        <w:t>Reduplikation:</w:t>
      </w:r>
      <w:r>
        <w:rPr>
          <w:rStyle w:val="Bodytext8NotItalic"/>
        </w:rPr>
        <w:t xml:space="preserve"> Verdoppelung</w:t>
      </w:r>
    </w:p>
    <w:p w:rsidR="00BB7EDA" w:rsidRDefault="007D72B3">
      <w:pPr>
        <w:pStyle w:val="Bodytext80"/>
        <w:shd w:val="clear" w:color="auto" w:fill="auto"/>
        <w:spacing w:line="216" w:lineRule="exact"/>
        <w:ind w:left="320" w:hanging="320"/>
        <w:jc w:val="left"/>
      </w:pPr>
      <w:r>
        <w:t>Reflexiv:</w:t>
      </w:r>
      <w:r>
        <w:rPr>
          <w:rStyle w:val="Bodytext8NotItalic"/>
        </w:rPr>
        <w:t xml:space="preserve"> rückbezügli</w:t>
      </w:r>
      <w:r>
        <w:rPr>
          <w:rStyle w:val="Bodytext8NotItalic"/>
        </w:rPr>
        <w:t xml:space="preserve">ch (z B. </w:t>
      </w:r>
      <w:r>
        <w:t>Ich wasche mich)</w:t>
      </w:r>
    </w:p>
    <w:p w:rsidR="00BB7EDA" w:rsidRDefault="007D72B3">
      <w:pPr>
        <w:pStyle w:val="Bodytext20"/>
        <w:shd w:val="clear" w:color="auto" w:fill="auto"/>
        <w:spacing w:before="0" w:line="216" w:lineRule="exact"/>
        <w:ind w:left="320" w:hanging="320"/>
        <w:jc w:val="left"/>
      </w:pPr>
      <w:r>
        <w:rPr>
          <w:rStyle w:val="Bodytext2Italic0"/>
        </w:rPr>
        <w:t>Resultativ:</w:t>
      </w:r>
      <w:r>
        <w:t xml:space="preserve"> Verbform, die Handlungen, die zu einem Ergebnis führen, beschreibt</w:t>
      </w:r>
    </w:p>
    <w:p w:rsidR="00BB7EDA" w:rsidRDefault="007D72B3">
      <w:pPr>
        <w:pStyle w:val="Bodytext20"/>
        <w:shd w:val="clear" w:color="auto" w:fill="auto"/>
        <w:spacing w:before="0" w:line="216" w:lineRule="exact"/>
        <w:jc w:val="left"/>
      </w:pPr>
      <w:r>
        <w:rPr>
          <w:rStyle w:val="Bodytext2Italic0"/>
        </w:rPr>
        <w:t>Semantik:</w:t>
      </w:r>
      <w:r>
        <w:t xml:space="preserve"> Wortbedeutungslehre </w:t>
      </w:r>
      <w:r>
        <w:rPr>
          <w:rStyle w:val="Bodytext2Italic0"/>
        </w:rPr>
        <w:t>semantisch:</w:t>
      </w:r>
      <w:r>
        <w:t xml:space="preserve"> die Wortbedeutung betreffend </w:t>
      </w:r>
      <w:r>
        <w:rPr>
          <w:rStyle w:val="Bodytext2Italic0"/>
        </w:rPr>
        <w:t>Singular:</w:t>
      </w:r>
      <w:r>
        <w:t xml:space="preserve"> Einzahl</w:t>
      </w:r>
    </w:p>
    <w:p w:rsidR="00BB7EDA" w:rsidRDefault="007D72B3">
      <w:pPr>
        <w:pStyle w:val="Bodytext20"/>
        <w:shd w:val="clear" w:color="auto" w:fill="auto"/>
        <w:spacing w:before="0" w:line="216" w:lineRule="exact"/>
        <w:jc w:val="left"/>
      </w:pPr>
      <w:r>
        <w:rPr>
          <w:rStyle w:val="Bodytext2Italic0"/>
        </w:rPr>
        <w:t>Status absolutus:</w:t>
      </w:r>
      <w:r>
        <w:t xml:space="preserve"> unabhängige Nominalform </w:t>
      </w:r>
      <w:r>
        <w:rPr>
          <w:rStyle w:val="Bodytext2Italic0"/>
        </w:rPr>
        <w:t>Status rectus:</w:t>
      </w:r>
      <w:r>
        <w:t xml:space="preserve"> unabh</w:t>
      </w:r>
      <w:r>
        <w:t>ängige Nominalform</w:t>
      </w:r>
    </w:p>
    <w:p w:rsidR="00BB7EDA" w:rsidRDefault="007D72B3">
      <w:pPr>
        <w:pStyle w:val="Bodytext20"/>
        <w:shd w:val="clear" w:color="auto" w:fill="auto"/>
        <w:spacing w:before="0" w:line="216" w:lineRule="exact"/>
        <w:ind w:left="320" w:hanging="320"/>
        <w:jc w:val="left"/>
      </w:pPr>
      <w:r>
        <w:rPr>
          <w:rStyle w:val="Bodytext2Italic0"/>
        </w:rPr>
        <w:t>Status constructus:</w:t>
      </w:r>
      <w:r>
        <w:t xml:space="preserve"> Konstruktionsform (Das Nomen im Status construc- tus lehnt sich an einen nachfolgenden Genitiv an)</w:t>
      </w:r>
    </w:p>
    <w:p w:rsidR="00BB7EDA" w:rsidRDefault="007D72B3">
      <w:pPr>
        <w:pStyle w:val="Bodytext20"/>
        <w:shd w:val="clear" w:color="auto" w:fill="auto"/>
        <w:spacing w:before="0" w:line="216" w:lineRule="exact"/>
        <w:ind w:left="320" w:hanging="320"/>
        <w:jc w:val="left"/>
      </w:pPr>
      <w:r>
        <w:rPr>
          <w:rStyle w:val="Bodytext2Italic0"/>
        </w:rPr>
        <w:t>Subjunktiv:</w:t>
      </w:r>
      <w:r>
        <w:t xml:space="preserve"> spezielle Wortform in Nebensätzen</w:t>
      </w:r>
    </w:p>
    <w:p w:rsidR="00BB7EDA" w:rsidRDefault="007D72B3">
      <w:pPr>
        <w:pStyle w:val="Bodytext20"/>
        <w:shd w:val="clear" w:color="auto" w:fill="auto"/>
        <w:spacing w:before="0" w:line="216" w:lineRule="exact"/>
        <w:ind w:left="320" w:hanging="320"/>
        <w:jc w:val="left"/>
      </w:pPr>
      <w:r>
        <w:rPr>
          <w:rStyle w:val="Bodytext2Italic0"/>
        </w:rPr>
        <w:t>Suffix:</w:t>
      </w:r>
      <w:r>
        <w:t xml:space="preserve"> hinten oder vorne an ein Wort angehängtes Morphem</w:t>
      </w:r>
    </w:p>
    <w:p w:rsidR="00BB7EDA" w:rsidRDefault="007D72B3">
      <w:pPr>
        <w:pStyle w:val="Bodytext20"/>
        <w:shd w:val="clear" w:color="auto" w:fill="auto"/>
        <w:spacing w:before="0" w:line="216" w:lineRule="exact"/>
        <w:ind w:left="320" w:hanging="320"/>
        <w:jc w:val="left"/>
        <w:sectPr w:rsidR="00BB7EDA">
          <w:pgSz w:w="7266" w:h="11422"/>
          <w:pgMar w:top="841" w:right="747" w:bottom="1159" w:left="854" w:header="0" w:footer="3" w:gutter="0"/>
          <w:cols w:space="720"/>
          <w:noEndnote/>
          <w:docGrid w:linePitch="360"/>
        </w:sectPr>
      </w:pPr>
      <w:r>
        <w:rPr>
          <w:rStyle w:val="Bodytext2Italic0"/>
        </w:rPr>
        <w:t>synchrone Methode:</w:t>
      </w:r>
      <w:r>
        <w:t xml:space="preserve"> Beschreibung einer bestimmten Sprache in ihrer</w:t>
      </w:r>
    </w:p>
    <w:p w:rsidR="00BB7EDA" w:rsidRDefault="007D72B3">
      <w:pPr>
        <w:pStyle w:val="Bodytext20"/>
        <w:shd w:val="clear" w:color="auto" w:fill="auto"/>
        <w:spacing w:before="0" w:line="216" w:lineRule="exact"/>
        <w:ind w:right="1620" w:firstLine="280"/>
        <w:jc w:val="left"/>
      </w:pPr>
      <w:r>
        <w:t xml:space="preserve">Gestalt zu einem zu einem gewissen Zeitpunkt </w:t>
      </w:r>
      <w:r>
        <w:rPr>
          <w:rStyle w:val="Bodytext2Italic0"/>
        </w:rPr>
        <w:t>Syntax:</w:t>
      </w:r>
      <w:r>
        <w:t xml:space="preserve"> die Lehre vom Satzbau</w:t>
      </w:r>
    </w:p>
    <w:p w:rsidR="00BB7EDA" w:rsidRDefault="007D72B3">
      <w:pPr>
        <w:pStyle w:val="Bodytext20"/>
        <w:shd w:val="clear" w:color="auto" w:fill="auto"/>
        <w:spacing w:before="0" w:line="216" w:lineRule="exact"/>
        <w:jc w:val="left"/>
      </w:pPr>
      <w:r>
        <w:rPr>
          <w:rStyle w:val="Bodytext2Italic0"/>
        </w:rPr>
        <w:t>synthetische Form:</w:t>
      </w:r>
      <w:r>
        <w:t xml:space="preserve"> aus einem Wort zusammengesetzte Flexions- oder Agglutinationsform </w:t>
      </w:r>
      <w:r>
        <w:rPr>
          <w:rStyle w:val="Bodytext2Italic0"/>
        </w:rPr>
        <w:t>Tempus:</w:t>
      </w:r>
      <w:r>
        <w:t xml:space="preserve"> Zeitform des Verbs </w:t>
      </w:r>
      <w:r>
        <w:rPr>
          <w:rStyle w:val="Bodytext2Italic0"/>
        </w:rPr>
        <w:t>Terminativ:</w:t>
      </w:r>
      <w:r>
        <w:t xml:space="preserve"> Zielfall</w:t>
      </w:r>
    </w:p>
    <w:p w:rsidR="00BB7EDA" w:rsidRDefault="007D72B3">
      <w:pPr>
        <w:pStyle w:val="Bodytext20"/>
        <w:shd w:val="clear" w:color="auto" w:fill="auto"/>
        <w:spacing w:before="0" w:line="216" w:lineRule="exact"/>
        <w:jc w:val="left"/>
      </w:pPr>
      <w:r>
        <w:rPr>
          <w:rStyle w:val="Bodytext2Italic0"/>
        </w:rPr>
        <w:t>T’erminativ-Adverbial:</w:t>
      </w:r>
      <w:r>
        <w:t xml:space="preserve"> Zielumstands-Fall </w:t>
      </w:r>
      <w:r>
        <w:rPr>
          <w:rStyle w:val="Bodytext2Italic0"/>
        </w:rPr>
        <w:t>Tonern:</w:t>
      </w:r>
      <w:r>
        <w:t xml:space="preserve"> bedeutungsunterscheidende Tonhöhe eines Lauts </w:t>
      </w:r>
      <w:r>
        <w:rPr>
          <w:rStyle w:val="Bodytext2Italic0"/>
        </w:rPr>
        <w:t>Transitiv:</w:t>
      </w:r>
      <w:r>
        <w:t xml:space="preserve"> auf ein Objekt hin zielend </w:t>
      </w:r>
      <w:r>
        <w:rPr>
          <w:rStyle w:val="Bodytext2Italic0"/>
        </w:rPr>
        <w:t>Transliteration:</w:t>
      </w:r>
      <w:r>
        <w:t xml:space="preserve"> Umschrift</w:t>
      </w:r>
    </w:p>
    <w:p w:rsidR="00BB7EDA" w:rsidRDefault="007D72B3">
      <w:pPr>
        <w:pStyle w:val="Bodytext20"/>
        <w:shd w:val="clear" w:color="auto" w:fill="auto"/>
        <w:spacing w:before="0" w:line="216" w:lineRule="exact"/>
        <w:jc w:val="left"/>
      </w:pPr>
      <w:r>
        <w:rPr>
          <w:rStyle w:val="Bodytext2Italic0"/>
        </w:rPr>
        <w:t>Ventiv:</w:t>
      </w:r>
      <w:r>
        <w:t xml:space="preserve"> Wortform, welche die ITandlung in Richtung auf </w:t>
      </w:r>
      <w:r>
        <w:t xml:space="preserve">den Sprecher hin geschehend beschreibt </w:t>
      </w:r>
      <w:r>
        <w:rPr>
          <w:rStyle w:val="Bodytext2Italic0"/>
        </w:rPr>
        <w:t>Verb:</w:t>
      </w:r>
      <w:r>
        <w:t xml:space="preserve"> Tätigkeitswort </w:t>
      </w:r>
      <w:r>
        <w:rPr>
          <w:rStyle w:val="Bodytext2Italic0"/>
        </w:rPr>
        <w:t>Vokal:</w:t>
      </w:r>
      <w:r>
        <w:t xml:space="preserve"> Selbstlaut </w:t>
      </w:r>
      <w:r>
        <w:rPr>
          <w:rStyle w:val="Bodytext2Italic0"/>
        </w:rPr>
        <w:t>Vokativ:</w:t>
      </w:r>
      <w:r>
        <w:t xml:space="preserve"> Anredefall </w:t>
      </w:r>
      <w:r>
        <w:rPr>
          <w:rStyle w:val="Bodytext2Italic0"/>
        </w:rPr>
        <w:t>Voluntativ:</w:t>
      </w:r>
      <w:r>
        <w:t xml:space="preserve"> Wunschform</w:t>
      </w:r>
    </w:p>
    <w:p w:rsidR="00BB7EDA" w:rsidRDefault="007D72B3">
      <w:pPr>
        <w:pStyle w:val="Bodytext20"/>
        <w:shd w:val="clear" w:color="auto" w:fill="auto"/>
        <w:spacing w:before="0" w:after="385" w:line="216" w:lineRule="exact"/>
        <w:jc w:val="left"/>
      </w:pPr>
      <w:r>
        <w:rPr>
          <w:rStyle w:val="Bodytext2Italic0"/>
        </w:rPr>
        <w:t>Vulgarismen:</w:t>
      </w:r>
      <w:r>
        <w:t xml:space="preserve"> niedrige volkssprachliche Elemente </w:t>
      </w:r>
      <w:r>
        <w:rPr>
          <w:rStyle w:val="Bodytext2Italic0"/>
        </w:rPr>
        <w:t>Zahl:</w:t>
      </w:r>
      <w:r>
        <w:t xml:space="preserve"> Numerus (z.B. Einzahl oder Mehrzahl)</w:t>
      </w:r>
    </w:p>
    <w:p w:rsidR="00BB7EDA" w:rsidRDefault="007D72B3">
      <w:pPr>
        <w:pStyle w:val="Heading30"/>
        <w:keepNext/>
        <w:keepLines/>
        <w:shd w:val="clear" w:color="auto" w:fill="auto"/>
        <w:spacing w:after="149" w:line="260" w:lineRule="exact"/>
        <w:ind w:left="280" w:hanging="280"/>
        <w:jc w:val="left"/>
      </w:pPr>
      <w:bookmarkStart w:id="168" w:name="bookmark167"/>
      <w:r>
        <w:t>Bibliographie von Roger Liebi</w:t>
      </w:r>
      <w:bookmarkEnd w:id="168"/>
    </w:p>
    <w:p w:rsidR="00BB7EDA" w:rsidRDefault="007D72B3">
      <w:pPr>
        <w:pStyle w:val="Bodytext20"/>
        <w:numPr>
          <w:ilvl w:val="0"/>
          <w:numId w:val="212"/>
        </w:numPr>
        <w:shd w:val="clear" w:color="auto" w:fill="auto"/>
        <w:tabs>
          <w:tab w:val="left" w:pos="207"/>
        </w:tabs>
        <w:spacing w:before="0" w:line="216" w:lineRule="exact"/>
        <w:ind w:left="280" w:hanging="280"/>
      </w:pPr>
      <w:r>
        <w:t>Erfüllte Proph</w:t>
      </w:r>
      <w:r>
        <w:t>etie, Messianische Prophetie - ihre Erfüllung und historische Echtheit, 5. Auflage, Berneck 1990 (84 SS.; Erstauflage 1983). Entspricht der Lizenzausgabe: Der verheißene Erlöser, Zürich 1994 (126 S.). Übersetzungen: Französisch, Holländisch, Italienisch un</w:t>
      </w:r>
      <w:r>
        <w:t>d Ungarisch.</w:t>
      </w:r>
    </w:p>
    <w:p w:rsidR="00BB7EDA" w:rsidRDefault="007D72B3">
      <w:pPr>
        <w:pStyle w:val="Bodytext20"/>
        <w:numPr>
          <w:ilvl w:val="0"/>
          <w:numId w:val="212"/>
        </w:numPr>
        <w:shd w:val="clear" w:color="auto" w:fill="auto"/>
        <w:tabs>
          <w:tab w:val="left" w:pos="207"/>
        </w:tabs>
        <w:spacing w:before="0" w:line="216" w:lineRule="exact"/>
        <w:ind w:left="280" w:hanging="280"/>
      </w:pPr>
      <w:r>
        <w:t>Weltgeschichte im Visier des Propheten Daniel, 6. Auflage, Berneck 2002 (101 S.; Erstauflage 1986). Übersetzungen: Italienisch und Un</w:t>
      </w:r>
      <w:r>
        <w:softHyphen/>
        <w:t>garisch.</w:t>
      </w:r>
    </w:p>
    <w:p w:rsidR="00BB7EDA" w:rsidRDefault="007D72B3">
      <w:pPr>
        <w:pStyle w:val="Bodytext20"/>
        <w:numPr>
          <w:ilvl w:val="0"/>
          <w:numId w:val="212"/>
        </w:numPr>
        <w:shd w:val="clear" w:color="auto" w:fill="auto"/>
        <w:tabs>
          <w:tab w:val="left" w:pos="207"/>
        </w:tabs>
        <w:spacing w:before="0" w:line="216" w:lineRule="exact"/>
        <w:ind w:left="280" w:hanging="280"/>
      </w:pPr>
      <w:r>
        <w:t>Rockmusik, Ausdruck einer Jugend in einem sterbenden Zeitalter, 4. Auflage, Zürich 1995 (32 S.; Erst</w:t>
      </w:r>
      <w:r>
        <w:t>auflage 1987). Übersetzungen: Fran</w:t>
      </w:r>
      <w:r>
        <w:softHyphen/>
        <w:t>zösisch, Polnisch und Russisch.</w:t>
      </w:r>
    </w:p>
    <w:p w:rsidR="00BB7EDA" w:rsidRDefault="007D72B3">
      <w:pPr>
        <w:pStyle w:val="Bodytext20"/>
        <w:numPr>
          <w:ilvl w:val="0"/>
          <w:numId w:val="212"/>
        </w:numPr>
        <w:shd w:val="clear" w:color="auto" w:fill="auto"/>
        <w:tabs>
          <w:tab w:val="left" w:pos="207"/>
        </w:tabs>
        <w:spacing w:before="0" w:line="216" w:lineRule="exact"/>
        <w:ind w:left="280" w:hanging="280"/>
      </w:pPr>
      <w:r>
        <w:t>Introduction ä la poesie hebrai'que, Cahiers des REBS, Nr. 8,1994 (13</w:t>
      </w:r>
    </w:p>
    <w:p w:rsidR="00BB7EDA" w:rsidRDefault="007D72B3">
      <w:pPr>
        <w:pStyle w:val="Bodytext40"/>
        <w:shd w:val="clear" w:color="auto" w:fill="auto"/>
        <w:spacing w:after="0" w:line="240" w:lineRule="exact"/>
        <w:ind w:firstLine="280"/>
        <w:jc w:val="left"/>
      </w:pPr>
      <w:r>
        <w:t>SO-</w:t>
      </w:r>
    </w:p>
    <w:p w:rsidR="00BB7EDA" w:rsidRDefault="007D72B3">
      <w:pPr>
        <w:pStyle w:val="Bodytext20"/>
        <w:numPr>
          <w:ilvl w:val="0"/>
          <w:numId w:val="212"/>
        </w:numPr>
        <w:shd w:val="clear" w:color="auto" w:fill="auto"/>
        <w:tabs>
          <w:tab w:val="left" w:pos="207"/>
        </w:tabs>
        <w:spacing w:before="0" w:line="216" w:lineRule="exact"/>
        <w:ind w:left="280" w:hanging="280"/>
        <w:jc w:val="left"/>
      </w:pPr>
      <w:r>
        <w:t>Einführung in die vier Evangelien, Zürich 1990 (80 S). Übersetzung: Italienisch.</w:t>
      </w:r>
    </w:p>
    <w:p w:rsidR="00BB7EDA" w:rsidRDefault="007D72B3">
      <w:pPr>
        <w:pStyle w:val="Bodytext20"/>
        <w:numPr>
          <w:ilvl w:val="0"/>
          <w:numId w:val="212"/>
        </w:numPr>
        <w:shd w:val="clear" w:color="auto" w:fill="auto"/>
        <w:tabs>
          <w:tab w:val="left" w:pos="207"/>
        </w:tabs>
        <w:spacing w:before="0" w:line="216" w:lineRule="exact"/>
        <w:ind w:left="280" w:hanging="280"/>
        <w:jc w:val="left"/>
      </w:pPr>
      <w:r>
        <w:t>Der Mensch - ein sprechender Affe?</w:t>
      </w:r>
      <w:r>
        <w:t xml:space="preserve"> Sprachwissenschaft contra Bibel, Berneck 1991 (99 S.; Erstauflage 1991).</w:t>
      </w:r>
    </w:p>
    <w:p w:rsidR="00BB7EDA" w:rsidRDefault="007D72B3">
      <w:pPr>
        <w:pStyle w:val="Bodytext20"/>
        <w:numPr>
          <w:ilvl w:val="0"/>
          <w:numId w:val="212"/>
        </w:numPr>
        <w:shd w:val="clear" w:color="auto" w:fill="auto"/>
        <w:tabs>
          <w:tab w:val="left" w:pos="207"/>
        </w:tabs>
        <w:spacing w:before="0" w:line="216" w:lineRule="exact"/>
        <w:ind w:left="280" w:hanging="280"/>
      </w:pPr>
      <w:r>
        <w:t>New Age! Kritische Bemerkungen zum gegenwärtigen Esoterik- Boom, Zürich 1991 (40 S.). Übersetzungen: Französisch, Ungarisch, Russisch und Spanisch.</w:t>
      </w:r>
    </w:p>
    <w:p w:rsidR="00BB7EDA" w:rsidRDefault="007D72B3">
      <w:pPr>
        <w:pStyle w:val="Bodytext20"/>
        <w:numPr>
          <w:ilvl w:val="0"/>
          <w:numId w:val="212"/>
        </w:numPr>
        <w:shd w:val="clear" w:color="auto" w:fill="auto"/>
        <w:tabs>
          <w:tab w:val="left" w:pos="207"/>
        </w:tabs>
        <w:spacing w:before="0" w:line="216" w:lineRule="exact"/>
        <w:ind w:left="280" w:hanging="280"/>
      </w:pPr>
      <w:r>
        <w:t xml:space="preserve">Wolfgang Amadeus Mozart, Zwischen </w:t>
      </w:r>
      <w:r>
        <w:t>Ideal und Abgrund, Bemeck</w:t>
      </w:r>
    </w:p>
    <w:p w:rsidR="00BB7EDA" w:rsidRDefault="007D72B3">
      <w:pPr>
        <w:pStyle w:val="Bodytext90"/>
        <w:shd w:val="clear" w:color="auto" w:fill="auto"/>
        <w:spacing w:line="216" w:lineRule="exact"/>
        <w:ind w:left="260"/>
        <w:jc w:val="left"/>
      </w:pPr>
      <w:r>
        <w:t>1991 (96 S.).</w:t>
      </w:r>
    </w:p>
    <w:p w:rsidR="00BB7EDA" w:rsidRPr="007D72B3" w:rsidRDefault="007D72B3">
      <w:pPr>
        <w:pStyle w:val="Bodytext90"/>
        <w:numPr>
          <w:ilvl w:val="0"/>
          <w:numId w:val="212"/>
        </w:numPr>
        <w:shd w:val="clear" w:color="auto" w:fill="auto"/>
        <w:tabs>
          <w:tab w:val="left" w:pos="206"/>
        </w:tabs>
        <w:spacing w:line="216" w:lineRule="exact"/>
        <w:ind w:left="260" w:hanging="260"/>
        <w:rPr>
          <w:lang w:val="en-US"/>
        </w:rPr>
      </w:pPr>
      <w:r w:rsidRPr="007D72B3">
        <w:rPr>
          <w:lang w:val="en-US"/>
        </w:rPr>
        <w:t>Defendre la foi chretienne, Cahiers des REBS, No. 14, 1995 (30 S.; Seminar 1991).</w:t>
      </w:r>
    </w:p>
    <w:p w:rsidR="00BB7EDA" w:rsidRDefault="007D72B3">
      <w:pPr>
        <w:pStyle w:val="Bodytext90"/>
        <w:numPr>
          <w:ilvl w:val="0"/>
          <w:numId w:val="212"/>
        </w:numPr>
        <w:shd w:val="clear" w:color="auto" w:fill="auto"/>
        <w:tabs>
          <w:tab w:val="left" w:pos="206"/>
        </w:tabs>
        <w:spacing w:line="216" w:lineRule="exact"/>
        <w:ind w:left="260" w:hanging="260"/>
      </w:pPr>
      <w:r>
        <w:t>Israel und das Schicksal des Irak, Unruheherd Nahost im Licht der Bibel, 5. Auflage, Berneck (Erstauflage 1993). Übersetzungen: Italie</w:t>
      </w:r>
      <w:r>
        <w:softHyphen/>
        <w:t>nisch, Spanisch.</w:t>
      </w:r>
    </w:p>
    <w:p w:rsidR="00BB7EDA" w:rsidRDefault="007D72B3">
      <w:pPr>
        <w:pStyle w:val="Bodytext90"/>
        <w:numPr>
          <w:ilvl w:val="0"/>
          <w:numId w:val="212"/>
        </w:numPr>
        <w:shd w:val="clear" w:color="auto" w:fill="auto"/>
        <w:tabs>
          <w:tab w:val="left" w:pos="206"/>
        </w:tabs>
        <w:spacing w:line="216" w:lineRule="exact"/>
        <w:ind w:left="260" w:hanging="260"/>
      </w:pPr>
      <w:r>
        <w:t>Das neue Europa - Hoffnung oder Illusion? 5. überarbeitete Auflage, Berneck 2002 (65 S.; Erstauflage 1994).</w:t>
      </w:r>
    </w:p>
    <w:p w:rsidR="00BB7EDA" w:rsidRDefault="007D72B3">
      <w:pPr>
        <w:pStyle w:val="Bodytext90"/>
        <w:numPr>
          <w:ilvl w:val="0"/>
          <w:numId w:val="212"/>
        </w:numPr>
        <w:shd w:val="clear" w:color="auto" w:fill="auto"/>
        <w:tabs>
          <w:tab w:val="left" w:pos="206"/>
        </w:tabs>
        <w:spacing w:line="216" w:lineRule="exact"/>
        <w:ind w:left="260" w:hanging="260"/>
      </w:pPr>
      <w:r>
        <w:t>Ist die Bibel glaubwürdig? Die Bibel ihre Autorität und Zuverlässig</w:t>
      </w:r>
      <w:r>
        <w:softHyphen/>
        <w:t>keit, Zürich 1995 (48 S.).</w:t>
      </w:r>
    </w:p>
    <w:p w:rsidR="00BB7EDA" w:rsidRDefault="007D72B3">
      <w:pPr>
        <w:pStyle w:val="Bodytext90"/>
        <w:numPr>
          <w:ilvl w:val="0"/>
          <w:numId w:val="212"/>
        </w:numPr>
        <w:shd w:val="clear" w:color="auto" w:fill="auto"/>
        <w:tabs>
          <w:tab w:val="left" w:pos="206"/>
        </w:tabs>
        <w:spacing w:line="216" w:lineRule="exact"/>
        <w:ind w:left="260" w:hanging="260"/>
      </w:pPr>
      <w:r>
        <w:t>Jerusalem - Hindernis für den Weltf</w:t>
      </w:r>
      <w:r>
        <w:t>rieden, Das Drama des jüdischen Tempels, 4. überarbeitete Auflage, Berneck 2000 (172 S.; Erstauflage 1994). Übersetzungen: Französisch, Holländisch.</w:t>
      </w:r>
    </w:p>
    <w:p w:rsidR="00BB7EDA" w:rsidRDefault="007D72B3">
      <w:pPr>
        <w:pStyle w:val="Bodytext90"/>
        <w:numPr>
          <w:ilvl w:val="0"/>
          <w:numId w:val="212"/>
        </w:numPr>
        <w:shd w:val="clear" w:color="auto" w:fill="auto"/>
        <w:tabs>
          <w:tab w:val="left" w:pos="206"/>
        </w:tabs>
        <w:spacing w:line="216" w:lineRule="exact"/>
        <w:ind w:left="260" w:hanging="260"/>
      </w:pPr>
      <w:r>
        <w:t>Le prophete Ezechiel, in: Sondez les Ecriture, Bd. 9, Koautor: Joel Prohin, Valence 1995, (166 S.).</w:t>
      </w:r>
    </w:p>
    <w:p w:rsidR="00BB7EDA" w:rsidRDefault="007D72B3">
      <w:pPr>
        <w:pStyle w:val="Bodytext90"/>
        <w:numPr>
          <w:ilvl w:val="0"/>
          <w:numId w:val="212"/>
        </w:numPr>
        <w:shd w:val="clear" w:color="auto" w:fill="auto"/>
        <w:tabs>
          <w:tab w:val="left" w:pos="207"/>
        </w:tabs>
        <w:spacing w:line="216" w:lineRule="exact"/>
        <w:ind w:left="260" w:hanging="260"/>
      </w:pPr>
      <w:r>
        <w:t>Livre d</w:t>
      </w:r>
      <w:r>
        <w:t>es Proverbes, in: Sondez les Ecriture, Bd. 5, Koautor: Joel Prohin, Valence 1995, (130 S.).</w:t>
      </w:r>
    </w:p>
    <w:p w:rsidR="00BB7EDA" w:rsidRDefault="007D72B3">
      <w:pPr>
        <w:pStyle w:val="Bodytext90"/>
        <w:numPr>
          <w:ilvl w:val="0"/>
          <w:numId w:val="212"/>
        </w:numPr>
        <w:shd w:val="clear" w:color="auto" w:fill="auto"/>
        <w:tabs>
          <w:tab w:val="left" w:pos="207"/>
        </w:tabs>
        <w:spacing w:line="216" w:lineRule="exact"/>
        <w:ind w:left="260" w:hanging="260"/>
      </w:pPr>
      <w:r>
        <w:t xml:space="preserve">So entstand das Christentum: Die Welt der Evangelien und der Apostelgeschichte völlig neu erlebt, in: </w:t>
      </w:r>
      <w:r>
        <w:rPr>
          <w:rStyle w:val="Bodytext98ptNotBoldSmallCaps"/>
        </w:rPr>
        <w:t xml:space="preserve">Liebi, R./Hunt, D./Seibel </w:t>
      </w:r>
      <w:r>
        <w:t xml:space="preserve">A./ </w:t>
      </w:r>
      <w:r>
        <w:rPr>
          <w:rStyle w:val="Bodytext98ptNotBoldSmallCaps"/>
        </w:rPr>
        <w:t xml:space="preserve">Lieth, </w:t>
      </w:r>
      <w:r>
        <w:t>N.: Prophetie - zeitnah -</w:t>
      </w:r>
      <w:r>
        <w:t xml:space="preserve"> zeitwahr - zeitklar, Pfäffikon 2000, S. 9-39.</w:t>
      </w:r>
    </w:p>
    <w:p w:rsidR="00BB7EDA" w:rsidRDefault="007D72B3">
      <w:pPr>
        <w:pStyle w:val="Bodytext90"/>
        <w:numPr>
          <w:ilvl w:val="0"/>
          <w:numId w:val="212"/>
        </w:numPr>
        <w:shd w:val="clear" w:color="auto" w:fill="auto"/>
        <w:tabs>
          <w:tab w:val="left" w:pos="207"/>
        </w:tabs>
        <w:spacing w:line="216" w:lineRule="exact"/>
        <w:ind w:left="260" w:hanging="260"/>
      </w:pPr>
      <w:r>
        <w:t>Ein neuer Blick auf die Passionswoche und ihren jüdischen Hinter</w:t>
      </w:r>
      <w:r>
        <w:softHyphen/>
        <w:t xml:space="preserve">grund; Das Schönste kommt noch - die himmlische Herrlichkeit im Buch der Offenbarung, in </w:t>
      </w:r>
      <w:r>
        <w:rPr>
          <w:rStyle w:val="Bodytext98ptNotBoldSmallCaps"/>
        </w:rPr>
        <w:t xml:space="preserve">Gassmann, </w:t>
      </w:r>
      <w:r>
        <w:t>L.</w:t>
      </w:r>
      <w:r>
        <w:rPr>
          <w:rStyle w:val="Bodytext98ptNotBoldSmallCaps"/>
        </w:rPr>
        <w:t xml:space="preserve">/Lieth, </w:t>
      </w:r>
      <w:r>
        <w:t>N.</w:t>
      </w:r>
      <w:r>
        <w:rPr>
          <w:rStyle w:val="Bodytext98ptNotBoldSmallCaps"/>
        </w:rPr>
        <w:t xml:space="preserve">/Liebi, </w:t>
      </w:r>
      <w:r>
        <w:t>R.: Was uns die Zukunft b</w:t>
      </w:r>
      <w:r>
        <w:t>ringt, Pfäffikon 2002.</w:t>
      </w:r>
    </w:p>
    <w:p w:rsidR="00BB7EDA" w:rsidRDefault="007D72B3">
      <w:pPr>
        <w:pStyle w:val="Bodytext90"/>
        <w:numPr>
          <w:ilvl w:val="0"/>
          <w:numId w:val="212"/>
        </w:numPr>
        <w:shd w:val="clear" w:color="auto" w:fill="auto"/>
        <w:tabs>
          <w:tab w:val="left" w:pos="207"/>
        </w:tabs>
        <w:spacing w:after="385" w:line="216" w:lineRule="exact"/>
        <w:ind w:left="260" w:hanging="260"/>
      </w:pPr>
      <w:r>
        <w:t>Der Messias im Tempel. Die Symbolik des Zweiten Tempels im Licht des Neuen Testaments, Bielefeld 2003.</w:t>
      </w:r>
    </w:p>
    <w:p w:rsidR="00BB7EDA" w:rsidRDefault="007D72B3">
      <w:pPr>
        <w:pStyle w:val="Heading30"/>
        <w:keepNext/>
        <w:keepLines/>
        <w:shd w:val="clear" w:color="auto" w:fill="auto"/>
        <w:spacing w:after="154" w:line="260" w:lineRule="exact"/>
      </w:pPr>
      <w:bookmarkStart w:id="169" w:name="bookmark168"/>
      <w:r>
        <w:t>Der Autor</w:t>
      </w:r>
      <w:bookmarkEnd w:id="169"/>
    </w:p>
    <w:p w:rsidR="00BB7EDA" w:rsidRDefault="007D72B3">
      <w:pPr>
        <w:pStyle w:val="Bodytext20"/>
        <w:shd w:val="clear" w:color="auto" w:fill="auto"/>
        <w:spacing w:before="0" w:line="216" w:lineRule="exact"/>
        <w:sectPr w:rsidR="00BB7EDA">
          <w:footerReference w:type="even" r:id="rId152"/>
          <w:footerReference w:type="default" r:id="rId153"/>
          <w:headerReference w:type="first" r:id="rId154"/>
          <w:footerReference w:type="first" r:id="rId155"/>
          <w:pgSz w:w="7266" w:h="11422"/>
          <w:pgMar w:top="841" w:right="747" w:bottom="1159" w:left="854" w:header="0" w:footer="3" w:gutter="0"/>
          <w:cols w:space="720"/>
          <w:noEndnote/>
          <w:titlePg/>
          <w:docGrid w:linePitch="360"/>
        </w:sectPr>
      </w:pPr>
      <w:r>
        <w:t xml:space="preserve">Dr. theol. Roger </w:t>
      </w:r>
      <w:r>
        <w:rPr>
          <w:rStyle w:val="Bodytext2Arial75ptSmallCaps"/>
        </w:rPr>
        <w:t xml:space="preserve">Liebi </w:t>
      </w:r>
      <w:r>
        <w:t>(Dipl. Mus.</w:t>
      </w:r>
      <w:r>
        <w:t>, B.Th., M.Th., Th.D.), Jahrgang 1958, verheiratet, sechs Kinder, studierte Musik, Sprachen der biblischen Welt (Griechisch, klassisches und modernes Hebräisch, Aramäisch, Akkadisch) und Theologie. Er ist als Referent und Bibellehrer in ver</w:t>
      </w:r>
      <w:r>
        <w:softHyphen/>
        <w:t>schiedenen Länd</w:t>
      </w:r>
      <w:r>
        <w:t>ern tätig. Aus seiner jahrelangen Beschäftigung mit der Heiligen Schrift und mit angrenzenden Gebieten ist eine Reihe von Veröffentlichungen hervorgegangen, in denen er sich mit Themen wie Exegese, Ursprung der Sprachen, hebräische Poesie, Musik, Kultur</w:t>
      </w:r>
      <w:r>
        <w:softHyphen/>
        <w:t>an</w:t>
      </w:r>
      <w:r>
        <w:t>alyse, Prophetie, Israel, Archäologie und Apologetik des christlichen Glaubens, Symbolik und Bedeutung des Zweiten Tempels beschäftigt. Als Bibelübersetzer hat er bisher im Rahmen von drei Projekten mitge</w:t>
      </w:r>
      <w:r>
        <w:softHyphen/>
        <w:t>wirkt.</w:t>
      </w:r>
    </w:p>
    <w:p w:rsidR="00BB7EDA" w:rsidRDefault="007D72B3">
      <w:pPr>
        <w:framePr w:h="11150" w:wrap="notBeside" w:vAnchor="text" w:hAnchor="text" w:xAlign="center" w:y="1"/>
        <w:jc w:val="center"/>
        <w:rPr>
          <w:sz w:val="2"/>
          <w:szCs w:val="2"/>
        </w:rPr>
      </w:pPr>
      <w:r>
        <w:fldChar w:fldCharType="begin"/>
      </w:r>
      <w:r>
        <w:instrText xml:space="preserve"> </w:instrText>
      </w:r>
      <w:r>
        <w:instrText>INCLUDEPICTURE  "X:\\sk\\NextUpload116\\Webserver\\german\\RogerLiebi\\media\\image16.jpeg" \* MERGEFORMATINET</w:instrText>
      </w:r>
      <w:r>
        <w:instrText xml:space="preserve"> </w:instrText>
      </w:r>
      <w:r>
        <w:fldChar w:fldCharType="separate"/>
      </w:r>
      <w:r>
        <w:pict>
          <v:shape id="_x0000_i1034" type="#_x0000_t75" style="width:356.25pt;height:558pt">
            <v:imagedata r:id="rId156" r:href="rId157"/>
          </v:shape>
        </w:pict>
      </w:r>
      <w:r>
        <w:fldChar w:fldCharType="end"/>
      </w:r>
    </w:p>
    <w:p w:rsidR="00BB7EDA" w:rsidRDefault="00BB7EDA">
      <w:pPr>
        <w:rPr>
          <w:sz w:val="2"/>
          <w:szCs w:val="2"/>
        </w:rPr>
      </w:pPr>
    </w:p>
    <w:p w:rsidR="00BB7EDA" w:rsidRDefault="00BB7EDA">
      <w:pPr>
        <w:rPr>
          <w:sz w:val="2"/>
          <w:szCs w:val="2"/>
        </w:rPr>
      </w:pPr>
    </w:p>
    <w:sectPr w:rsidR="00BB7EDA">
      <w:pgSz w:w="7266" w:h="11422"/>
      <w:pgMar w:top="96" w:right="71" w:bottom="96" w:left="7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D72B3">
      <w:r>
        <w:separator/>
      </w:r>
    </w:p>
  </w:endnote>
  <w:endnote w:type="continuationSeparator" w:id="0">
    <w:p w:rsidR="00000000" w:rsidRDefault="007D7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6" type="#_x0000_t202" style="position:absolute;margin-left:37.75pt;margin-top:533.85pt;width:7.9pt;height:6.25pt;z-index:-18874406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6</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9" type="#_x0000_t202" style="position:absolute;margin-left:309.3pt;margin-top:525.5pt;width:7.2pt;height:6.25pt;z-index:-18874405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27</w:t>
                </w:r>
                <w:r>
                  <w:rPr>
                    <w:rStyle w:val="Headerorfooter1"/>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8" type="#_x0000_t202" style="position:absolute;margin-left:37.75pt;margin-top:533.85pt;width:7.9pt;height:6.25pt;z-index:-18874405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w:instrText>
                </w:r>
                <w:r>
                  <w:instrText xml:space="preserve">MERGEFORMAT </w:instrText>
                </w:r>
                <w:r>
                  <w:fldChar w:fldCharType="separate"/>
                </w:r>
                <w:r w:rsidRPr="007D72B3">
                  <w:rPr>
                    <w:rStyle w:val="Headerorfooter1"/>
                    <w:noProof/>
                  </w:rPr>
                  <w:t>32</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7" type="#_x0000_t202" style="position:absolute;margin-left:309.3pt;margin-top:525.5pt;width:7.2pt;height:6.25pt;z-index:-18874405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31</w:t>
                </w:r>
                <w:r>
                  <w:rPr>
                    <w:rStyle w:val="Headerorfooter1"/>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5" type="#_x0000_t202" style="position:absolute;margin-left:309.25pt;margin-top:520.8pt;width:7.45pt;height:6.25pt;z-index:-18874405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Spacing0pt"/>
                    <w:noProof/>
                  </w:rPr>
                  <w:t>28</w:t>
                </w:r>
                <w:r>
                  <w:rPr>
                    <w:rStyle w:val="HeaderorfooterSpacing0pt"/>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4" type="#_x0000_t202" style="position:absolute;margin-left:37.75pt;margin-top:533.85pt;width:7.9pt;height:6.25pt;z-index:-18874405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40</w:t>
                </w:r>
                <w:r>
                  <w:rPr>
                    <w:rStyle w:val="Headerorfooter1"/>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3" type="#_x0000_t202" style="position:absolute;margin-left:309.3pt;margin-top:525.5pt;width:7.2pt;height:6.25pt;z-index:-18874405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41</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2" type="#_x0000_t202" style="position:absolute;margin-left:37.75pt;margin-top:533.85pt;width:7.9pt;height:6.25pt;z-index:-18874405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44</w:t>
                </w:r>
                <w:r>
                  <w:rPr>
                    <w:rStyle w:val="Headerorfooter1"/>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1" type="#_x0000_t202" style="position:absolute;margin-left:309.3pt;margin-top:525.5pt;width:7.2pt;height:6.25pt;z-index:-18874404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43</w:t>
                </w:r>
                <w:r>
                  <w:rPr>
                    <w:rStyle w:val="Headerorfooter1"/>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9" type="#_x0000_t202" style="position:absolute;margin-left:37.4pt;margin-top:509.7pt;width:8.4pt;height:6.25pt;z-index:-18874404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Spacing0pt1"/>
                    <w:noProof/>
                  </w:rPr>
                  <w:t>42</w:t>
                </w:r>
                <w:r>
                  <w:rPr>
                    <w:rStyle w:val="HeaderorfooterSpacing0pt1"/>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5" type="#_x0000_t202" style="position:absolute;margin-left:309.3pt;margin-top:525.5pt;width:7.2pt;height:6.25pt;z-index:-18874406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7</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8" type="#_x0000_t202" style="position:absolute;margin-left:37.75pt;margin-top:533.85pt;width:7.9pt;height:6.25pt;z-index:-18874404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92</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7" type="#_x0000_t202" style="position:absolute;margin-left:309.3pt;margin-top:525.5pt;width:7.2pt;height:6.25pt;z-index:-18874404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91</w:t>
                </w:r>
                <w:r>
                  <w:rPr>
                    <w:rStyle w:val="Headerorfooter1"/>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5" type="#_x0000_t202" style="position:absolute;margin-left:309.7pt;margin-top:518.9pt;width:8.15pt;height:6.25pt;z-index:-18874404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Spacing0pt1"/>
                    <w:noProof/>
                  </w:rPr>
                  <w:t>45</w:t>
                </w:r>
                <w:r>
                  <w:rPr>
                    <w:rStyle w:val="HeaderorfooterSpacing0pt1"/>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4" type="#_x0000_t202" style="position:absolute;margin-left:37.75pt;margin-top:533.85pt;width:7.9pt;height:6.25pt;z-index:-18874404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98</w:t>
                </w:r>
                <w:r>
                  <w:rPr>
                    <w:rStyle w:val="Headerorfooter1"/>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3" type="#_x0000_t202" style="position:absolute;margin-left:309.3pt;margin-top:525.5pt;width:7.2pt;height:6.25pt;z-index:-18874404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99</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2" type="#_x0000_t202" style="position:absolute;margin-left:38.2pt;margin-top:513.75pt;width:243.6pt;height:9.1pt;z-index:-18874404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rPr>
                    <w:rStyle w:val="Headerorfooter7ptSpacing0pt"/>
                    <w:vertAlign w:val="superscript"/>
                  </w:rPr>
                  <w:t>145</w:t>
                </w:r>
                <w:r>
                  <w:rPr>
                    <w:rStyle w:val="Headerorfooter7ptSmallCaps"/>
                  </w:rPr>
                  <w:t xml:space="preserve"> Junker/Scherer: </w:t>
                </w:r>
                <w:r>
                  <w:rPr>
                    <w:rStyle w:val="Headerorfooter75ptSpacing0pt"/>
                  </w:rPr>
                  <w:t>Evolution - ein kritisches Lehrbuch, Kap. IV.7.4.</w:t>
                </w:r>
              </w:p>
            </w:txbxContent>
          </v:textbox>
          <w10:wrap anchorx="page" anchory="page"/>
        </v:shape>
      </w:pict>
    </w:r>
    <w:r>
      <w:pict>
        <v:shape id="_x0000_s2131" type="#_x0000_t202" style="position:absolute;margin-left:37.7pt;margin-top:537.3pt;width:8.15pt;height:6.5pt;z-index:-18874403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75ptSpacing0pt"/>
                    <w:noProof/>
                  </w:rPr>
                  <w:t>93</w:t>
                </w:r>
                <w:r>
                  <w:rPr>
                    <w:rStyle w:val="Headerorfooter75ptSpacing0pt"/>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0" type="#_x0000_t202" style="position:absolute;margin-left:37.75pt;margin-top:533.85pt;width:7.9pt;height:6.25pt;z-index:-18874403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114</w:t>
                </w:r>
                <w:r>
                  <w:rPr>
                    <w:rStyle w:val="Headerorfooter1"/>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9" type="#_x0000_t202" style="position:absolute;margin-left:309.3pt;margin-top:525.5pt;width:7.2pt;height:6.25pt;z-index:-18874403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115</w:t>
                </w:r>
                <w:r>
                  <w:rPr>
                    <w:rStyle w:val="Headerorfooter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7" type="#_x0000_t202" style="position:absolute;margin-left:305.9pt;margin-top:509.6pt;width:12.5pt;height:6.25pt;z-index:-18874403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Spacing0pt"/>
                    <w:noProof/>
                  </w:rPr>
                  <w:t>100</w:t>
                </w:r>
                <w:r>
                  <w:rPr>
                    <w:rStyle w:val="Headerorfooter3Spacing0pt"/>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6" type="#_x0000_t202" style="position:absolute;margin-left:37.75pt;margin-top:533.85pt;width:7.9pt;height:6.25pt;z-index:-18874403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126</w:t>
                </w:r>
                <w:r>
                  <w:rPr>
                    <w:rStyle w:val="Headerorfooter1"/>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5" type="#_x0000_t202" style="position:absolute;margin-left:309.3pt;margin-top:525.5pt;width:7.2pt;height:6.25pt;z-index:-18874403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127</w:t>
                </w:r>
                <w:r>
                  <w:rPr>
                    <w:rStyle w:val="Headerorfooter1"/>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3" type="#_x0000_t202" style="position:absolute;margin-left:298.8pt;margin-top:514.3pt;width:12.25pt;height:6.25pt;z-index:-18874403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Spacing0pt"/>
                    <w:noProof/>
                  </w:rPr>
                  <w:t>120</w:t>
                </w:r>
                <w:r>
                  <w:rPr>
                    <w:rStyle w:val="Headerorfooter3Spacing0pt"/>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2" type="#_x0000_t202" style="position:absolute;margin-left:37.75pt;margin-top:533.85pt;width:7.9pt;height:6.25pt;z-index:-18874403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138</w:t>
                </w:r>
                <w:r>
                  <w:rPr>
                    <w:rStyle w:val="Headerorfooter1"/>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1" type="#_x0000_t202" style="position:absolute;margin-left:309.3pt;margin-top:525.5pt;width:7.2pt;height:6.25pt;z-index:-18874402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139</w:t>
                </w:r>
                <w:r>
                  <w:rPr>
                    <w:rStyle w:val="Headerorfooter1"/>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9" type="#_x0000_t202" style="position:absolute;margin-left:306.5pt;margin-top:511.85pt;width:11.75pt;height:6.25pt;z-index:-18874402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Spacing0pt"/>
                    <w:noProof/>
                  </w:rPr>
                  <w:t>128</w:t>
                </w:r>
                <w:r>
                  <w:rPr>
                    <w:rStyle w:val="Headerorfooter3Spacing0pt"/>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7" type="#_x0000_t202" style="position:absolute;margin-left:37.75pt;margin-top:533.85pt;width:7.9pt;height:6.25pt;z-index:-18874402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142</w:t>
                </w:r>
                <w:r>
                  <w:rPr>
                    <w:rStyle w:val="Headerorfooter1"/>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6" type="#_x0000_t202" style="position:absolute;margin-left:305.75pt;margin-top:514.5pt;width:12.25pt;height:6.25pt;z-index:-18874402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85pt"/>
                    <w:noProof/>
                  </w:rPr>
                  <w:t>143</w:t>
                </w:r>
                <w:r>
                  <w:rPr>
                    <w:rStyle w:val="Headerorfooter385pt"/>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5" type="#_x0000_t202" style="position:absolute;margin-left:309.3pt;margin-top:525.5pt;width:7.2pt;height:6.25pt;z-index:-18874402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140</w:t>
                </w:r>
                <w:r>
                  <w:rPr>
                    <w:rStyle w:val="Headerorfooter1"/>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4" type="#_x0000_t202" style="position:absolute;margin-left:37.75pt;margin-top:533.85pt;width:7.9pt;height:6.25pt;z-index:-18874402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150</w:t>
                </w:r>
                <w:r>
                  <w:rPr>
                    <w:rStyle w:val="Headerorfooter1"/>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3" type="#_x0000_t202" style="position:absolute;margin-left:309.3pt;margin-top:525.5pt;width:7.2pt;height:6.25pt;z-index:-18874402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151</w:t>
                </w:r>
                <w:r>
                  <w:rPr>
                    <w:rStyle w:val="Headerorfooter1"/>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4" type="#_x0000_t202" style="position:absolute;margin-left:309.3pt;margin-top:525.5pt;width:7.2pt;height:6.25pt;z-index:-18874406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9</w:t>
                </w:r>
                <w:r>
                  <w:rPr>
                    <w:rStyle w:val="Headerorfooter1"/>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1" type="#_x0000_t202" style="position:absolute;margin-left:305.5pt;margin-top:514.35pt;width:12.7pt;height:6.25pt;z-index:-18874401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Spacing0pt"/>
                    <w:noProof/>
                  </w:rPr>
                  <w:t>144</w:t>
                </w:r>
                <w:r>
                  <w:rPr>
                    <w:rStyle w:val="Headerorfooter3Spacing0pt"/>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0" type="#_x0000_t202" style="position:absolute;margin-left:37.75pt;margin-top:533.85pt;width:7.9pt;height:6.25pt;z-index:-18874401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156</w:t>
                </w:r>
                <w:r>
                  <w:rPr>
                    <w:rStyle w:val="Headerorfooter1"/>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9" type="#_x0000_t202" style="position:absolute;margin-left:309.3pt;margin-top:525.5pt;width:7.2pt;height:6.25pt;z-index:-18874401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155</w:t>
                </w:r>
                <w:r>
                  <w:rPr>
                    <w:rStyle w:val="Headerorfooter1"/>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8" type="#_x0000_t202" style="position:absolute;margin-left:309.3pt;margin-top:525.5pt;width:7.2pt;height:6.25pt;z-index:-18874401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159</w:t>
                </w:r>
                <w:r>
                  <w:rPr>
                    <w:rStyle w:val="Headerorfooter1"/>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7" type="#_x0000_t202" style="position:absolute;margin-left:37.75pt;margin-top:533.85pt;width:7.9pt;height:6.25pt;z-index:-18874401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157</w:t>
                </w:r>
                <w:r>
                  <w:rPr>
                    <w:rStyle w:val="Headerorfooter1"/>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4" type="#_x0000_t202" style="position:absolute;margin-left:308.2pt;margin-top:521.8pt;width:12pt;height:6.5pt;z-index:-18874401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1"/>
                    <w:noProof/>
                  </w:rPr>
                  <w:t>162</w:t>
                </w:r>
                <w:r>
                  <w:rPr>
                    <w:rStyle w:val="Headerorfooter31"/>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3" type="#_x0000_t202" style="position:absolute;margin-left:308.2pt;margin-top:521.8pt;width:12pt;height:6.5pt;z-index:-18874401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Pr>
                    <w:rStyle w:val="Headerorfooter31"/>
                  </w:rPr>
                  <w:t>#</w:t>
                </w:r>
                <w:r>
                  <w:rPr>
                    <w:rStyle w:val="Headerorfooter31"/>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2" type="#_x0000_t202" style="position:absolute;margin-left:37.75pt;margin-top:533.85pt;width:7.9pt;height:6.25pt;z-index:-18874401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161</w:t>
                </w:r>
                <w:r>
                  <w:rPr>
                    <w:rStyle w:val="Headerorfooter1"/>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3" type="#_x0000_t202" style="position:absolute;margin-left:37.75pt;margin-top:533.85pt;width:7.9pt;height:6.25pt;z-index:-18874406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8</w:t>
                </w:r>
                <w:r>
                  <w:rPr>
                    <w:rStyle w:val="Headerorfooter1"/>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1" type="#_x0000_t202" style="position:absolute;margin-left:37.75pt;margin-top:533.85pt;width:7.9pt;height:6.25pt;z-index:-18874400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170</w:t>
                </w:r>
                <w:r>
                  <w:rPr>
                    <w:rStyle w:val="Headerorfooter1"/>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0" type="#_x0000_t202" style="position:absolute;margin-left:309.3pt;margin-top:525.5pt;width:7.2pt;height:6.25pt;z-index:-18874400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169</w:t>
                </w:r>
                <w:r>
                  <w:rPr>
                    <w:rStyle w:val="Headerorfooter1"/>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8" type="#_x0000_t202" style="position:absolute;margin-left:41.45pt;margin-top:521.1pt;width:12.25pt;height:6.25pt;z-index:-18874400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1"/>
                    <w:noProof/>
                  </w:rPr>
                  <w:t>163</w:t>
                </w:r>
                <w:r>
                  <w:rPr>
                    <w:rStyle w:val="Headerorfooter31"/>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7" type="#_x0000_t202" style="position:absolute;margin-left:37.75pt;margin-top:533.85pt;width:7.9pt;height:6.25pt;z-index:-18874400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172</w:t>
                </w:r>
                <w:r>
                  <w:rPr>
                    <w:rStyle w:val="Headerorfooter1"/>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6" type="#_x0000_t202" style="position:absolute;margin-left:309.3pt;margin-top:525.5pt;width:7.2pt;height:6.25pt;z-index:-18874400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173</w:t>
                </w:r>
                <w:r>
                  <w:rPr>
                    <w:rStyle w:val="Headerorfooter1"/>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4" type="#_x0000_t202" style="position:absolute;margin-left:304.7pt;margin-top:518.4pt;width:12.25pt;height:6.25pt;z-index:-18874400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9pt"/>
                    <w:noProof/>
                  </w:rPr>
                  <w:t>171</w:t>
                </w:r>
                <w:r>
                  <w:rPr>
                    <w:rStyle w:val="Headerorfooter39pt"/>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3" type="#_x0000_t202" style="position:absolute;margin-left:37.75pt;margin-top:533.85pt;width:7.9pt;height:6.25pt;z-index:-18874400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178</w:t>
                </w:r>
                <w:r>
                  <w:rPr>
                    <w:rStyle w:val="Headerorfooter1"/>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2" type="#_x0000_t202" style="position:absolute;margin-left:309.3pt;margin-top:525.5pt;width:7.2pt;height:6.25pt;z-index:-18874400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177</w:t>
                </w:r>
                <w:r>
                  <w:rPr>
                    <w:rStyle w:val="Headerorfooter1"/>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0" type="#_x0000_t202" style="position:absolute;margin-left:55.1pt;margin-top:518.9pt;width:12.5pt;height:6.25pt;z-index:-18874399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9pt"/>
                    <w:noProof/>
                  </w:rPr>
                  <w:t>174</w:t>
                </w:r>
                <w:r>
                  <w:rPr>
                    <w:rStyle w:val="Headerorfooter39pt"/>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9" type="#_x0000_t202" style="position:absolute;margin-left:37.75pt;margin-top:533.85pt;width:7.9pt;height:6.25pt;z-index:-18874399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186</w:t>
                </w:r>
                <w:r>
                  <w:rPr>
                    <w:rStyle w:val="Headerorfooter1"/>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2" type="#_x0000_t202" style="position:absolute;margin-left:37.75pt;margin-top:533.85pt;width:7.9pt;height:6.25pt;z-index:-18874406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22</w:t>
                </w:r>
                <w:r>
                  <w:rPr>
                    <w:rStyle w:val="Headerorfooter1"/>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8" type="#_x0000_t202" style="position:absolute;margin-left:309.3pt;margin-top:525.5pt;width:7.2pt;height:6.25pt;z-index:-18874399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185</w:t>
                </w:r>
                <w:r>
                  <w:rPr>
                    <w:rStyle w:val="Headerorfooter1"/>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6" type="#_x0000_t202" style="position:absolute;margin-left:315.4pt;margin-top:513.9pt;width:11.5pt;height:6.25pt;z-index:-18874399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1"/>
                    <w:noProof/>
                  </w:rPr>
                  <w:t>179</w:t>
                </w:r>
                <w:r>
                  <w:rPr>
                    <w:rStyle w:val="Headerorfooter31"/>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5" type="#_x0000_t202" style="position:absolute;margin-left:37.75pt;margin-top:533.85pt;width:7.9pt;height:6.25pt;z-index:-18874399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198</w:t>
                </w:r>
                <w:r>
                  <w:rPr>
                    <w:rStyle w:val="Headerorfooter1"/>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4" type="#_x0000_t202" style="position:absolute;margin-left:309.3pt;margin-top:525.5pt;width:7.2pt;height:6.25pt;z-index:-18874399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197</w:t>
                </w:r>
                <w:r>
                  <w:rPr>
                    <w:rStyle w:val="Headerorfooter1"/>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2" type="#_x0000_t202" style="position:absolute;margin-left:315.85pt;margin-top:516.55pt;width:12.25pt;height:6.25pt;z-index:-18874399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1"/>
                    <w:noProof/>
                  </w:rPr>
                  <w:t>187</w:t>
                </w:r>
                <w:r>
                  <w:rPr>
                    <w:rStyle w:val="Headerorfooter31"/>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1" type="#_x0000_t202" style="position:absolute;margin-left:37.75pt;margin-top:533.85pt;width:7.9pt;height:6.25pt;z-index:-18874398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204</w:t>
                </w:r>
                <w:r>
                  <w:rPr>
                    <w:rStyle w:val="Headerorfooter1"/>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0" type="#_x0000_t202" style="position:absolute;margin-left:309.3pt;margin-top:525.5pt;width:7.2pt;height:6.25pt;z-index:-18874398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205</w:t>
                </w:r>
                <w:r>
                  <w:rPr>
                    <w:rStyle w:val="Headerorfooter1"/>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8" type="#_x0000_t202" style="position:absolute;margin-left:313.15pt;margin-top:509.85pt;width:11.75pt;height:6.25pt;z-index:-18874398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9pt"/>
                    <w:noProof/>
                  </w:rPr>
                  <w:t>199</w:t>
                </w:r>
                <w:r>
                  <w:rPr>
                    <w:rStyle w:val="Headerorfooter39pt"/>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7" type="#_x0000_t202" style="position:absolute;margin-left:37.75pt;margin-top:533.85pt;width:7.9pt;height:6.25pt;z-index:-18874398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212</w:t>
                </w:r>
                <w:r>
                  <w:rPr>
                    <w:rStyle w:val="Headerorfooter1"/>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6" type="#_x0000_t202" style="position:absolute;margin-left:309.3pt;margin-top:525.5pt;width:7.2pt;height:6.25pt;z-index:-18874398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213</w:t>
                </w:r>
                <w:r>
                  <w:rPr>
                    <w:rStyle w:val="Headerorfooter1"/>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1" type="#_x0000_t202" style="position:absolute;margin-left:309.3pt;margin-top:525.5pt;width:7.2pt;height:6.25pt;z-index:-18874405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23</w:t>
                </w:r>
                <w:r>
                  <w:rPr>
                    <w:rStyle w:val="Headerorfooter1"/>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5" type="#_x0000_t202" style="position:absolute;margin-left:37.75pt;margin-top:533.85pt;width:7.9pt;height:6.25pt;z-index:-18874398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222</w:t>
                </w:r>
                <w:r>
                  <w:rPr>
                    <w:rStyle w:val="Headerorfooter1"/>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4" type="#_x0000_t202" style="position:absolute;margin-left:309.3pt;margin-top:525.5pt;width:7.2pt;height:6.25pt;z-index:-18874398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223</w:t>
                </w:r>
                <w:r>
                  <w:rPr>
                    <w:rStyle w:val="Headerorfooter1"/>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2" type="#_x0000_t202" style="position:absolute;margin-left:56.15pt;margin-top:521.15pt;width:13.2pt;height:6.25pt;z-index:-18874398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sidRPr="007D72B3">
                  <w:rPr>
                    <w:rStyle w:val="Headerorfooter39pt"/>
                    <w:noProof/>
                  </w:rPr>
                  <w:t>214</w:t>
                </w:r>
                <w:r>
                  <w:rPr>
                    <w:rStyle w:val="Headerorfooter39pt"/>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1" type="#_x0000_t202" style="position:absolute;margin-left:37.75pt;margin-top:533.85pt;width:7.9pt;height:6.25pt;z-index:-18874397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226</w:t>
                </w:r>
                <w:r>
                  <w:rPr>
                    <w:rStyle w:val="Headerorfooter1"/>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0" type="#_x0000_t202" style="position:absolute;margin-left:48.2pt;margin-top:506.35pt;width:232.55pt;height:8.9pt;z-index:-18874397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7pt"/>
                    <w:vertAlign w:val="superscript"/>
                  </w:rPr>
                  <w:t>453</w:t>
                </w:r>
                <w:r>
                  <w:rPr>
                    <w:rStyle w:val="Headerorfooter37ptSmallCaps"/>
                  </w:rPr>
                  <w:t xml:space="preserve"> Mechsner: </w:t>
                </w:r>
                <w:r>
                  <w:rPr>
                    <w:rStyle w:val="Headerorfooter38pt"/>
                  </w:rPr>
                  <w:t>Sprachevolution, Wer sprach das erste Wort? S. 77.</w:t>
                </w:r>
              </w:p>
            </w:txbxContent>
          </v:textbox>
          <w10:wrap anchorx="page" anchory="page"/>
        </v:shape>
      </w:pict>
    </w:r>
    <w:r>
      <w:pict>
        <v:shape id="_x0000_s2069" type="#_x0000_t202" style="position:absolute;margin-left:314.1pt;margin-top:529.65pt;width:12.25pt;height:6.25pt;z-index:-18874397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Pr>
                    <w:noProof/>
                  </w:rPr>
                  <w:t>225</w:t>
                </w:r>
                <w: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8" type="#_x0000_t202" style="position:absolute;margin-left:313.85pt;margin-top:514.55pt;width:13.2pt;height:6pt;z-index:-18874397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t>22 7</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7" type="#_x0000_t202" style="position:absolute;margin-left:37.75pt;margin-top:533.85pt;width:7.9pt;height:6.25pt;z-index:-18874397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228</w:t>
                </w:r>
                <w:r>
                  <w:rPr>
                    <w:rStyle w:val="Headerorfooter1"/>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6" type="#_x0000_t202" style="position:absolute;margin-left:47.8pt;margin-top:506.35pt;width:181.2pt;height:8.9pt;z-index:-18874397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7pt"/>
                    <w:vertAlign w:val="superscript"/>
                  </w:rPr>
                  <w:t>455</w:t>
                </w:r>
                <w:r>
                  <w:rPr>
                    <w:rStyle w:val="Headerorfooter37ptSmallCaps"/>
                  </w:rPr>
                  <w:t xml:space="preserve"> Bodmer: </w:t>
                </w:r>
                <w:r>
                  <w:rPr>
                    <w:rStyle w:val="Headerorfooter38pt"/>
                  </w:rPr>
                  <w:t>Die Sprachen der Welt, S. 110, 272-2</w:t>
                </w:r>
                <w:r>
                  <w:rPr>
                    <w:rStyle w:val="Headerorfooter38pt"/>
                  </w:rPr>
                  <w:t>74.</w:t>
                </w:r>
              </w:p>
            </w:txbxContent>
          </v:textbox>
          <w10:wrap anchorx="page" anchory="page"/>
        </v:shape>
      </w:pict>
    </w:r>
    <w:r>
      <w:pict>
        <v:shape id="_x0000_s2065" type="#_x0000_t202" style="position:absolute;margin-left:314pt;margin-top:530.1pt;width:12.5pt;height:6pt;z-index:-18874397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Pr>
                    <w:noProof/>
                  </w:rPr>
                  <w:t>229</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4" type="#_x0000_t202" style="position:absolute;margin-left:47pt;margin-top:506.35pt;width:167.05pt;height:9.1pt;z-index:-18874397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pt"/>
                    <w:vertAlign w:val="superscript"/>
                  </w:rPr>
                  <w:t>454</w:t>
                </w:r>
                <w:r>
                  <w:rPr>
                    <w:rStyle w:val="Headerorfooter38pt"/>
                  </w:rPr>
                  <w:t xml:space="preserve"> Vgl. </w:t>
                </w:r>
                <w:r>
                  <w:rPr>
                    <w:rStyle w:val="Headerorfooter37ptSmallCaps"/>
                  </w:rPr>
                  <w:t xml:space="preserve">Bodmer: </w:t>
                </w:r>
                <w:r>
                  <w:rPr>
                    <w:rStyle w:val="Headerorfooter38pt"/>
                  </w:rPr>
                  <w:t>Die Sprachen der Welt, S. 194.</w:t>
                </w:r>
              </w:p>
            </w:txbxContent>
          </v:textbox>
          <w10:wrap anchorx="page" anchory="page"/>
        </v:shape>
      </w:pict>
    </w:r>
    <w:r>
      <w:pict>
        <v:shape id="_x0000_s2063" type="#_x0000_t202" style="position:absolute;margin-left:47.2pt;margin-top:530.1pt;width:12.5pt;height:6.25pt;z-index:-18874397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Pr>
                    <w:noProof/>
                  </w:rPr>
                  <w:t>227</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2" type="#_x0000_t202" style="position:absolute;margin-left:37.75pt;margin-top:533.85pt;width:7.9pt;height:6.25pt;z-index:-18874397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244</w:t>
                </w:r>
                <w:r>
                  <w:rPr>
                    <w:rStyle w:val="Headerorfooter1"/>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1" type="#_x0000_t202" style="position:absolute;margin-left:309.3pt;margin-top:525.5pt;width:7.2pt;height:6.25pt;z-index:-18874396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243</w:t>
                </w:r>
                <w:r>
                  <w:rPr>
                    <w:rStyle w:val="Headerorfooter1"/>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9" type="#_x0000_t202" style="position:absolute;margin-left:313.55pt;margin-top:515.15pt;width:12.7pt;height:6.25pt;z-index:-18874396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Pr>
                    <w:noProof/>
                  </w:rPr>
                  <w:t>230</w:t>
                </w:r>
                <w: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8" type="#_x0000_t202" style="position:absolute;margin-left:37.75pt;margin-top:533.85pt;width:7.9pt;height:6.25pt;z-index:-18874396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276</w:t>
                </w:r>
                <w:r>
                  <w:rPr>
                    <w:rStyle w:val="Headerorfooter1"/>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7" type="#_x0000_t202" style="position:absolute;margin-left:309.3pt;margin-top:525.5pt;width:7.2pt;height:6.25pt;z-index:-18874396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277</w:t>
                </w:r>
                <w:r>
                  <w:rPr>
                    <w:rStyle w:val="Headerorfooter1"/>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5" type="#_x0000_t202" style="position:absolute;margin-left:57.6pt;margin-top:521.65pt;width:12.95pt;height:6.25pt;z-index:-18874396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fldChar w:fldCharType="begin"/>
                </w:r>
                <w:r>
                  <w:instrText xml:space="preserve"> PAGE \* MERGEFORMAT </w:instrText>
                </w:r>
                <w:r>
                  <w:fldChar w:fldCharType="separate"/>
                </w:r>
                <w:r>
                  <w:rPr>
                    <w:noProof/>
                  </w:rPr>
                  <w:t>245</w:t>
                </w:r>
                <w: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4" type="#_x0000_t202" style="position:absolute;margin-left:37.75pt;margin-top:533.85pt;width:7.9pt;height:6.25pt;z-index:-18874396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298</w:t>
                </w:r>
                <w:r>
                  <w:rPr>
                    <w:rStyle w:val="Headerorfooter1"/>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3" type="#_x0000_t202" style="position:absolute;margin-left:309.3pt;margin-top:525.5pt;width:7.2pt;height:6.25pt;z-index:-18874396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297</w:t>
                </w:r>
                <w:r>
                  <w:rPr>
                    <w:rStyle w:val="Headerorfooter1"/>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1" type="#_x0000_t202" style="position:absolute;margin-left:53.3pt;margin-top:521.9pt;width:12.95pt;height:6.25pt;z-index:-18874395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60"/>
                  <w:shd w:val="clear" w:color="auto" w:fill="auto"/>
                  <w:spacing w:line="240" w:lineRule="auto"/>
                </w:pPr>
                <w:r>
                  <w:fldChar w:fldCharType="begin"/>
                </w:r>
                <w:r>
                  <w:instrText xml:space="preserve"> PAGE \* MERGEFORMAT </w:instrText>
                </w:r>
                <w:r>
                  <w:fldChar w:fldCharType="separate"/>
                </w:r>
                <w:r w:rsidRPr="007D72B3">
                  <w:rPr>
                    <w:rStyle w:val="Headerorfooter675pt"/>
                    <w:noProof/>
                  </w:rPr>
                  <w:t>278</w:t>
                </w:r>
                <w:r>
                  <w:rPr>
                    <w:rStyle w:val="Headerorfooter675pt"/>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0" type="#_x0000_t202" style="position:absolute;margin-left:37.75pt;margin-top:533.85pt;width:7.9pt;height:6.25pt;z-index:-18874395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302</w:t>
                </w:r>
                <w:r>
                  <w:rPr>
                    <w:rStyle w:val="Headerorfooter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50" type="#_x0000_t202" style="position:absolute;margin-left:37.75pt;margin-top:533.85pt;width:7.9pt;height:6.25pt;z-index:-18874405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26</w:t>
                </w:r>
                <w:r>
                  <w:rPr>
                    <w:rStyle w:val="Headerorfooter1"/>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49" type="#_x0000_t202" style="position:absolute;margin-left:309.3pt;margin-top:525.5pt;width:7.2pt;height:6.25pt;z-index:-18874395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fldChar w:fldCharType="begin"/>
                </w:r>
                <w:r>
                  <w:instrText xml:space="preserve"> PAGE \* MERGEFORMAT </w:instrText>
                </w:r>
                <w:r>
                  <w:fldChar w:fldCharType="separate"/>
                </w:r>
                <w:r w:rsidRPr="007D72B3">
                  <w:rPr>
                    <w:rStyle w:val="Headerorfooter1"/>
                    <w:noProof/>
                  </w:rPr>
                  <w:t>299</w:t>
                </w:r>
                <w:r>
                  <w:rPr>
                    <w:rStyle w:val="Headerorfooter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EDA" w:rsidRDefault="007D72B3">
      <w:r>
        <w:separator/>
      </w:r>
    </w:p>
  </w:footnote>
  <w:footnote w:type="continuationSeparator" w:id="0">
    <w:p w:rsidR="00BB7EDA" w:rsidRDefault="007D72B3">
      <w:r>
        <w:continuationSeparator/>
      </w:r>
    </w:p>
  </w:footnote>
  <w:footnote w:id="1">
    <w:p w:rsidR="00BB7EDA" w:rsidRDefault="007D72B3">
      <w:pPr>
        <w:pStyle w:val="Footnote0"/>
        <w:shd w:val="clear" w:color="auto" w:fill="auto"/>
        <w:tabs>
          <w:tab w:val="left" w:pos="274"/>
        </w:tabs>
        <w:ind w:firstLine="0"/>
      </w:pPr>
      <w:r>
        <w:rPr>
          <w:vertAlign w:val="superscript"/>
        </w:rPr>
        <w:footnoteRef/>
      </w:r>
      <w:r>
        <w:tab/>
        <w:t>Biblia Hebraica Stuttgartensia, 4. korrigierte Aufl., Stuttgart 1990.</w:t>
      </w:r>
    </w:p>
  </w:footnote>
  <w:footnote w:id="2">
    <w:p w:rsidR="00BB7EDA" w:rsidRPr="007D72B3" w:rsidRDefault="007D72B3">
      <w:pPr>
        <w:pStyle w:val="Footnote0"/>
        <w:shd w:val="clear" w:color="auto" w:fill="auto"/>
        <w:tabs>
          <w:tab w:val="left" w:pos="278"/>
        </w:tabs>
        <w:ind w:left="340"/>
        <w:rPr>
          <w:lang w:val="en-US"/>
        </w:rPr>
      </w:pPr>
      <w:r>
        <w:rPr>
          <w:rStyle w:val="Footnote7pt"/>
          <w:vertAlign w:val="superscript"/>
        </w:rPr>
        <w:footnoteRef/>
      </w:r>
      <w:r w:rsidRPr="007D72B3">
        <w:rPr>
          <w:rStyle w:val="Footnote7ptSmallCaps"/>
          <w:lang w:val="en-US"/>
        </w:rPr>
        <w:tab/>
        <w:t xml:space="preserve">Robinson, </w:t>
      </w:r>
      <w:r w:rsidRPr="007D72B3">
        <w:rPr>
          <w:lang w:val="en-US"/>
        </w:rPr>
        <w:t>M.A.</w:t>
      </w:r>
      <w:r w:rsidRPr="007D72B3">
        <w:rPr>
          <w:rStyle w:val="Footnote7ptSmallCaps"/>
          <w:lang w:val="en-US"/>
        </w:rPr>
        <w:t xml:space="preserve">/Pierpont, </w:t>
      </w:r>
      <w:r w:rsidRPr="007D72B3">
        <w:rPr>
          <w:lang w:val="en-US"/>
        </w:rPr>
        <w:t>W.G.: The New Testament in the Orig</w:t>
      </w:r>
      <w:r w:rsidRPr="007D72B3">
        <w:rPr>
          <w:lang w:val="en-US"/>
        </w:rPr>
        <w:t xml:space="preserve">inal Greek according to the Byzantine/Majority Textform, Introduction and appendix </w:t>
      </w:r>
      <w:r w:rsidRPr="007D72B3">
        <w:rPr>
          <w:rStyle w:val="Footnote7pt"/>
          <w:lang w:val="en-US"/>
        </w:rPr>
        <w:t xml:space="preserve">by </w:t>
      </w:r>
      <w:r w:rsidRPr="007D72B3">
        <w:rPr>
          <w:lang w:val="en-US"/>
        </w:rPr>
        <w:t xml:space="preserve">the editors, executive editor W.D. </w:t>
      </w:r>
      <w:r w:rsidRPr="007D72B3">
        <w:rPr>
          <w:rStyle w:val="Footnote7ptSmallCaps"/>
          <w:lang w:val="en-US"/>
        </w:rPr>
        <w:t xml:space="preserve">McBrayer, </w:t>
      </w:r>
      <w:r w:rsidRPr="007D72B3">
        <w:rPr>
          <w:lang w:val="en-US"/>
        </w:rPr>
        <w:t>Atlanta 1991.</w:t>
      </w:r>
    </w:p>
  </w:footnote>
  <w:footnote w:id="3">
    <w:p w:rsidR="00BB7EDA" w:rsidRPr="007D72B3" w:rsidRDefault="007D72B3">
      <w:pPr>
        <w:pStyle w:val="Footnote0"/>
        <w:shd w:val="clear" w:color="auto" w:fill="auto"/>
        <w:tabs>
          <w:tab w:val="left" w:pos="288"/>
        </w:tabs>
        <w:spacing w:line="192" w:lineRule="exact"/>
        <w:ind w:firstLine="0"/>
        <w:rPr>
          <w:lang w:val="en-US"/>
        </w:rPr>
      </w:pPr>
      <w:r>
        <w:rPr>
          <w:vertAlign w:val="superscript"/>
        </w:rPr>
        <w:footnoteRef/>
      </w:r>
      <w:r w:rsidRPr="007D72B3">
        <w:rPr>
          <w:lang w:val="en-US"/>
        </w:rPr>
        <w:tab/>
        <w:t>Originaltitel: On the Origin of the Species.</w:t>
      </w:r>
    </w:p>
  </w:footnote>
  <w:footnote w:id="4">
    <w:p w:rsidR="00BB7EDA" w:rsidRPr="007D72B3" w:rsidRDefault="007D72B3">
      <w:pPr>
        <w:pStyle w:val="Footnote0"/>
        <w:shd w:val="clear" w:color="auto" w:fill="auto"/>
        <w:tabs>
          <w:tab w:val="left" w:pos="288"/>
        </w:tabs>
        <w:spacing w:line="192" w:lineRule="exact"/>
        <w:ind w:firstLine="0"/>
        <w:rPr>
          <w:lang w:val="en-US"/>
        </w:rPr>
      </w:pPr>
      <w:r>
        <w:rPr>
          <w:vertAlign w:val="superscript"/>
        </w:rPr>
        <w:footnoteRef/>
      </w:r>
      <w:r w:rsidRPr="007D72B3">
        <w:rPr>
          <w:lang w:val="en-US"/>
        </w:rPr>
        <w:tab/>
        <w:t>Originaltitel: The Descent of Man.</w:t>
      </w:r>
    </w:p>
  </w:footnote>
  <w:footnote w:id="5">
    <w:p w:rsidR="00BB7EDA" w:rsidRDefault="007D72B3">
      <w:pPr>
        <w:pStyle w:val="Footnote0"/>
        <w:shd w:val="clear" w:color="auto" w:fill="auto"/>
        <w:tabs>
          <w:tab w:val="left" w:pos="283"/>
        </w:tabs>
        <w:spacing w:line="192" w:lineRule="exact"/>
        <w:ind w:left="340"/>
        <w:jc w:val="left"/>
      </w:pPr>
      <w:r>
        <w:rPr>
          <w:rStyle w:val="Footnote7pt"/>
          <w:vertAlign w:val="superscript"/>
        </w:rPr>
        <w:footnoteRef/>
      </w:r>
      <w:r>
        <w:rPr>
          <w:rStyle w:val="Footnote7ptSmallCaps"/>
        </w:rPr>
        <w:tab/>
        <w:t xml:space="preserve">Ouweneel: </w:t>
      </w:r>
      <w:r>
        <w:t xml:space="preserve">Evolution </w:t>
      </w:r>
      <w:r>
        <w:rPr>
          <w:rStyle w:val="Footnote7pt"/>
        </w:rPr>
        <w:t xml:space="preserve">in </w:t>
      </w:r>
      <w:r>
        <w:t xml:space="preserve">der Zeitenwende. S 19-21: </w:t>
      </w:r>
      <w:r>
        <w:rPr>
          <w:rStyle w:val="Footnote7ptSmallCaps"/>
        </w:rPr>
        <w:t xml:space="preserve">Ouweneel: </w:t>
      </w:r>
      <w:r>
        <w:t>Gedanken zum Schöpfungsbericht, S. 24.</w:t>
      </w:r>
    </w:p>
  </w:footnote>
  <w:footnote w:id="6">
    <w:p w:rsidR="00BB7EDA" w:rsidRPr="007D72B3" w:rsidRDefault="007D72B3">
      <w:pPr>
        <w:pStyle w:val="Footnote0"/>
        <w:shd w:val="clear" w:color="auto" w:fill="auto"/>
        <w:tabs>
          <w:tab w:val="left" w:pos="288"/>
        </w:tabs>
        <w:spacing w:line="192" w:lineRule="exact"/>
        <w:ind w:left="320" w:hanging="320"/>
        <w:jc w:val="left"/>
        <w:rPr>
          <w:lang w:val="en-US"/>
        </w:rPr>
      </w:pPr>
      <w:r>
        <w:rPr>
          <w:rStyle w:val="Footnote7pt"/>
          <w:vertAlign w:val="superscript"/>
        </w:rPr>
        <w:footnoteRef/>
      </w:r>
      <w:r w:rsidRPr="007D72B3">
        <w:rPr>
          <w:rStyle w:val="Footnote7ptSmallCaps"/>
          <w:lang w:val="en-US"/>
        </w:rPr>
        <w:tab/>
        <w:t xml:space="preserve">Pritchard: </w:t>
      </w:r>
      <w:r w:rsidRPr="007D72B3">
        <w:rPr>
          <w:lang w:val="en-US"/>
        </w:rPr>
        <w:t xml:space="preserve">Ancient Near Eastern Texts Relating to the Old Testament, S. 3ff.; </w:t>
      </w:r>
      <w:r w:rsidRPr="007D72B3">
        <w:rPr>
          <w:rStyle w:val="Footnote7ptSmallCaps0"/>
          <w:lang w:val="en-US"/>
        </w:rPr>
        <w:t xml:space="preserve">Sproul: </w:t>
      </w:r>
      <w:r w:rsidRPr="007D72B3">
        <w:rPr>
          <w:lang w:val="en-US"/>
        </w:rPr>
        <w:t xml:space="preserve">Schöpfungsmythen der östlichen Welt, </w:t>
      </w:r>
      <w:r w:rsidRPr="007D72B3">
        <w:rPr>
          <w:rStyle w:val="Footnote7pt0"/>
          <w:lang w:val="en-US"/>
        </w:rPr>
        <w:t xml:space="preserve">S. </w:t>
      </w:r>
      <w:r w:rsidRPr="007D72B3">
        <w:rPr>
          <w:lang w:val="en-US"/>
        </w:rPr>
        <w:t>73-144.</w:t>
      </w:r>
    </w:p>
  </w:footnote>
  <w:footnote w:id="7">
    <w:p w:rsidR="00BB7EDA" w:rsidRPr="007D72B3" w:rsidRDefault="007D72B3">
      <w:pPr>
        <w:pStyle w:val="Footnote20"/>
        <w:shd w:val="clear" w:color="auto" w:fill="auto"/>
        <w:tabs>
          <w:tab w:val="left" w:pos="283"/>
        </w:tabs>
        <w:rPr>
          <w:lang w:val="en-US"/>
        </w:rPr>
      </w:pPr>
      <w:r>
        <w:rPr>
          <w:rStyle w:val="Footnote28ptNotItalic"/>
          <w:vertAlign w:val="superscript"/>
        </w:rPr>
        <w:footnoteRef/>
      </w:r>
      <w:r w:rsidRPr="007D72B3">
        <w:rPr>
          <w:rStyle w:val="Footnote28ptNotItalic"/>
          <w:lang w:val="en-US"/>
        </w:rPr>
        <w:tab/>
        <w:t xml:space="preserve">Hebr. </w:t>
      </w:r>
      <w:r w:rsidRPr="007D72B3">
        <w:rPr>
          <w:lang w:val="en-US"/>
        </w:rPr>
        <w:t>’elohim.</w:t>
      </w:r>
    </w:p>
  </w:footnote>
  <w:footnote w:id="8">
    <w:p w:rsidR="00BB7EDA" w:rsidRDefault="007D72B3">
      <w:pPr>
        <w:pStyle w:val="Footnote0"/>
        <w:shd w:val="clear" w:color="auto" w:fill="auto"/>
        <w:tabs>
          <w:tab w:val="left" w:pos="288"/>
        </w:tabs>
        <w:spacing w:line="192" w:lineRule="exact"/>
        <w:ind w:left="320" w:hanging="320"/>
      </w:pPr>
      <w:r>
        <w:rPr>
          <w:vertAlign w:val="superscript"/>
        </w:rPr>
        <w:footnoteRef/>
      </w:r>
      <w:r w:rsidRPr="007D72B3">
        <w:rPr>
          <w:lang w:val="en-US"/>
        </w:rPr>
        <w:tab/>
        <w:t xml:space="preserve">Hebr. </w:t>
      </w:r>
      <w:r w:rsidRPr="007D72B3">
        <w:rPr>
          <w:rStyle w:val="Footnote75ptItalic"/>
          <w:lang w:val="en-US"/>
        </w:rPr>
        <w:t>’etli hasamajim we'</w:t>
      </w:r>
      <w:r w:rsidRPr="007D72B3">
        <w:rPr>
          <w:rStyle w:val="Footnote75ptItalic"/>
          <w:lang w:val="en-US"/>
        </w:rPr>
        <w:t>etli ha’aretz.</w:t>
      </w:r>
      <w:r w:rsidRPr="007D72B3">
        <w:rPr>
          <w:lang w:val="en-US"/>
        </w:rPr>
        <w:t xml:space="preserve"> </w:t>
      </w:r>
      <w:r>
        <w:t>Die in diesem Ausdruck zweimal vor</w:t>
      </w:r>
      <w:r>
        <w:softHyphen/>
        <w:t xml:space="preserve">kommende Partikel </w:t>
      </w:r>
      <w:r>
        <w:rPr>
          <w:rStyle w:val="Footnote75ptItalic"/>
        </w:rPr>
        <w:t>'eth</w:t>
      </w:r>
      <w:r>
        <w:t xml:space="preserve"> bezeichnet das nachfolgende Wort als Akkusativob</w:t>
      </w:r>
      <w:r>
        <w:softHyphen/>
        <w:t>jekt.</w:t>
      </w:r>
    </w:p>
  </w:footnote>
  <w:footnote w:id="9">
    <w:p w:rsidR="00BB7EDA" w:rsidRDefault="007D72B3">
      <w:pPr>
        <w:pStyle w:val="Footnote0"/>
        <w:shd w:val="clear" w:color="auto" w:fill="auto"/>
        <w:tabs>
          <w:tab w:val="left" w:pos="288"/>
        </w:tabs>
        <w:spacing w:line="192" w:lineRule="exact"/>
        <w:ind w:firstLine="0"/>
      </w:pPr>
      <w:r>
        <w:rPr>
          <w:vertAlign w:val="superscript"/>
        </w:rPr>
        <w:footnoteRef/>
      </w:r>
      <w:r>
        <w:tab/>
        <w:t>Heb 11,3; Röm 4,17.</w:t>
      </w:r>
    </w:p>
  </w:footnote>
  <w:footnote w:id="10">
    <w:p w:rsidR="00BB7EDA" w:rsidRDefault="007D72B3">
      <w:pPr>
        <w:pStyle w:val="Footnote0"/>
        <w:shd w:val="clear" w:color="auto" w:fill="auto"/>
        <w:tabs>
          <w:tab w:val="left" w:pos="278"/>
        </w:tabs>
        <w:spacing w:line="192" w:lineRule="exact"/>
        <w:ind w:left="320" w:hanging="320"/>
        <w:jc w:val="left"/>
      </w:pPr>
      <w:r>
        <w:rPr>
          <w:vertAlign w:val="superscript"/>
        </w:rPr>
        <w:footnoteRef/>
      </w:r>
      <w:r>
        <w:tab/>
        <w:t xml:space="preserve">Zur Religionskritik der Bibel (im AT und im NT) vgl.: </w:t>
      </w:r>
      <w:r>
        <w:rPr>
          <w:rStyle w:val="Footnote7ptSmallCaps"/>
        </w:rPr>
        <w:t xml:space="preserve">Schirrmacher: </w:t>
      </w:r>
      <w:r>
        <w:t>Marxis</w:t>
      </w:r>
      <w:r>
        <w:softHyphen/>
        <w:t xml:space="preserve">mus - Opium für das Volk? S. </w:t>
      </w:r>
      <w:r>
        <w:t>14-41.</w:t>
      </w:r>
    </w:p>
  </w:footnote>
  <w:footnote w:id="11">
    <w:p w:rsidR="00BB7EDA" w:rsidRDefault="007D72B3">
      <w:pPr>
        <w:pStyle w:val="Footnote0"/>
        <w:shd w:val="clear" w:color="auto" w:fill="auto"/>
        <w:tabs>
          <w:tab w:val="left" w:pos="259"/>
        </w:tabs>
        <w:ind w:left="340"/>
      </w:pPr>
      <w:r>
        <w:rPr>
          <w:vertAlign w:val="superscript"/>
        </w:rPr>
        <w:footnoteRef/>
      </w:r>
      <w:r>
        <w:tab/>
        <w:t xml:space="preserve">Viele übernahmen die Evolutionslehre allerdings auch in einer theistischen Version, wo „Gott" nicht völlig ausgeklammert wird. Zur Problematik dieser Position vgl.: Girr: Schuf Gott durch Evolution?; </w:t>
      </w:r>
      <w:r>
        <w:rPr>
          <w:rStyle w:val="Footnote7ptSmallCaps"/>
        </w:rPr>
        <w:t xml:space="preserve">Junker: </w:t>
      </w:r>
      <w:r>
        <w:t>Leben durch Ster</w:t>
      </w:r>
      <w:r>
        <w:softHyphen/>
        <w:t xml:space="preserve">ben?; </w:t>
      </w:r>
      <w:r>
        <w:rPr>
          <w:rStyle w:val="Footnote7ptSmallCaps"/>
        </w:rPr>
        <w:t xml:space="preserve">Junker: </w:t>
      </w:r>
      <w:r>
        <w:t>Jesus, D</w:t>
      </w:r>
      <w:r>
        <w:t>arwin und die Schöpfung.</w:t>
      </w:r>
    </w:p>
  </w:footnote>
  <w:footnote w:id="12">
    <w:p w:rsidR="00BB7EDA" w:rsidRDefault="007D72B3">
      <w:pPr>
        <w:pStyle w:val="Footnote0"/>
        <w:shd w:val="clear" w:color="auto" w:fill="auto"/>
        <w:tabs>
          <w:tab w:val="left" w:pos="269"/>
        </w:tabs>
        <w:ind w:firstLine="0"/>
      </w:pPr>
      <w:r>
        <w:rPr>
          <w:vertAlign w:val="superscript"/>
        </w:rPr>
        <w:footnoteRef/>
      </w:r>
      <w:r>
        <w:tab/>
        <w:t xml:space="preserve">Vgl. </w:t>
      </w:r>
      <w:r>
        <w:rPr>
          <w:rStyle w:val="Footnote7ptSmallCaps"/>
        </w:rPr>
        <w:t xml:space="preserve">Ouweneel: </w:t>
      </w:r>
      <w:r>
        <w:t>Evolution in der Zeitenwende.</w:t>
      </w:r>
    </w:p>
  </w:footnote>
  <w:footnote w:id="13">
    <w:p w:rsidR="00BB7EDA" w:rsidRDefault="007D72B3">
      <w:pPr>
        <w:pStyle w:val="Footnote0"/>
        <w:shd w:val="clear" w:color="auto" w:fill="auto"/>
        <w:tabs>
          <w:tab w:val="left" w:pos="278"/>
        </w:tabs>
        <w:spacing w:line="192" w:lineRule="exact"/>
        <w:ind w:left="320" w:hanging="320"/>
      </w:pPr>
      <w:r>
        <w:rPr>
          <w:vertAlign w:val="superscript"/>
        </w:rPr>
        <w:footnoteRef/>
      </w:r>
      <w:r>
        <w:tab/>
        <w:t>Paulus bezeichnete diesen geistesgeschichtlichen Bruch, der mit der Aufklä</w:t>
      </w:r>
      <w:r>
        <w:softHyphen/>
        <w:t>rung eingesetzt hat, in 2Thess 2,3 prophetisch als den zu erwartenden „Ab</w:t>
      </w:r>
      <w:r>
        <w:softHyphen/>
        <w:t xml:space="preserve">fall" (griech. </w:t>
      </w:r>
      <w:r>
        <w:rPr>
          <w:rStyle w:val="Footnote75ptItalic"/>
        </w:rPr>
        <w:t>apostasia),</w:t>
      </w:r>
      <w:r>
        <w:t xml:space="preserve"> der de</w:t>
      </w:r>
      <w:r>
        <w:t>m „Gesetzlosen", dem sich auf die Stufe mit Gott selbst erhebenden „Menschen der Sünde", den Weg bereiten würde.</w:t>
      </w:r>
    </w:p>
  </w:footnote>
  <w:footnote w:id="14">
    <w:p w:rsidR="00BB7EDA" w:rsidRDefault="007D72B3">
      <w:pPr>
        <w:pStyle w:val="Footnote0"/>
        <w:shd w:val="clear" w:color="auto" w:fill="auto"/>
        <w:tabs>
          <w:tab w:val="left" w:pos="278"/>
        </w:tabs>
        <w:spacing w:line="192" w:lineRule="exact"/>
        <w:ind w:firstLine="0"/>
      </w:pPr>
      <w:r>
        <w:rPr>
          <w:vertAlign w:val="superscript"/>
        </w:rPr>
        <w:footnoteRef/>
      </w:r>
      <w:r>
        <w:tab/>
        <w:t xml:space="preserve">Hebr. </w:t>
      </w:r>
      <w:r>
        <w:rPr>
          <w:rStyle w:val="Footnote75ptItalic"/>
        </w:rPr>
        <w:t>masiach;</w:t>
      </w:r>
      <w:r>
        <w:t xml:space="preserve"> = griech. </w:t>
      </w:r>
      <w:r>
        <w:rPr>
          <w:rStyle w:val="Footnote75ptItalic"/>
        </w:rPr>
        <w:t>christos</w:t>
      </w:r>
      <w:r>
        <w:t xml:space="preserve">; = griech.-lat. </w:t>
      </w:r>
      <w:r>
        <w:rPr>
          <w:rStyle w:val="Footnote75ptItalic"/>
        </w:rPr>
        <w:t>Christus.</w:t>
      </w:r>
    </w:p>
  </w:footnote>
  <w:footnote w:id="15">
    <w:p w:rsidR="00BB7EDA" w:rsidRDefault="007D72B3">
      <w:pPr>
        <w:pStyle w:val="Footnote0"/>
        <w:shd w:val="clear" w:color="auto" w:fill="auto"/>
        <w:tabs>
          <w:tab w:val="left" w:pos="278"/>
        </w:tabs>
        <w:ind w:left="300" w:hanging="300"/>
      </w:pPr>
      <w:r>
        <w:rPr>
          <w:vertAlign w:val="superscript"/>
        </w:rPr>
        <w:footnoteRef/>
      </w:r>
      <w:r>
        <w:tab/>
        <w:t>Die Genesis berichtet z.B. von der Herkunft des Universums („Himmel und Erde"),</w:t>
      </w:r>
      <w:r>
        <w:t xml:space="preserve"> der Pflanzen, der Tiere, des Menschen, der Ehe und Familie, der Sünde, des Leidens, des Todes, der Zivilisation, der staatlichen Regierungen, der Sprachen, der Völker im Allgemeinen und des Volkes Israel im besonde</w:t>
      </w:r>
      <w:r>
        <w:softHyphen/>
        <w:t>ren.</w:t>
      </w:r>
    </w:p>
  </w:footnote>
  <w:footnote w:id="16">
    <w:p w:rsidR="00BB7EDA" w:rsidRDefault="007D72B3">
      <w:pPr>
        <w:pStyle w:val="Footnote0"/>
        <w:shd w:val="clear" w:color="auto" w:fill="auto"/>
        <w:tabs>
          <w:tab w:val="left" w:pos="278"/>
        </w:tabs>
        <w:ind w:firstLine="0"/>
      </w:pPr>
      <w:r>
        <w:rPr>
          <w:vertAlign w:val="superscript"/>
        </w:rPr>
        <w:footnoteRef/>
      </w:r>
      <w:r>
        <w:tab/>
        <w:t>Vgl. Spr 23,7a.</w:t>
      </w:r>
    </w:p>
  </w:footnote>
  <w:footnote w:id="17">
    <w:p w:rsidR="00BB7EDA" w:rsidRDefault="007D72B3">
      <w:pPr>
        <w:pStyle w:val="Footnote0"/>
        <w:shd w:val="clear" w:color="auto" w:fill="auto"/>
        <w:tabs>
          <w:tab w:val="left" w:pos="274"/>
        </w:tabs>
        <w:ind w:left="300" w:hanging="300"/>
      </w:pPr>
      <w:r>
        <w:rPr>
          <w:vertAlign w:val="superscript"/>
        </w:rPr>
        <w:footnoteRef/>
      </w:r>
      <w:r>
        <w:tab/>
        <w:t xml:space="preserve">Ich spreche </w:t>
      </w:r>
      <w:r>
        <w:t>bewusst von einem „ureigenen" Sinn, weil manche meinen, wir könnten dem Leben nachträglich doch noch selber einen Sinn zuschreiben. Aber selbst in diesem Fall würde der Sinn nicht zum Wesen des Lebens gehören. Ein solcher Sinn wäre nur eine gewaltsam angeh</w:t>
      </w:r>
      <w:r>
        <w:t>ängte Etikette. Er</w:t>
      </w:r>
    </w:p>
  </w:footnote>
  <w:footnote w:id="18">
    <w:p w:rsidR="00BB7EDA" w:rsidRDefault="007D72B3">
      <w:pPr>
        <w:pStyle w:val="Footnote0"/>
        <w:shd w:val="clear" w:color="auto" w:fill="auto"/>
        <w:tabs>
          <w:tab w:val="left" w:pos="283"/>
        </w:tabs>
        <w:spacing w:line="192" w:lineRule="exact"/>
        <w:ind w:left="300" w:hanging="300"/>
      </w:pPr>
      <w:r>
        <w:rPr>
          <w:rStyle w:val="Footnote7ptSmallCaps"/>
          <w:vertAlign w:val="superscript"/>
        </w:rPr>
        <w:footnoteRef/>
      </w:r>
      <w:r>
        <w:rPr>
          <w:rStyle w:val="Footnote7ptSmallCaps"/>
        </w:rPr>
        <w:tab/>
        <w:t xml:space="preserve">Ouweneel: </w:t>
      </w:r>
      <w:r>
        <w:t xml:space="preserve">Hat die Evolutionslehre einen wissenschaftlichen Charakter? </w:t>
      </w:r>
      <w:r>
        <w:rPr>
          <w:rStyle w:val="Footnote7ptSmallCaps"/>
        </w:rPr>
        <w:t xml:space="preserve">Ouweneel: </w:t>
      </w:r>
      <w:r>
        <w:t xml:space="preserve">Evolution in der Zeitenwende, S. 47-72; </w:t>
      </w:r>
      <w:r>
        <w:rPr>
          <w:rStyle w:val="Footnote7ptSmallCaps"/>
        </w:rPr>
        <w:t xml:space="preserve">Gitt: </w:t>
      </w:r>
      <w:r>
        <w:t xml:space="preserve">Schuf Gott durch Evolution? S. 9-28; </w:t>
      </w:r>
      <w:r>
        <w:rPr>
          <w:rStyle w:val="Footnote7ptSmallCaps"/>
        </w:rPr>
        <w:t xml:space="preserve">Junker/Scherer: </w:t>
      </w:r>
      <w:r>
        <w:t xml:space="preserve">Evolution - Ein kritisches 1 ehrtmeh, S. 11-20; </w:t>
      </w:r>
      <w:r>
        <w:rPr>
          <w:rStyle w:val="Footnote7ptSmallCaps"/>
        </w:rPr>
        <w:t>Scheven:</w:t>
      </w:r>
      <w:r>
        <w:rPr>
          <w:rStyle w:val="Footnote7ptSmallCaps"/>
        </w:rPr>
        <w:t xml:space="preserve"> </w:t>
      </w:r>
      <w:r>
        <w:t>Daten zur Evolutionslehre im Biologieunterricht, S. 21- 25.</w:t>
      </w:r>
    </w:p>
  </w:footnote>
  <w:footnote w:id="19">
    <w:p w:rsidR="00BB7EDA" w:rsidRDefault="007D72B3">
      <w:pPr>
        <w:pStyle w:val="Footnote0"/>
        <w:shd w:val="clear" w:color="auto" w:fill="auto"/>
        <w:tabs>
          <w:tab w:val="left" w:pos="283"/>
        </w:tabs>
        <w:spacing w:line="192" w:lineRule="exact"/>
        <w:ind w:left="300" w:hanging="300"/>
      </w:pPr>
      <w:r>
        <w:rPr>
          <w:rStyle w:val="Footnote7ptSmallCaps"/>
          <w:vertAlign w:val="superscript"/>
        </w:rPr>
        <w:footnoteRef/>
      </w:r>
      <w:r>
        <w:rPr>
          <w:rStyle w:val="Footnote7ptSmallCaps"/>
        </w:rPr>
        <w:tab/>
        <w:t xml:space="preserve">Gitt: </w:t>
      </w:r>
      <w:r>
        <w:t xml:space="preserve">In </w:t>
      </w:r>
      <w:r>
        <w:rPr>
          <w:rStyle w:val="Footnote7pt"/>
        </w:rPr>
        <w:t xml:space="preserve">6 </w:t>
      </w:r>
      <w:r>
        <w:t xml:space="preserve">Tagen vom Chaos zum Menschen; </w:t>
      </w:r>
      <w:r>
        <w:rPr>
          <w:rStyle w:val="Footnote7ptSmallCaps"/>
        </w:rPr>
        <w:t xml:space="preserve">Gitt </w:t>
      </w:r>
      <w:r>
        <w:t xml:space="preserve">(Hrsg.): Am Anfang war die Information, Forschungsergebnisse aus Naturwissenschaft und Technik; </w:t>
      </w:r>
      <w:r>
        <w:rPr>
          <w:rStyle w:val="Footnote7ptSmallCaps"/>
        </w:rPr>
        <w:t xml:space="preserve">Gitt: </w:t>
      </w:r>
      <w:r>
        <w:t>Energie - optimal durch Information (Neuaufla</w:t>
      </w:r>
      <w:r>
        <w:t xml:space="preserve">ge: Am Anfang war die Information); </w:t>
      </w:r>
      <w:r>
        <w:rPr>
          <w:rStyle w:val="Footnote7ptSmallCaps"/>
        </w:rPr>
        <w:t xml:space="preserve">Junker/Scherer: </w:t>
      </w:r>
      <w:r>
        <w:t xml:space="preserve">Evolution - ein kritisches Lehrbuch; </w:t>
      </w:r>
      <w:r>
        <w:rPr>
          <w:rStyle w:val="Footnote7ptSmallCaps"/>
        </w:rPr>
        <w:t>Ouwe</w:t>
      </w:r>
      <w:r>
        <w:rPr>
          <w:rStyle w:val="Footnote7ptSmallCaps"/>
        </w:rPr>
        <w:softHyphen/>
        <w:t xml:space="preserve">neel: </w:t>
      </w:r>
      <w:r>
        <w:t xml:space="preserve">Evolution in der Zeitenwende; </w:t>
      </w:r>
      <w:r>
        <w:rPr>
          <w:rStyle w:val="Footnote7ptSmallCaps"/>
        </w:rPr>
        <w:t xml:space="preserve">Pailer: </w:t>
      </w:r>
      <w:r>
        <w:t>Geheimnisvolles Weltall, Hypo</w:t>
      </w:r>
      <w:r>
        <w:softHyphen/>
        <w:t xml:space="preserve">thesen und Fakten zur Urknalltheorie; </w:t>
      </w:r>
      <w:r>
        <w:rPr>
          <w:rStyle w:val="Footnote7ptSmallCaps"/>
        </w:rPr>
        <w:t xml:space="preserve">Scherer </w:t>
      </w:r>
      <w:r>
        <w:t>(Hrsg.): Die Suche nach Eden, Wege zur alt</w:t>
      </w:r>
      <w:r>
        <w:t xml:space="preserve">ernativen Deutung der menschlichen Frühgeschichte; </w:t>
      </w:r>
      <w:r>
        <w:rPr>
          <w:rStyle w:val="Footnote7ptSmallCaps"/>
        </w:rPr>
        <w:t xml:space="preserve">Scheven: </w:t>
      </w:r>
      <w:r>
        <w:t xml:space="preserve">Daten zur Evolutionslehre im Biologieunterricht; </w:t>
      </w:r>
      <w:r>
        <w:rPr>
          <w:rStyle w:val="Footnote7ptSmallCaps"/>
        </w:rPr>
        <w:t xml:space="preserve">Scheven: </w:t>
      </w:r>
      <w:r>
        <w:t xml:space="preserve">Karbonstudien, Neues Licht auf das Alter der Erde; </w:t>
      </w:r>
      <w:r>
        <w:rPr>
          <w:rStyle w:val="Footnote7ptSmallCaps"/>
        </w:rPr>
        <w:t xml:space="preserve">Scheven: </w:t>
      </w:r>
      <w:r>
        <w:t>Mega-Sukzessionen und Klimax im Tertiär, Katastrophen zwischen Sintflut und Ei</w:t>
      </w:r>
      <w:r>
        <w:t xml:space="preserve">szeit; </w:t>
      </w:r>
      <w:r>
        <w:rPr>
          <w:rStyle w:val="Footnote7ptSmallCaps"/>
        </w:rPr>
        <w:t>Schirrma</w:t>
      </w:r>
      <w:r>
        <w:rPr>
          <w:rStyle w:val="Footnote7ptSmallCaps"/>
        </w:rPr>
        <w:softHyphen/>
        <w:t xml:space="preserve">cher: </w:t>
      </w:r>
      <w:r>
        <w:t>Galilei-Legenden und andere Beiträge zu Schöpfungsforschung, Evo</w:t>
      </w:r>
      <w:r>
        <w:softHyphen/>
        <w:t>lutionskritik und Chronologie der Kulturgeschichte.</w:t>
      </w:r>
    </w:p>
  </w:footnote>
  <w:footnote w:id="20">
    <w:p w:rsidR="00BB7EDA" w:rsidRDefault="007D72B3">
      <w:pPr>
        <w:pStyle w:val="Footnote0"/>
        <w:shd w:val="clear" w:color="auto" w:fill="auto"/>
        <w:tabs>
          <w:tab w:val="left" w:pos="283"/>
        </w:tabs>
        <w:ind w:left="340"/>
      </w:pPr>
      <w:r>
        <w:rPr>
          <w:vertAlign w:val="superscript"/>
        </w:rPr>
        <w:footnoteRef/>
      </w:r>
      <w:r>
        <w:tab/>
        <w:t>Es gibt Linguisten, die heute den Begriff „Code-Systeme" in diesem Zusam</w:t>
      </w:r>
      <w:r>
        <w:softHyphen/>
        <w:t>menhang nicht gebrauchen würden, da sie de</w:t>
      </w:r>
      <w:r>
        <w:t>r Meinung sind, dass man mit diesem Ausdruck die Wirklichkeit des Sprachsystems zu wenig trifft. Ich persönlich schätze diesen Ausdruck aber dennoch. Man muss sich nur im Klaren sein, dass es sich im Fall der Sprachen um ein sehr spezielles und besonders k</w:t>
      </w:r>
      <w:r>
        <w:t>omplexes Code-System handelt. In Anbetracht der begrifflichen Problematik setze ich diesen Ausdruck hier zunächst zwischen Anführungs</w:t>
      </w:r>
      <w:r>
        <w:softHyphen/>
        <w:t>strichen.</w:t>
      </w:r>
    </w:p>
  </w:footnote>
  <w:footnote w:id="21">
    <w:p w:rsidR="00BB7EDA" w:rsidRDefault="007D72B3">
      <w:pPr>
        <w:pStyle w:val="Footnote0"/>
        <w:shd w:val="clear" w:color="auto" w:fill="auto"/>
        <w:tabs>
          <w:tab w:val="left" w:pos="283"/>
        </w:tabs>
        <w:ind w:left="320" w:hanging="320"/>
      </w:pPr>
      <w:r>
        <w:rPr>
          <w:vertAlign w:val="superscript"/>
        </w:rPr>
        <w:footnoteRef/>
      </w:r>
      <w:r>
        <w:tab/>
        <w:t xml:space="preserve">Vgl. </w:t>
      </w:r>
      <w:r>
        <w:rPr>
          <w:rStyle w:val="Footnote7ptSmallCaps"/>
        </w:rPr>
        <w:t xml:space="preserve">von Siebenthal: „So </w:t>
      </w:r>
      <w:r>
        <w:t>tötet nun eure Glieder, die auf der Erde sind: Hurerei..." Das altgriechische Verbals</w:t>
      </w:r>
      <w:r>
        <w:t>ystem und drei Befehlsformen in Kol 3, S. 93.</w:t>
      </w:r>
    </w:p>
  </w:footnote>
  <w:footnote w:id="22">
    <w:p w:rsidR="00BB7EDA" w:rsidRDefault="007D72B3">
      <w:pPr>
        <w:pStyle w:val="Footnote0"/>
        <w:shd w:val="clear" w:color="auto" w:fill="auto"/>
        <w:tabs>
          <w:tab w:val="left" w:pos="278"/>
        </w:tabs>
        <w:ind w:left="300" w:hanging="300"/>
        <w:jc w:val="left"/>
      </w:pPr>
      <w:r>
        <w:rPr>
          <w:vertAlign w:val="superscript"/>
        </w:rPr>
        <w:footnoteRef/>
      </w:r>
      <w:r>
        <w:tab/>
        <w:t>Er wird als Vater der modernen Linguistik betrachtet. Vgl. sein grundlegen</w:t>
      </w:r>
      <w:r>
        <w:softHyphen/>
        <w:t xml:space="preserve">des Werk: </w:t>
      </w:r>
      <w:r>
        <w:rPr>
          <w:rStyle w:val="Footnote7ptSmallCaps"/>
        </w:rPr>
        <w:t xml:space="preserve">de Saussure: </w:t>
      </w:r>
      <w:r>
        <w:t>Cours de linguistique generale.</w:t>
      </w:r>
    </w:p>
  </w:footnote>
  <w:footnote w:id="23">
    <w:p w:rsidR="00BB7EDA" w:rsidRDefault="007D72B3">
      <w:pPr>
        <w:pStyle w:val="Footnote0"/>
        <w:shd w:val="clear" w:color="auto" w:fill="auto"/>
        <w:tabs>
          <w:tab w:val="left" w:pos="283"/>
        </w:tabs>
        <w:ind w:left="320" w:hanging="320"/>
      </w:pPr>
      <w:r>
        <w:rPr>
          <w:vertAlign w:val="superscript"/>
        </w:rPr>
        <w:footnoteRef/>
      </w:r>
      <w:r>
        <w:tab/>
        <w:t xml:space="preserve">Die prägende „generative Schule" von Noam </w:t>
      </w:r>
      <w:r>
        <w:rPr>
          <w:rStyle w:val="Footnote7ptSmallCaps"/>
        </w:rPr>
        <w:t xml:space="preserve">Chomsky </w:t>
      </w:r>
      <w:r>
        <w:t>verwendet anstatt der Begr</w:t>
      </w:r>
      <w:r>
        <w:t>iffe „langue" und „parole" das Gegensatzpaar „Kompetenz" (= die Fähigkeit einer Person, sprachliche Äußerungen zu produzieren) und „Per- formanz" (= die praktische Anwendung dieser Fähigkeit).</w:t>
      </w:r>
    </w:p>
  </w:footnote>
  <w:footnote w:id="24">
    <w:p w:rsidR="00BB7EDA" w:rsidRDefault="007D72B3">
      <w:pPr>
        <w:pStyle w:val="Footnote0"/>
        <w:shd w:val="clear" w:color="auto" w:fill="auto"/>
        <w:tabs>
          <w:tab w:val="left" w:pos="283"/>
        </w:tabs>
        <w:ind w:left="340"/>
        <w:jc w:val="left"/>
      </w:pPr>
      <w:r>
        <w:rPr>
          <w:vertAlign w:val="superscript"/>
        </w:rPr>
        <w:footnoteRef/>
      </w:r>
      <w:r>
        <w:tab/>
        <w:t>Vgl. in diesem Zusammenhang den Begriff „deskriptive (beschre</w:t>
      </w:r>
      <w:r>
        <w:t>ibende) Linguistik".</w:t>
      </w:r>
    </w:p>
  </w:footnote>
  <w:footnote w:id="25">
    <w:p w:rsidR="00BB7EDA" w:rsidRDefault="007D72B3">
      <w:pPr>
        <w:pStyle w:val="Footnote0"/>
        <w:shd w:val="clear" w:color="auto" w:fill="auto"/>
        <w:tabs>
          <w:tab w:val="left" w:pos="278"/>
        </w:tabs>
        <w:ind w:left="340"/>
        <w:jc w:val="left"/>
      </w:pPr>
      <w:r>
        <w:rPr>
          <w:vertAlign w:val="superscript"/>
        </w:rPr>
        <w:footnoteRef/>
      </w:r>
      <w:r>
        <w:tab/>
        <w:t xml:space="preserve">Vgl. </w:t>
      </w:r>
      <w:r>
        <w:rPr>
          <w:rStyle w:val="Footnote7ptSmallCaps"/>
        </w:rPr>
        <w:t xml:space="preserve">Meillet: </w:t>
      </w:r>
      <w:r>
        <w:t>Einführung in die vergleichende Grammatik der indogermani</w:t>
      </w:r>
      <w:r>
        <w:softHyphen/>
        <w:t>schen Sprachen, S. 293.</w:t>
      </w:r>
    </w:p>
  </w:footnote>
  <w:footnote w:id="26">
    <w:p w:rsidR="00BB7EDA" w:rsidRDefault="007D72B3">
      <w:pPr>
        <w:pStyle w:val="Footnote0"/>
        <w:shd w:val="clear" w:color="auto" w:fill="auto"/>
        <w:tabs>
          <w:tab w:val="left" w:pos="278"/>
        </w:tabs>
        <w:ind w:left="340"/>
        <w:jc w:val="left"/>
      </w:pPr>
      <w:r>
        <w:rPr>
          <w:vertAlign w:val="superscript"/>
        </w:rPr>
        <w:footnoteRef/>
      </w:r>
      <w:r>
        <w:tab/>
        <w:t>ln diesem Zusammenhang verwendet man auch den Terminus „historische Linguistik".</w:t>
      </w:r>
    </w:p>
  </w:footnote>
  <w:footnote w:id="27">
    <w:p w:rsidR="00BB7EDA" w:rsidRDefault="007D72B3">
      <w:pPr>
        <w:pStyle w:val="Footnote0"/>
        <w:shd w:val="clear" w:color="auto" w:fill="auto"/>
        <w:tabs>
          <w:tab w:val="left" w:pos="274"/>
        </w:tabs>
        <w:ind w:firstLine="0"/>
      </w:pPr>
      <w:r>
        <w:rPr>
          <w:rStyle w:val="Footnote7ptSmallCaps"/>
          <w:vertAlign w:val="superscript"/>
        </w:rPr>
        <w:footnoteRef/>
      </w:r>
      <w:r>
        <w:rPr>
          <w:rStyle w:val="Footnote7ptSmallCaps"/>
        </w:rPr>
        <w:tab/>
        <w:t xml:space="preserve">Mechsner: </w:t>
      </w:r>
      <w:r>
        <w:t xml:space="preserve">Sprachevolution, Wer sprach </w:t>
      </w:r>
      <w:r>
        <w:rPr>
          <w:rStyle w:val="Footnote7pt"/>
        </w:rPr>
        <w:t xml:space="preserve">das </w:t>
      </w:r>
      <w:r>
        <w:t xml:space="preserve">erste Wort? S. </w:t>
      </w:r>
      <w:r>
        <w:rPr>
          <w:rStyle w:val="Footnote7pt"/>
        </w:rPr>
        <w:t>79.</w:t>
      </w:r>
    </w:p>
  </w:footnote>
  <w:footnote w:id="28">
    <w:p w:rsidR="00BB7EDA" w:rsidRDefault="007D72B3">
      <w:pPr>
        <w:pStyle w:val="Footnote0"/>
        <w:shd w:val="clear" w:color="auto" w:fill="auto"/>
        <w:tabs>
          <w:tab w:val="left" w:pos="278"/>
        </w:tabs>
        <w:ind w:firstLine="0"/>
      </w:pPr>
      <w:r>
        <w:rPr>
          <w:rStyle w:val="Footnote7ptSmallCaps"/>
          <w:vertAlign w:val="superscript"/>
        </w:rPr>
        <w:footnoteRef/>
      </w:r>
      <w:r>
        <w:rPr>
          <w:rStyle w:val="Footnote7ptSmallCaps"/>
        </w:rPr>
        <w:tab/>
        <w:t xml:space="preserve">Mechsner: </w:t>
      </w:r>
      <w:r>
        <w:t>Sprachevolution, Wer sprach das erste Wort? S. 79.</w:t>
      </w:r>
    </w:p>
  </w:footnote>
  <w:footnote w:id="29">
    <w:p w:rsidR="00BB7EDA" w:rsidRDefault="007D72B3">
      <w:pPr>
        <w:pStyle w:val="Footnote0"/>
        <w:shd w:val="clear" w:color="auto" w:fill="auto"/>
        <w:tabs>
          <w:tab w:val="left" w:pos="274"/>
        </w:tabs>
        <w:ind w:firstLine="0"/>
      </w:pPr>
      <w:r>
        <w:rPr>
          <w:rStyle w:val="Footnote7ptSmallCaps"/>
          <w:vertAlign w:val="superscript"/>
        </w:rPr>
        <w:footnoteRef/>
      </w:r>
      <w:r>
        <w:rPr>
          <w:rStyle w:val="Footnote7ptSmallCaps"/>
        </w:rPr>
        <w:tab/>
        <w:t xml:space="preserve">Mechsner: </w:t>
      </w:r>
      <w:r>
        <w:t>Sprachevolution, Wer sprach das erste Wort? S. 79.</w:t>
      </w:r>
    </w:p>
  </w:footnote>
  <w:footnote w:id="30">
    <w:p w:rsidR="00BB7EDA" w:rsidRPr="007D72B3" w:rsidRDefault="007D72B3">
      <w:pPr>
        <w:pStyle w:val="Footnote0"/>
        <w:shd w:val="clear" w:color="auto" w:fill="auto"/>
        <w:ind w:left="340" w:firstLine="0"/>
        <w:rPr>
          <w:lang w:val="en-US"/>
        </w:rPr>
      </w:pPr>
      <w:r w:rsidRPr="007D72B3">
        <w:rPr>
          <w:lang w:val="en-US"/>
        </w:rPr>
        <w:t xml:space="preserve">„Human language appears to be a unique phenomenon, without significant analogue in the animal world." </w:t>
      </w:r>
      <w:r w:rsidRPr="007D72B3">
        <w:rPr>
          <w:rStyle w:val="Footnote7ptSmallCaps"/>
          <w:lang w:val="en-US"/>
        </w:rPr>
        <w:t>(Chomsky:</w:t>
      </w:r>
      <w:r w:rsidRPr="007D72B3">
        <w:rPr>
          <w:rStyle w:val="Footnote7ptSmallCaps"/>
          <w:lang w:val="en-US"/>
        </w:rPr>
        <w:t xml:space="preserve"> </w:t>
      </w:r>
      <w:r w:rsidRPr="007D72B3">
        <w:rPr>
          <w:lang w:val="en-US"/>
        </w:rPr>
        <w:t xml:space="preserve">Language and Mind, S. 67; zitiert nach: </w:t>
      </w:r>
      <w:r w:rsidRPr="007D72B3">
        <w:rPr>
          <w:rStyle w:val="Footnote7ptSmallCaps"/>
          <w:lang w:val="en-US"/>
        </w:rPr>
        <w:t xml:space="preserve">Morris: </w:t>
      </w:r>
      <w:r w:rsidRPr="007D72B3">
        <w:rPr>
          <w:lang w:val="en-US"/>
        </w:rPr>
        <w:t xml:space="preserve">Language, Creation and the Inner Man; deutsche Übersetzung: RL; vgl. </w:t>
      </w:r>
      <w:r w:rsidRPr="007D72B3">
        <w:rPr>
          <w:rStyle w:val="Footnote7ptSmallCaps"/>
          <w:lang w:val="en-US"/>
        </w:rPr>
        <w:t xml:space="preserve">Chomsky: </w:t>
      </w:r>
      <w:r w:rsidRPr="007D72B3">
        <w:rPr>
          <w:lang w:val="en-US"/>
        </w:rPr>
        <w:t>Sprache und Geist, Frankfurt am Main 1970, S. 112.</w:t>
      </w:r>
    </w:p>
  </w:footnote>
  <w:footnote w:id="31">
    <w:p w:rsidR="00BB7EDA" w:rsidRDefault="007D72B3">
      <w:pPr>
        <w:pStyle w:val="Footnote0"/>
        <w:shd w:val="clear" w:color="auto" w:fill="auto"/>
        <w:tabs>
          <w:tab w:val="left" w:pos="283"/>
        </w:tabs>
        <w:spacing w:line="160" w:lineRule="exact"/>
        <w:ind w:firstLine="0"/>
      </w:pPr>
      <w:r>
        <w:rPr>
          <w:rStyle w:val="Footnote7ptSmallCaps"/>
          <w:vertAlign w:val="superscript"/>
        </w:rPr>
        <w:footnoteRef/>
      </w:r>
      <w:r>
        <w:rPr>
          <w:rStyle w:val="Footnote7ptSmallCaps"/>
        </w:rPr>
        <w:tab/>
        <w:t xml:space="preserve">Chomsky: </w:t>
      </w:r>
      <w:r>
        <w:t>Sprache und Geist, S. 113-116.</w:t>
      </w:r>
    </w:p>
  </w:footnote>
  <w:footnote w:id="32">
    <w:p w:rsidR="00BB7EDA" w:rsidRDefault="007D72B3">
      <w:pPr>
        <w:pStyle w:val="Footnote0"/>
        <w:shd w:val="clear" w:color="auto" w:fill="auto"/>
        <w:tabs>
          <w:tab w:val="left" w:pos="283"/>
        </w:tabs>
        <w:spacing w:line="192" w:lineRule="exact"/>
        <w:ind w:left="340"/>
      </w:pPr>
      <w:r>
        <w:rPr>
          <w:vertAlign w:val="superscript"/>
        </w:rPr>
        <w:footnoteRef/>
      </w:r>
      <w:r w:rsidRPr="007D72B3">
        <w:rPr>
          <w:lang w:val="en-US"/>
        </w:rPr>
        <w:tab/>
        <w:t>„There is no reason to suppose tha</w:t>
      </w:r>
      <w:r w:rsidRPr="007D72B3">
        <w:rPr>
          <w:lang w:val="en-US"/>
        </w:rPr>
        <w:t xml:space="preserve">t the ,gaps' are bridgeable." </w:t>
      </w:r>
      <w:r>
        <w:rPr>
          <w:rStyle w:val="Footnote7ptSmallCaps"/>
        </w:rPr>
        <w:t xml:space="preserve">(Chomsky: </w:t>
      </w:r>
      <w:r>
        <w:t xml:space="preserve">Language and Mind, S. 68; deutsche Übersetzung: RL; vgl. </w:t>
      </w:r>
      <w:r>
        <w:rPr>
          <w:rStyle w:val="Footnote7ptSmallCaps"/>
        </w:rPr>
        <w:t xml:space="preserve">Chomsky: </w:t>
      </w:r>
      <w:r>
        <w:t>Sprache und Geist, S. 113).</w:t>
      </w:r>
    </w:p>
  </w:footnote>
  <w:footnote w:id="33">
    <w:p w:rsidR="00BB7EDA" w:rsidRPr="007D72B3" w:rsidRDefault="007D72B3">
      <w:pPr>
        <w:pStyle w:val="Footnote0"/>
        <w:shd w:val="clear" w:color="auto" w:fill="auto"/>
        <w:tabs>
          <w:tab w:val="left" w:pos="288"/>
        </w:tabs>
        <w:spacing w:line="192" w:lineRule="exact"/>
        <w:ind w:left="340"/>
        <w:rPr>
          <w:lang w:val="en-US"/>
        </w:rPr>
      </w:pPr>
      <w:r>
        <w:rPr>
          <w:vertAlign w:val="superscript"/>
        </w:rPr>
        <w:footnoteRef/>
      </w:r>
      <w:r w:rsidRPr="007D72B3">
        <w:rPr>
          <w:lang w:val="en-US"/>
        </w:rPr>
        <w:tab/>
        <w:t>„Human language is absolutely distinct from any System of communication in other animals ... It is still possible, but i</w:t>
      </w:r>
      <w:r w:rsidRPr="007D72B3">
        <w:rPr>
          <w:lang w:val="en-US"/>
        </w:rPr>
        <w:t xml:space="preserve">t is unlikely, that we will ever know just when and how our ancestors began to speak." </w:t>
      </w:r>
      <w:r w:rsidRPr="007D72B3">
        <w:rPr>
          <w:rStyle w:val="Footnote7ptSmallCaps"/>
          <w:lang w:val="en-US"/>
        </w:rPr>
        <w:t xml:space="preserve">(Simpson: </w:t>
      </w:r>
      <w:r w:rsidRPr="007D72B3">
        <w:rPr>
          <w:lang w:val="en-US"/>
        </w:rPr>
        <w:t xml:space="preserve">The Biological Nature of Man, S. 476-477; zitiert nach: </w:t>
      </w:r>
      <w:r w:rsidRPr="007D72B3">
        <w:rPr>
          <w:rStyle w:val="Footnote7ptSmallCaps"/>
          <w:lang w:val="en-US"/>
        </w:rPr>
        <w:t xml:space="preserve">Morris: </w:t>
      </w:r>
      <w:r w:rsidRPr="007D72B3">
        <w:rPr>
          <w:lang w:val="en-US"/>
        </w:rPr>
        <w:t>Language, Creation and the Inner Man; deutsche Übersetzung: RL.</w:t>
      </w:r>
    </w:p>
  </w:footnote>
  <w:footnote w:id="34">
    <w:p w:rsidR="00BB7EDA" w:rsidRDefault="007D72B3">
      <w:pPr>
        <w:pStyle w:val="Footnote0"/>
        <w:shd w:val="clear" w:color="auto" w:fill="auto"/>
        <w:tabs>
          <w:tab w:val="left" w:pos="278"/>
        </w:tabs>
        <w:spacing w:line="192" w:lineRule="exact"/>
        <w:ind w:left="340"/>
        <w:jc w:val="left"/>
      </w:pPr>
      <w:r>
        <w:rPr>
          <w:vertAlign w:val="superscript"/>
        </w:rPr>
        <w:footnoteRef/>
      </w:r>
      <w:r>
        <w:tab/>
        <w:t xml:space="preserve">So z.B. der Evolutionist und </w:t>
      </w:r>
      <w:r>
        <w:t xml:space="preserve">Paläontologe Jeffrey </w:t>
      </w:r>
      <w:r>
        <w:rPr>
          <w:rStyle w:val="Footnote7ptSmallCaps"/>
        </w:rPr>
        <w:t xml:space="preserve">Laitman (Laitman: </w:t>
      </w:r>
      <w:r>
        <w:t>Konnte unser Urahn sprechen? S. 40).</w:t>
      </w:r>
    </w:p>
  </w:footnote>
  <w:footnote w:id="35">
    <w:p w:rsidR="00BB7EDA" w:rsidRDefault="007D72B3">
      <w:pPr>
        <w:pStyle w:val="Footnote0"/>
        <w:shd w:val="clear" w:color="auto" w:fill="auto"/>
        <w:tabs>
          <w:tab w:val="left" w:pos="288"/>
        </w:tabs>
        <w:ind w:left="320" w:hanging="320"/>
      </w:pPr>
      <w:r>
        <w:rPr>
          <w:vertAlign w:val="superscript"/>
        </w:rPr>
        <w:footnoteRef/>
      </w:r>
      <w:r>
        <w:tab/>
        <w:t xml:space="preserve">Die Erwähnung dieser für die menschlichen Sprachen so wichtigen Zentren soll ja nicht suggerieren, dass damit die „Hardware des menschlichen Sprach- computers" erfasst wäre. Es </w:t>
      </w:r>
      <w:r>
        <w:t>bestehen hochkomplexe weitere interaktive Verbindungen zu vielen anderen Teilen des Gehirns, die im Zusammenhang mit der menschlichen Sprache unerlässlich sind. Viele dieser Aspekte sind bis heute nicht völlig geklärt.</w:t>
      </w:r>
    </w:p>
  </w:footnote>
  <w:footnote w:id="36">
    <w:p w:rsidR="00BB7EDA" w:rsidRDefault="007D72B3">
      <w:pPr>
        <w:pStyle w:val="Footnote0"/>
        <w:shd w:val="clear" w:color="auto" w:fill="auto"/>
        <w:tabs>
          <w:tab w:val="left" w:pos="278"/>
        </w:tabs>
        <w:ind w:left="300" w:hanging="300"/>
        <w:jc w:val="left"/>
      </w:pPr>
      <w:r>
        <w:rPr>
          <w:rStyle w:val="Footnote7pt"/>
          <w:vertAlign w:val="superscript"/>
        </w:rPr>
        <w:footnoteRef/>
      </w:r>
      <w:r>
        <w:rPr>
          <w:rStyle w:val="Footnote7ptSmallCaps"/>
        </w:rPr>
        <w:tab/>
        <w:t xml:space="preserve">Kuhn: </w:t>
      </w:r>
      <w:r>
        <w:t>Menschliche Sprechfähigkeit u</w:t>
      </w:r>
      <w:r>
        <w:t>nd Ohrmuschel zufällig entstanden? S. 438-440.</w:t>
      </w:r>
    </w:p>
  </w:footnote>
  <w:footnote w:id="37">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Man beachte in diesem Zusammenhang, dass hier „Sprache" nicht dasselbe wie „Sprechen" meint. Dass Denken ohne Sprechen möglich ist, wird von niemandem bezweifelt. </w:t>
      </w:r>
      <w:r>
        <w:rPr>
          <w:rStyle w:val="Footnote7ptSmallCaps"/>
        </w:rPr>
        <w:t xml:space="preserve">Gipper </w:t>
      </w:r>
      <w:r>
        <w:t>wies jedoch auch darauf hin, dass sel</w:t>
      </w:r>
      <w:r>
        <w:t xml:space="preserve">bst beim wortlosen Denken im Prinzip „Sprache" mitbeteiligt ist, und weist dies auch für Taubstumme nach (vgl. </w:t>
      </w:r>
      <w:r>
        <w:rPr>
          <w:rStyle w:val="Footnote7ptSmallCaps"/>
        </w:rPr>
        <w:t xml:space="preserve">Gipper: </w:t>
      </w:r>
      <w:r>
        <w:t>Denken ohne Sprache? S. 18-35).</w:t>
      </w:r>
    </w:p>
  </w:footnote>
  <w:footnote w:id="38">
    <w:p w:rsidR="00BB7EDA" w:rsidRDefault="007D72B3">
      <w:pPr>
        <w:pStyle w:val="Footnote0"/>
        <w:shd w:val="clear" w:color="auto" w:fill="auto"/>
        <w:tabs>
          <w:tab w:val="left" w:pos="274"/>
        </w:tabs>
        <w:spacing w:line="160" w:lineRule="exact"/>
        <w:ind w:firstLine="0"/>
      </w:pPr>
      <w:r>
        <w:rPr>
          <w:vertAlign w:val="superscript"/>
        </w:rPr>
        <w:footnoteRef/>
      </w:r>
      <w:r>
        <w:tab/>
        <w:t>GiprER: Denken ohne Sprache? S. 35.</w:t>
      </w:r>
    </w:p>
  </w:footnote>
  <w:footnote w:id="39">
    <w:p w:rsidR="00BB7EDA" w:rsidRDefault="007D72B3">
      <w:pPr>
        <w:pStyle w:val="Footnote0"/>
        <w:shd w:val="clear" w:color="auto" w:fill="auto"/>
        <w:tabs>
          <w:tab w:val="left" w:pos="288"/>
        </w:tabs>
        <w:spacing w:line="160" w:lineRule="exact"/>
        <w:ind w:firstLine="0"/>
      </w:pPr>
      <w:r>
        <w:rPr>
          <w:rStyle w:val="Footnote7ptSmallCaps"/>
          <w:vertAlign w:val="superscript"/>
        </w:rPr>
        <w:footnoteRef/>
      </w:r>
      <w:r>
        <w:rPr>
          <w:rStyle w:val="Footnote7ptSmallCaps"/>
        </w:rPr>
        <w:tab/>
        <w:t xml:space="preserve">Kaser: </w:t>
      </w:r>
      <w:r>
        <w:t>Fremde Kulturen, S. 179-180.</w:t>
      </w:r>
    </w:p>
  </w:footnote>
  <w:footnote w:id="40">
    <w:p w:rsidR="00BB7EDA" w:rsidRDefault="007D72B3">
      <w:pPr>
        <w:pStyle w:val="Footnote0"/>
        <w:shd w:val="clear" w:color="auto" w:fill="auto"/>
        <w:tabs>
          <w:tab w:val="left" w:pos="288"/>
        </w:tabs>
        <w:spacing w:line="160" w:lineRule="exact"/>
        <w:ind w:firstLine="0"/>
      </w:pPr>
      <w:r>
        <w:rPr>
          <w:rStyle w:val="Footnote7ptSmallCaps"/>
          <w:vertAlign w:val="superscript"/>
        </w:rPr>
        <w:footnoteRef/>
      </w:r>
      <w:r>
        <w:rPr>
          <w:rStyle w:val="Footnote7ptSmallCaps"/>
        </w:rPr>
        <w:tab/>
        <w:t xml:space="preserve">Gitt: </w:t>
      </w:r>
      <w:r>
        <w:t>Energie - optimal dur</w:t>
      </w:r>
      <w:r>
        <w:t>ch Information, S. 124.</w:t>
      </w:r>
    </w:p>
  </w:footnote>
  <w:footnote w:id="41">
    <w:p w:rsidR="00BB7EDA" w:rsidRDefault="007D72B3">
      <w:pPr>
        <w:pStyle w:val="Footnote0"/>
        <w:shd w:val="clear" w:color="auto" w:fill="auto"/>
        <w:tabs>
          <w:tab w:val="left" w:pos="293"/>
        </w:tabs>
        <w:spacing w:line="192" w:lineRule="exact"/>
        <w:ind w:left="340"/>
      </w:pPr>
      <w:r>
        <w:rPr>
          <w:vertAlign w:val="superscript"/>
        </w:rPr>
        <w:footnoteRef/>
      </w:r>
      <w:r>
        <w:tab/>
        <w:t xml:space="preserve">In der 14. Auflage von </w:t>
      </w:r>
      <w:r>
        <w:rPr>
          <w:rStyle w:val="Footnote75ptItalic"/>
        </w:rPr>
        <w:t>Ethnologue</w:t>
      </w:r>
      <w:r>
        <w:t xml:space="preserve"> (aus dem Jahr 2000) wurden 6809 Spra</w:t>
      </w:r>
      <w:r>
        <w:softHyphen/>
        <w:t xml:space="preserve">chen aufgelistet </w:t>
      </w:r>
      <w:r>
        <w:rPr>
          <w:rStyle w:val="Footnote7ptSmallCaps"/>
        </w:rPr>
        <w:t xml:space="preserve">(Grimes: </w:t>
      </w:r>
      <w:r>
        <w:t>Ethnologue, Languages of the World, s. „Geogra</w:t>
      </w:r>
      <w:r>
        <w:softHyphen/>
        <w:t>phie distribution of living languages, 2000").</w:t>
      </w:r>
    </w:p>
  </w:footnote>
  <w:footnote w:id="42">
    <w:p w:rsidR="00BB7EDA" w:rsidRDefault="007D72B3">
      <w:pPr>
        <w:pStyle w:val="Footnote0"/>
        <w:shd w:val="clear" w:color="auto" w:fill="auto"/>
        <w:tabs>
          <w:tab w:val="left" w:pos="293"/>
        </w:tabs>
        <w:spacing w:line="192" w:lineRule="exact"/>
        <w:ind w:firstLine="0"/>
      </w:pPr>
      <w:r>
        <w:rPr>
          <w:vertAlign w:val="superscript"/>
        </w:rPr>
        <w:footnoteRef/>
      </w:r>
      <w:r>
        <w:tab/>
        <w:t>Die Übergänge sind fließend.</w:t>
      </w:r>
    </w:p>
  </w:footnote>
  <w:footnote w:id="43">
    <w:p w:rsidR="00BB7EDA" w:rsidRDefault="007D72B3">
      <w:pPr>
        <w:pStyle w:val="Footnote0"/>
        <w:shd w:val="clear" w:color="auto" w:fill="auto"/>
        <w:tabs>
          <w:tab w:val="left" w:pos="288"/>
        </w:tabs>
        <w:spacing w:line="192" w:lineRule="exact"/>
        <w:ind w:left="340"/>
      </w:pPr>
      <w:r>
        <w:rPr>
          <w:vertAlign w:val="superscript"/>
        </w:rPr>
        <w:footnoteRef/>
      </w:r>
      <w:r>
        <w:tab/>
        <w:t xml:space="preserve">Im </w:t>
      </w:r>
      <w:r>
        <w:t>Jahr 1988 wurde die Zahl der Sprachen, die heute noch in Gebrauch sind, auf 6170 beziffert (</w:t>
      </w:r>
      <w:r>
        <w:rPr>
          <w:rStyle w:val="Footnote75ptItalic"/>
        </w:rPr>
        <w:t>Ethnologue,</w:t>
      </w:r>
      <w:r>
        <w:t xml:space="preserve"> Dallas 1988). 1978 hatte man 5103 Sprachen aufgelistet. Doch die Forschung der folgenden 10 Jahre kamen 1067 weitere Sprachen dazu. Dies zeigt, dass man</w:t>
      </w:r>
      <w:r>
        <w:t xml:space="preserve"> die Zahl der Sprachen in aller Welt nur mit Vorsicht beziffern kann (vgl. </w:t>
      </w:r>
      <w:r>
        <w:rPr>
          <w:rStyle w:val="Footnote7ptSmallCaps"/>
        </w:rPr>
        <w:t xml:space="preserve">Moore: </w:t>
      </w:r>
      <w:r>
        <w:t>Any given Day in the Life of the Bible, S. 5).</w:t>
      </w:r>
    </w:p>
    <w:p w:rsidR="00BB7EDA" w:rsidRDefault="007D72B3">
      <w:pPr>
        <w:pStyle w:val="Footnote0"/>
        <w:shd w:val="clear" w:color="auto" w:fill="auto"/>
        <w:spacing w:line="192" w:lineRule="exact"/>
        <w:ind w:left="340" w:firstLine="0"/>
      </w:pPr>
      <w:r>
        <w:t>Die Sprachenliste in der Publikation „Ethnologue" wird immer wieder auf den neuesten Stand gebracht. Diese Veröffentlichung kan</w:t>
      </w:r>
      <w:r>
        <w:t xml:space="preserve">n bei folgender Adresse bezogen werden: SIL International, Ethnologue Editor, 7500 West Camp Wisdom Road, Dallas, Texas 75236 USA (E-Mail: ethnologue. </w:t>
      </w:r>
      <w:hyperlink r:id="rId1" w:history="1">
        <w:r w:rsidRPr="007D72B3">
          <w:rPr>
            <w:rStyle w:val="Hyperlink"/>
            <w:lang w:eastAsia="en-US" w:bidi="en-US"/>
          </w:rPr>
          <w:t>editor@sil.org</w:t>
        </w:r>
      </w:hyperlink>
      <w:r w:rsidRPr="007D72B3">
        <w:rPr>
          <w:lang w:eastAsia="en-US" w:bidi="en-US"/>
        </w:rPr>
        <w:t>).</w:t>
      </w:r>
    </w:p>
  </w:footnote>
  <w:footnote w:id="44">
    <w:p w:rsidR="00BB7EDA" w:rsidRDefault="007D72B3">
      <w:pPr>
        <w:pStyle w:val="Footnote0"/>
        <w:shd w:val="clear" w:color="auto" w:fill="auto"/>
        <w:tabs>
          <w:tab w:val="left" w:pos="283"/>
        </w:tabs>
        <w:spacing w:line="192" w:lineRule="exact"/>
        <w:ind w:firstLine="0"/>
      </w:pPr>
      <w:r>
        <w:rPr>
          <w:rStyle w:val="Footnote7ptSmallCaps"/>
          <w:vertAlign w:val="superscript"/>
        </w:rPr>
        <w:footnoteRef/>
      </w:r>
      <w:r>
        <w:rPr>
          <w:rStyle w:val="Footnote7ptSmallCaps"/>
        </w:rPr>
        <w:tab/>
        <w:t xml:space="preserve">Wilder Smith: </w:t>
      </w:r>
      <w:r>
        <w:t>Der Mensch - ein sprechender Compute</w:t>
      </w:r>
      <w:r>
        <w:t xml:space="preserve">r? </w:t>
      </w:r>
      <w:r>
        <w:rPr>
          <w:rStyle w:val="Footnote7pt"/>
        </w:rPr>
        <w:t>S. 19ff.</w:t>
      </w:r>
    </w:p>
  </w:footnote>
  <w:footnote w:id="45">
    <w:p w:rsidR="00BB7EDA" w:rsidRDefault="007D72B3">
      <w:pPr>
        <w:pStyle w:val="Footnote0"/>
        <w:shd w:val="clear" w:color="auto" w:fill="auto"/>
        <w:tabs>
          <w:tab w:val="left" w:pos="283"/>
        </w:tabs>
        <w:spacing w:line="192" w:lineRule="exact"/>
        <w:ind w:firstLine="0"/>
      </w:pPr>
      <w:r>
        <w:rPr>
          <w:rStyle w:val="FootnoteSmallCaps"/>
          <w:vertAlign w:val="superscript"/>
        </w:rPr>
        <w:footnoteRef/>
      </w:r>
      <w:r>
        <w:rPr>
          <w:rStyle w:val="FootnoteSmallCaps"/>
        </w:rPr>
        <w:tab/>
        <w:t>Gitt:</w:t>
      </w:r>
      <w:r>
        <w:t xml:space="preserve"> Energie - optimal durch Information, S. 116.</w:t>
      </w:r>
    </w:p>
  </w:footnote>
  <w:footnote w:id="46">
    <w:p w:rsidR="00BB7EDA" w:rsidRDefault="007D72B3">
      <w:pPr>
        <w:pStyle w:val="Footnote0"/>
        <w:shd w:val="clear" w:color="auto" w:fill="auto"/>
        <w:tabs>
          <w:tab w:val="left" w:pos="283"/>
        </w:tabs>
        <w:spacing w:line="192" w:lineRule="exact"/>
        <w:ind w:firstLine="0"/>
      </w:pPr>
      <w:r>
        <w:rPr>
          <w:vertAlign w:val="superscript"/>
        </w:rPr>
        <w:footnoteRef/>
      </w:r>
      <w:r>
        <w:tab/>
        <w:t xml:space="preserve">Von griechisch </w:t>
      </w:r>
      <w:r>
        <w:rPr>
          <w:rStyle w:val="Footnote75ptItalic"/>
        </w:rPr>
        <w:t>phone</w:t>
      </w:r>
      <w:r>
        <w:t xml:space="preserve"> („Laut") und </w:t>
      </w:r>
      <w:r>
        <w:rPr>
          <w:rStyle w:val="Footnote75ptItalic"/>
        </w:rPr>
        <w:t>logos</w:t>
      </w:r>
      <w:r>
        <w:t xml:space="preserve"> („Wort", „Wissenschaft").</w:t>
      </w:r>
    </w:p>
  </w:footnote>
  <w:footnote w:id="47">
    <w:p w:rsidR="00BB7EDA" w:rsidRDefault="007D72B3">
      <w:pPr>
        <w:pStyle w:val="Footnote0"/>
        <w:shd w:val="clear" w:color="auto" w:fill="auto"/>
        <w:tabs>
          <w:tab w:val="left" w:pos="288"/>
        </w:tabs>
        <w:spacing w:line="192" w:lineRule="exact"/>
        <w:ind w:left="320" w:hanging="320"/>
      </w:pPr>
      <w:r>
        <w:rPr>
          <w:vertAlign w:val="superscript"/>
        </w:rPr>
        <w:footnoteRef/>
      </w:r>
      <w:r>
        <w:tab/>
        <w:t>Im Idealfall symbolisiert ein Buchstabe einen Laut. Doch je nach Sprache ist dies oft nicht der Fall. So drückt z.B. im G</w:t>
      </w:r>
      <w:r>
        <w:t xml:space="preserve">riechischen der Buchstabe </w:t>
      </w:r>
      <w:r>
        <w:rPr>
          <w:rStyle w:val="Footnote75ptItalic"/>
        </w:rPr>
        <w:t>Psi</w:t>
      </w:r>
      <w:r>
        <w:t xml:space="preserve"> die zwei aufeinander folgenden konsonantischen Phoneme/p/und/s/aus. Ande</w:t>
      </w:r>
      <w:r>
        <w:softHyphen/>
        <w:t>rerseits kann es auch Vorkommen, dass z.B. drei Buchstaben einen einzigen Laut bezeichnen: Im Deutschen braucht man die Dreier-Buchstabenkombi</w:t>
      </w:r>
      <w:r>
        <w:softHyphen/>
        <w:t xml:space="preserve">nation </w:t>
      </w:r>
      <w:r>
        <w:rPr>
          <w:rStyle w:val="Footnote75ptItalic"/>
        </w:rPr>
        <w:t>sch</w:t>
      </w:r>
      <w:r>
        <w:rPr>
          <w:rStyle w:val="Footnote75ptItalic"/>
        </w:rPr>
        <w:t>,</w:t>
      </w:r>
      <w:r>
        <w:t xml:space="preserve"> um den einen Laut </w:t>
      </w:r>
      <w:r>
        <w:rPr>
          <w:rStyle w:val="Footnote75ptItalic"/>
        </w:rPr>
        <w:t>/s/</w:t>
      </w:r>
      <w:r>
        <w:t xml:space="preserve"> zu schreiben.</w:t>
      </w:r>
    </w:p>
    <w:p w:rsidR="00BB7EDA" w:rsidRDefault="007D72B3">
      <w:pPr>
        <w:pStyle w:val="Footnote0"/>
        <w:shd w:val="clear" w:color="auto" w:fill="auto"/>
        <w:spacing w:line="192" w:lineRule="exact"/>
        <w:ind w:left="320" w:firstLine="0"/>
      </w:pPr>
      <w:r>
        <w:t xml:space="preserve">Im Englischen unterscheidet man etwa 45 Laute. Es gibt aber viel weniger Buchstaben. An diesem Beispiel wird deutlich, wie weit man sich bei einer Alphabet-Schrift vom Ideal „ein Buchstabe pro Laut" entfernen kann, ln </w:t>
      </w:r>
      <w:r>
        <w:t>der</w:t>
      </w:r>
    </w:p>
  </w:footnote>
  <w:footnote w:id="48">
    <w:p w:rsidR="00BB7EDA" w:rsidRDefault="007D72B3">
      <w:pPr>
        <w:pStyle w:val="Footnote0"/>
        <w:shd w:val="clear" w:color="auto" w:fill="auto"/>
        <w:tabs>
          <w:tab w:val="left" w:pos="293"/>
        </w:tabs>
        <w:ind w:left="320" w:hanging="320"/>
        <w:jc w:val="left"/>
      </w:pPr>
      <w:r>
        <w:rPr>
          <w:vertAlign w:val="superscript"/>
        </w:rPr>
        <w:footnoteRef/>
      </w:r>
      <w:r>
        <w:tab/>
        <w:t>In der DNS fungieren die vier Nukleotidbasen Adenin (A), Thymin (T), Guanin (G) und Cytosin (C) als „Buchstaben".</w:t>
      </w:r>
    </w:p>
  </w:footnote>
  <w:footnote w:id="49">
    <w:p w:rsidR="00BB7EDA" w:rsidRDefault="007D72B3">
      <w:pPr>
        <w:pStyle w:val="Footnote0"/>
        <w:shd w:val="clear" w:color="auto" w:fill="auto"/>
        <w:tabs>
          <w:tab w:val="left" w:pos="288"/>
        </w:tabs>
        <w:ind w:firstLine="0"/>
      </w:pPr>
      <w:r>
        <w:rPr>
          <w:rStyle w:val="FootnoteSmallCaps"/>
          <w:vertAlign w:val="superscript"/>
        </w:rPr>
        <w:footnoteRef/>
      </w:r>
      <w:r>
        <w:rPr>
          <w:rStyle w:val="FootnoteSmallCaps"/>
        </w:rPr>
        <w:tab/>
        <w:t>Gitt:</w:t>
      </w:r>
      <w:r>
        <w:t xml:space="preserve"> Energie - optimal durch Information, S. 76-77.</w:t>
      </w:r>
    </w:p>
  </w:footnote>
  <w:footnote w:id="50">
    <w:p w:rsidR="00BB7EDA" w:rsidRPr="007D72B3" w:rsidRDefault="007D72B3">
      <w:pPr>
        <w:pStyle w:val="Footnote0"/>
        <w:shd w:val="clear" w:color="auto" w:fill="auto"/>
        <w:tabs>
          <w:tab w:val="left" w:pos="293"/>
        </w:tabs>
        <w:ind w:left="320" w:hanging="320"/>
        <w:jc w:val="left"/>
        <w:rPr>
          <w:lang w:val="en-US"/>
        </w:rPr>
      </w:pPr>
      <w:r>
        <w:rPr>
          <w:rStyle w:val="Footnote7ptSmallCaps"/>
          <w:vertAlign w:val="superscript"/>
        </w:rPr>
        <w:footnoteRef/>
      </w:r>
      <w:r w:rsidRPr="007D72B3">
        <w:rPr>
          <w:rStyle w:val="Footnote7ptSmallCaps"/>
          <w:lang w:val="en-US"/>
        </w:rPr>
        <w:tab/>
        <w:t xml:space="preserve">Black: </w:t>
      </w:r>
      <w:r w:rsidRPr="007D72B3">
        <w:rPr>
          <w:lang w:val="en-US"/>
        </w:rPr>
        <w:t>Linguistics for Students of New Testament Greek, A Survey of Basic Conce</w:t>
      </w:r>
      <w:r w:rsidRPr="007D72B3">
        <w:rPr>
          <w:lang w:val="en-US"/>
        </w:rPr>
        <w:t>pts and Applications, S. 27.</w:t>
      </w:r>
    </w:p>
  </w:footnote>
  <w:footnote w:id="51">
    <w:p w:rsidR="00BB7EDA" w:rsidRDefault="007D72B3">
      <w:pPr>
        <w:pStyle w:val="Footnote0"/>
        <w:shd w:val="clear" w:color="auto" w:fill="auto"/>
        <w:tabs>
          <w:tab w:val="left" w:pos="283"/>
        </w:tabs>
        <w:spacing w:line="192" w:lineRule="exact"/>
        <w:ind w:firstLine="0"/>
      </w:pPr>
      <w:r>
        <w:rPr>
          <w:vertAlign w:val="superscript"/>
        </w:rPr>
        <w:footnoteRef/>
      </w:r>
      <w:r>
        <w:tab/>
        <w:t>Girr: Energie - optimal durch Information, S. 116.</w:t>
      </w:r>
    </w:p>
  </w:footnote>
  <w:footnote w:id="52">
    <w:p w:rsidR="00BB7EDA" w:rsidRPr="007D72B3" w:rsidRDefault="007D72B3">
      <w:pPr>
        <w:pStyle w:val="Footnote0"/>
        <w:shd w:val="clear" w:color="auto" w:fill="auto"/>
        <w:tabs>
          <w:tab w:val="left" w:pos="278"/>
        </w:tabs>
        <w:spacing w:line="192" w:lineRule="exact"/>
        <w:ind w:left="340"/>
        <w:jc w:val="left"/>
        <w:rPr>
          <w:lang w:val="en-US"/>
        </w:rPr>
      </w:pPr>
      <w:r>
        <w:rPr>
          <w:rStyle w:val="Footnote7pt"/>
          <w:vertAlign w:val="superscript"/>
        </w:rPr>
        <w:footnoteRef/>
      </w:r>
      <w:r w:rsidRPr="007D72B3">
        <w:rPr>
          <w:rStyle w:val="Footnote7ptSmallCaps"/>
          <w:lang w:val="en-US"/>
        </w:rPr>
        <w:tab/>
        <w:t xml:space="preserve">Moore: </w:t>
      </w:r>
      <w:r w:rsidRPr="007D72B3">
        <w:rPr>
          <w:lang w:val="en-US"/>
        </w:rPr>
        <w:t>The Alphabet Makers, A Presentation from the Museum of the Alphabet, S. 78</w:t>
      </w:r>
    </w:p>
  </w:footnote>
  <w:footnote w:id="53">
    <w:p w:rsidR="00BB7EDA" w:rsidRDefault="007D72B3">
      <w:pPr>
        <w:pStyle w:val="Footnote0"/>
        <w:shd w:val="clear" w:color="auto" w:fill="auto"/>
        <w:tabs>
          <w:tab w:val="left" w:pos="274"/>
        </w:tabs>
        <w:spacing w:line="192" w:lineRule="exact"/>
        <w:ind w:left="340"/>
      </w:pPr>
      <w:r>
        <w:rPr>
          <w:vertAlign w:val="superscript"/>
        </w:rPr>
        <w:footnoteRef/>
      </w:r>
      <w:r>
        <w:tab/>
        <w:t>Es gibt im Englischen keine zwei Wörter, die sich nur durch die verschiede</w:t>
      </w:r>
      <w:r>
        <w:softHyphen/>
        <w:t xml:space="preserve">nen /-Laute </w:t>
      </w:r>
      <w:r>
        <w:t>unterscheiden würden. Deshalb kann man in diesem Fall nicht von verschiedenen Phonemen sprechen. Ein und dasselbe Phonem kann je nach Umgebung, in der es vorkommt, eine etwas anders geartete Klangfarbe besitzen.</w:t>
      </w:r>
    </w:p>
  </w:footnote>
  <w:footnote w:id="54">
    <w:p w:rsidR="00BB7EDA" w:rsidRPr="007D72B3" w:rsidRDefault="007D72B3">
      <w:pPr>
        <w:pStyle w:val="Footnote0"/>
        <w:shd w:val="clear" w:color="auto" w:fill="auto"/>
        <w:tabs>
          <w:tab w:val="left" w:pos="278"/>
        </w:tabs>
        <w:spacing w:line="192" w:lineRule="exact"/>
        <w:ind w:left="340"/>
        <w:jc w:val="left"/>
        <w:rPr>
          <w:lang w:val="en-US"/>
        </w:rPr>
      </w:pPr>
      <w:r>
        <w:rPr>
          <w:rStyle w:val="Footnote7pt"/>
          <w:vertAlign w:val="superscript"/>
        </w:rPr>
        <w:footnoteRef/>
      </w:r>
      <w:r w:rsidRPr="007D72B3">
        <w:rPr>
          <w:rStyle w:val="Footnote7ptSmallCaps"/>
          <w:lang w:val="en-US"/>
        </w:rPr>
        <w:tab/>
        <w:t xml:space="preserve">Moore: </w:t>
      </w:r>
      <w:r w:rsidRPr="007D72B3">
        <w:rPr>
          <w:lang w:val="en-US"/>
        </w:rPr>
        <w:t>The Alphabet Makers, A Presentation</w:t>
      </w:r>
      <w:r w:rsidRPr="007D72B3">
        <w:rPr>
          <w:lang w:val="en-US"/>
        </w:rPr>
        <w:t xml:space="preserve"> from the Museum of the Alphabet, S. 78</w:t>
      </w:r>
    </w:p>
  </w:footnote>
  <w:footnote w:id="55">
    <w:p w:rsidR="00BB7EDA" w:rsidRPr="007D72B3" w:rsidRDefault="007D72B3">
      <w:pPr>
        <w:pStyle w:val="Footnote0"/>
        <w:shd w:val="clear" w:color="auto" w:fill="auto"/>
        <w:tabs>
          <w:tab w:val="left" w:pos="274"/>
        </w:tabs>
        <w:spacing w:line="192" w:lineRule="exact"/>
        <w:ind w:firstLine="0"/>
        <w:rPr>
          <w:lang w:val="en-US"/>
        </w:rPr>
      </w:pPr>
      <w:r>
        <w:rPr>
          <w:vertAlign w:val="superscript"/>
        </w:rPr>
        <w:footnoteRef/>
      </w:r>
      <w:r w:rsidRPr="007D72B3">
        <w:rPr>
          <w:lang w:val="en-US"/>
        </w:rPr>
        <w:tab/>
        <w:t>= Summer Institute for Linguistics.</w:t>
      </w:r>
    </w:p>
  </w:footnote>
  <w:footnote w:id="56">
    <w:p w:rsidR="00BB7EDA" w:rsidRPr="007D72B3" w:rsidRDefault="007D72B3">
      <w:pPr>
        <w:pStyle w:val="Footnote0"/>
        <w:shd w:val="clear" w:color="auto" w:fill="auto"/>
        <w:tabs>
          <w:tab w:val="left" w:pos="278"/>
        </w:tabs>
        <w:spacing w:line="192" w:lineRule="exact"/>
        <w:ind w:left="340"/>
        <w:jc w:val="left"/>
        <w:rPr>
          <w:lang w:val="en-US"/>
        </w:rPr>
      </w:pPr>
      <w:r>
        <w:rPr>
          <w:rStyle w:val="Footnote7pt"/>
          <w:vertAlign w:val="superscript"/>
        </w:rPr>
        <w:footnoteRef/>
      </w:r>
      <w:r w:rsidRPr="007D72B3">
        <w:rPr>
          <w:rStyle w:val="Footnote7ptSmallCaps"/>
          <w:lang w:val="en-US"/>
        </w:rPr>
        <w:tab/>
        <w:t xml:space="preserve">Moore: </w:t>
      </w:r>
      <w:r w:rsidRPr="007D72B3">
        <w:rPr>
          <w:lang w:val="en-US"/>
        </w:rPr>
        <w:t>The Alphabet Makers, A Presentation from the Museum of the Alphabet, S. 80.</w:t>
      </w:r>
    </w:p>
  </w:footnote>
  <w:footnote w:id="57">
    <w:p w:rsidR="00BB7EDA" w:rsidRDefault="007D72B3">
      <w:pPr>
        <w:pStyle w:val="Footnote0"/>
        <w:shd w:val="clear" w:color="auto" w:fill="auto"/>
        <w:tabs>
          <w:tab w:val="left" w:pos="283"/>
        </w:tabs>
        <w:spacing w:line="192" w:lineRule="exact"/>
        <w:ind w:left="320" w:hanging="320"/>
      </w:pPr>
      <w:r>
        <w:rPr>
          <w:vertAlign w:val="superscript"/>
        </w:rPr>
        <w:footnoteRef/>
      </w:r>
      <w:r>
        <w:tab/>
        <w:t>Bei einem Tonern kann es sich real um einen einzelnen Ton als auch um eine Abfolge von mehr</w:t>
      </w:r>
      <w:r>
        <w:t>eren Tönen handeln. In der Musik würde man im zweiten Fall von einer „Sequenz" sprechen, aber Musik ist eben nicht Linguistik.</w:t>
      </w:r>
    </w:p>
  </w:footnote>
  <w:footnote w:id="58">
    <w:p w:rsidR="00BB7EDA" w:rsidRDefault="007D72B3">
      <w:pPr>
        <w:pStyle w:val="Footnote0"/>
        <w:shd w:val="clear" w:color="auto" w:fill="auto"/>
        <w:tabs>
          <w:tab w:val="left" w:pos="283"/>
        </w:tabs>
        <w:spacing w:line="192" w:lineRule="exact"/>
        <w:ind w:left="320" w:hanging="320"/>
      </w:pPr>
      <w:r>
        <w:rPr>
          <w:vertAlign w:val="superscript"/>
        </w:rPr>
        <w:footnoteRef/>
      </w:r>
      <w:r>
        <w:tab/>
        <w:t>In dem Chaozhou genannten chinesischen Dialekt z.B. gibt es, solange man nur einzelne Wörter für sich isoliert in Betracht zieh</w:t>
      </w:r>
      <w:r>
        <w:t>t, 8 verschiedene Tönerne. Sobald jedoch Wörter miteinander kombiniert werden, ändern sich die Töne. Man spricht daher von „Isolations-" und „Kombinationstö</w:t>
      </w:r>
      <w:r>
        <w:softHyphen/>
        <w:t xml:space="preserve">nen". Nimmt man in dem genannten Dialekt diese Töne zusammen, so kommt man auf die stattliche Zahl </w:t>
      </w:r>
      <w:r>
        <w:t xml:space="preserve">von </w:t>
      </w:r>
      <w:r>
        <w:rPr>
          <w:rStyle w:val="Footnote7pt"/>
        </w:rPr>
        <w:t xml:space="preserve">16 </w:t>
      </w:r>
      <w:r>
        <w:t xml:space="preserve">Tonemen </w:t>
      </w:r>
      <w:r>
        <w:rPr>
          <w:rStyle w:val="Footnote7ptSmallCaps"/>
        </w:rPr>
        <w:t xml:space="preserve">(Li/Thompson: </w:t>
      </w:r>
      <w:r>
        <w:t>Chine</w:t>
      </w:r>
      <w:r>
        <w:softHyphen/>
        <w:t xml:space="preserve">se, S. </w:t>
      </w:r>
      <w:r>
        <w:rPr>
          <w:rStyle w:val="Footnote7pt"/>
        </w:rPr>
        <w:t>815-816.</w:t>
      </w:r>
    </w:p>
  </w:footnote>
  <w:footnote w:id="59">
    <w:p w:rsidR="00BB7EDA" w:rsidRPr="007D72B3" w:rsidRDefault="007D72B3">
      <w:pPr>
        <w:pStyle w:val="Footnote0"/>
        <w:shd w:val="clear" w:color="auto" w:fill="auto"/>
        <w:tabs>
          <w:tab w:val="left" w:pos="278"/>
        </w:tabs>
        <w:spacing w:line="192" w:lineRule="exact"/>
        <w:ind w:left="320" w:hanging="320"/>
        <w:jc w:val="left"/>
        <w:rPr>
          <w:lang w:val="en-US"/>
        </w:rPr>
      </w:pPr>
      <w:r>
        <w:rPr>
          <w:rStyle w:val="Footnote7pt"/>
          <w:vertAlign w:val="superscript"/>
        </w:rPr>
        <w:footnoteRef/>
      </w:r>
      <w:r w:rsidRPr="007D72B3">
        <w:rPr>
          <w:rStyle w:val="Footnote7ptSmallCaps"/>
          <w:lang w:val="en-US"/>
        </w:rPr>
        <w:tab/>
        <w:t xml:space="preserve">Moore: </w:t>
      </w:r>
      <w:r w:rsidRPr="007D72B3">
        <w:rPr>
          <w:lang w:val="en-US"/>
        </w:rPr>
        <w:t>The Alphabet Makers, A Presentation from the Museum of the Alphabet, S. 78</w:t>
      </w:r>
    </w:p>
  </w:footnote>
  <w:footnote w:id="60">
    <w:p w:rsidR="00BB7EDA" w:rsidRPr="007D72B3" w:rsidRDefault="007D72B3">
      <w:pPr>
        <w:pStyle w:val="Footnote0"/>
        <w:shd w:val="clear" w:color="auto" w:fill="auto"/>
        <w:tabs>
          <w:tab w:val="left" w:pos="264"/>
        </w:tabs>
        <w:spacing w:line="192" w:lineRule="exact"/>
        <w:ind w:firstLine="0"/>
        <w:rPr>
          <w:lang w:val="en-US"/>
        </w:rPr>
      </w:pPr>
      <w:r>
        <w:rPr>
          <w:rStyle w:val="Footnote10pt"/>
          <w:vertAlign w:val="superscript"/>
        </w:rPr>
        <w:footnoteRef/>
      </w:r>
      <w:r w:rsidRPr="007D72B3">
        <w:rPr>
          <w:rStyle w:val="Footnote55ptSmallCapsSpacing0pt"/>
          <w:lang w:val="en-US"/>
        </w:rPr>
        <w:tab/>
        <w:t xml:space="preserve">Nida: </w:t>
      </w:r>
      <w:r w:rsidRPr="007D72B3">
        <w:rPr>
          <w:lang w:val="en-US"/>
        </w:rPr>
        <w:t>Coutumes et Cultures, S. 256.</w:t>
      </w:r>
    </w:p>
  </w:footnote>
  <w:footnote w:id="61">
    <w:p w:rsidR="00BB7EDA" w:rsidRDefault="007D72B3">
      <w:pPr>
        <w:pStyle w:val="Footnote0"/>
        <w:shd w:val="clear" w:color="auto" w:fill="auto"/>
        <w:tabs>
          <w:tab w:val="left" w:pos="259"/>
        </w:tabs>
        <w:spacing w:line="192" w:lineRule="exact"/>
        <w:ind w:left="320" w:hanging="320"/>
        <w:jc w:val="left"/>
      </w:pPr>
      <w:r>
        <w:rPr>
          <w:rStyle w:val="Footnote7pt"/>
          <w:vertAlign w:val="superscript"/>
        </w:rPr>
        <w:footnoteRef/>
      </w:r>
      <w:r>
        <w:rPr>
          <w:rStyle w:val="Footnote7ptSmallCaps"/>
        </w:rPr>
        <w:tab/>
        <w:t xml:space="preserve">Jungraithmayr: </w:t>
      </w:r>
      <w:r>
        <w:t>Was ist „primitiv"? Zum Stand der Sprachgeschichtsfor</w:t>
      </w:r>
      <w:r>
        <w:softHyphen/>
        <w:t>schung in Af</w:t>
      </w:r>
      <w:r>
        <w:t>rika, S. 198.</w:t>
      </w:r>
    </w:p>
  </w:footnote>
  <w:footnote w:id="62">
    <w:p w:rsidR="00BB7EDA" w:rsidRDefault="007D72B3">
      <w:pPr>
        <w:pStyle w:val="Footnote0"/>
        <w:shd w:val="clear" w:color="auto" w:fill="auto"/>
        <w:tabs>
          <w:tab w:val="left" w:pos="274"/>
        </w:tabs>
        <w:ind w:left="320" w:hanging="320"/>
        <w:jc w:val="left"/>
      </w:pPr>
      <w:r>
        <w:rPr>
          <w:rStyle w:val="Footnote7pt"/>
          <w:vertAlign w:val="superscript"/>
        </w:rPr>
        <w:footnoteRef/>
      </w:r>
      <w:r>
        <w:rPr>
          <w:rStyle w:val="Footnote7ptSmallCapsSpacing0pt"/>
        </w:rPr>
        <w:tab/>
        <w:t xml:space="preserve">Jungraithmayr: </w:t>
      </w:r>
      <w:r>
        <w:t>Was ist „primitiv"? Zum Stand der Sprachgeschichtsfor</w:t>
      </w:r>
      <w:r>
        <w:softHyphen/>
        <w:t>schung in Afrika, S. 198.</w:t>
      </w:r>
    </w:p>
  </w:footnote>
  <w:footnote w:id="63">
    <w:p w:rsidR="00BB7EDA" w:rsidRDefault="007D72B3">
      <w:pPr>
        <w:pStyle w:val="Footnote0"/>
        <w:shd w:val="clear" w:color="auto" w:fill="auto"/>
        <w:tabs>
          <w:tab w:val="left" w:pos="283"/>
        </w:tabs>
        <w:ind w:firstLine="0"/>
      </w:pPr>
      <w:r>
        <w:rPr>
          <w:rStyle w:val="FootnoteSmallCaps"/>
          <w:vertAlign w:val="superscript"/>
        </w:rPr>
        <w:footnoteRef/>
      </w:r>
      <w:r>
        <w:rPr>
          <w:rStyle w:val="FootnoteSmallCaps"/>
        </w:rPr>
        <w:tab/>
        <w:t>Gitt:</w:t>
      </w:r>
      <w:r>
        <w:t xml:space="preserve"> Energie - optimal durch Information, S. 116.</w:t>
      </w:r>
    </w:p>
  </w:footnote>
  <w:footnote w:id="64">
    <w:p w:rsidR="00BB7EDA" w:rsidRDefault="007D72B3">
      <w:pPr>
        <w:pStyle w:val="Footnote0"/>
        <w:shd w:val="clear" w:color="auto" w:fill="auto"/>
        <w:tabs>
          <w:tab w:val="left" w:pos="288"/>
        </w:tabs>
        <w:ind w:left="320" w:hanging="320"/>
      </w:pPr>
      <w:r>
        <w:rPr>
          <w:vertAlign w:val="superscript"/>
        </w:rPr>
        <w:footnoteRef/>
      </w:r>
      <w:r>
        <w:tab/>
        <w:t xml:space="preserve">Zwei Beispiele mögen klären, was mit dem Begriff „Wortformen" gemeint ist: </w:t>
      </w:r>
      <w:r>
        <w:rPr>
          <w:rStyle w:val="Footnote75ptItalic"/>
        </w:rPr>
        <w:t>Hauses</w:t>
      </w:r>
      <w:r>
        <w:t xml:space="preserve"> ist die Genitiv-Wortform des Nomens </w:t>
      </w:r>
      <w:r>
        <w:rPr>
          <w:rStyle w:val="Footnote75ptItalic"/>
        </w:rPr>
        <w:t>Haus; kaufst</w:t>
      </w:r>
      <w:r>
        <w:t xml:space="preserve"> ist eine Wort</w:t>
      </w:r>
      <w:r>
        <w:softHyphen/>
        <w:t xml:space="preserve">form des Verbums </w:t>
      </w:r>
      <w:r>
        <w:rPr>
          <w:rStyle w:val="Footnote75ptItalic"/>
        </w:rPr>
        <w:t>kaufen</w:t>
      </w:r>
      <w:r>
        <w:t>.</w:t>
      </w:r>
    </w:p>
  </w:footnote>
  <w:footnote w:id="65">
    <w:p w:rsidR="00BB7EDA" w:rsidRDefault="007D72B3">
      <w:pPr>
        <w:pStyle w:val="Footnote0"/>
        <w:shd w:val="clear" w:color="auto" w:fill="auto"/>
        <w:tabs>
          <w:tab w:val="left" w:pos="283"/>
        </w:tabs>
        <w:ind w:firstLine="0"/>
      </w:pPr>
      <w:r>
        <w:rPr>
          <w:vertAlign w:val="superscript"/>
        </w:rPr>
        <w:footnoteRef/>
      </w:r>
      <w:r>
        <w:tab/>
        <w:t xml:space="preserve">Von griechisch </w:t>
      </w:r>
      <w:r>
        <w:rPr>
          <w:rStyle w:val="Footnote75ptItalic"/>
        </w:rPr>
        <w:t>morphe</w:t>
      </w:r>
      <w:r>
        <w:t xml:space="preserve"> („Form") und </w:t>
      </w:r>
      <w:r>
        <w:rPr>
          <w:rStyle w:val="Footnote75ptItalic"/>
        </w:rPr>
        <w:t>logos</w:t>
      </w:r>
      <w:r>
        <w:t xml:space="preserve"> („Wort", „Wissenschaft").</w:t>
      </w:r>
    </w:p>
  </w:footnote>
  <w:footnote w:id="66">
    <w:p w:rsidR="00BB7EDA" w:rsidRDefault="007D72B3">
      <w:pPr>
        <w:pStyle w:val="Footnote0"/>
        <w:shd w:val="clear" w:color="auto" w:fill="auto"/>
        <w:tabs>
          <w:tab w:val="left" w:pos="283"/>
        </w:tabs>
        <w:ind w:firstLine="0"/>
      </w:pPr>
      <w:r>
        <w:rPr>
          <w:rStyle w:val="Footnote7pt"/>
          <w:vertAlign w:val="superscript"/>
        </w:rPr>
        <w:footnoteRef/>
      </w:r>
      <w:r>
        <w:rPr>
          <w:rStyle w:val="Footnote7ptSmallCaps"/>
        </w:rPr>
        <w:tab/>
        <w:t xml:space="preserve">Kedar: </w:t>
      </w:r>
      <w:r>
        <w:t>Biblische Semantik, S. 23.</w:t>
      </w:r>
    </w:p>
  </w:footnote>
  <w:footnote w:id="67">
    <w:p w:rsidR="00BB7EDA" w:rsidRDefault="007D72B3">
      <w:pPr>
        <w:pStyle w:val="Footnote0"/>
        <w:shd w:val="clear" w:color="auto" w:fill="auto"/>
        <w:tabs>
          <w:tab w:val="left" w:pos="283"/>
        </w:tabs>
        <w:ind w:left="320" w:hanging="320"/>
        <w:jc w:val="left"/>
      </w:pPr>
      <w:r>
        <w:rPr>
          <w:vertAlign w:val="superscript"/>
        </w:rPr>
        <w:footnoteRef/>
      </w:r>
      <w:r>
        <w:tab/>
        <w:t>Im Deutschen z.B. stehen Substantive als Lexeme im Nominativ</w:t>
      </w:r>
      <w:r>
        <w:t xml:space="preserve"> Singular und Verben im Infinitiv.</w:t>
      </w:r>
    </w:p>
  </w:footnote>
  <w:footnote w:id="68">
    <w:p w:rsidR="00BB7EDA" w:rsidRDefault="007D72B3">
      <w:pPr>
        <w:pStyle w:val="Footnote0"/>
        <w:shd w:val="clear" w:color="auto" w:fill="auto"/>
        <w:tabs>
          <w:tab w:val="left" w:pos="283"/>
        </w:tabs>
        <w:ind w:firstLine="0"/>
      </w:pPr>
      <w:r>
        <w:rPr>
          <w:vertAlign w:val="superscript"/>
        </w:rPr>
        <w:footnoteRef/>
      </w:r>
      <w:r>
        <w:tab/>
        <w:t>2Kön 11,14.</w:t>
      </w:r>
    </w:p>
  </w:footnote>
  <w:footnote w:id="69">
    <w:p w:rsidR="00BB7EDA" w:rsidRDefault="007D72B3">
      <w:pPr>
        <w:pStyle w:val="Footnote0"/>
        <w:shd w:val="clear" w:color="auto" w:fill="auto"/>
        <w:tabs>
          <w:tab w:val="left" w:pos="283"/>
        </w:tabs>
        <w:ind w:firstLine="0"/>
      </w:pPr>
      <w:r>
        <w:rPr>
          <w:vertAlign w:val="superscript"/>
        </w:rPr>
        <w:footnoteRef/>
      </w:r>
      <w:r>
        <w:tab/>
        <w:t>2 Sam 18.33.</w:t>
      </w:r>
    </w:p>
  </w:footnote>
  <w:footnote w:id="70">
    <w:p w:rsidR="00BB7EDA" w:rsidRDefault="007D72B3">
      <w:pPr>
        <w:pStyle w:val="Footnote0"/>
        <w:shd w:val="clear" w:color="auto" w:fill="auto"/>
        <w:tabs>
          <w:tab w:val="left" w:pos="283"/>
        </w:tabs>
        <w:ind w:firstLine="0"/>
      </w:pPr>
      <w:r>
        <w:rPr>
          <w:vertAlign w:val="superscript"/>
        </w:rPr>
        <w:footnoteRef/>
      </w:r>
      <w:r>
        <w:tab/>
        <w:t>= veranlassende.</w:t>
      </w:r>
    </w:p>
  </w:footnote>
  <w:footnote w:id="71">
    <w:p w:rsidR="00BB7EDA" w:rsidRDefault="007D72B3">
      <w:pPr>
        <w:pStyle w:val="Footnote0"/>
        <w:shd w:val="clear" w:color="auto" w:fill="auto"/>
        <w:tabs>
          <w:tab w:val="left" w:pos="288"/>
        </w:tabs>
        <w:ind w:left="300" w:hanging="300"/>
        <w:jc w:val="left"/>
      </w:pPr>
      <w:r>
        <w:rPr>
          <w:vertAlign w:val="superscript"/>
        </w:rPr>
        <w:footnoteRef/>
      </w:r>
      <w:r>
        <w:tab/>
        <w:t>Der Niph'al ist ein hebräischer Verbalstamm, der oft im Vergleich zum aktiven Grundstamm passive Bedeutung hat.</w:t>
      </w:r>
    </w:p>
  </w:footnote>
  <w:footnote w:id="72">
    <w:p w:rsidR="00BB7EDA" w:rsidRDefault="007D72B3">
      <w:pPr>
        <w:pStyle w:val="Footnote0"/>
        <w:shd w:val="clear" w:color="auto" w:fill="auto"/>
        <w:tabs>
          <w:tab w:val="left" w:pos="283"/>
        </w:tabs>
        <w:ind w:left="340"/>
        <w:jc w:val="left"/>
      </w:pPr>
      <w:r>
        <w:rPr>
          <w:vertAlign w:val="superscript"/>
        </w:rPr>
        <w:footnoteRef/>
      </w:r>
      <w:r>
        <w:tab/>
        <w:t xml:space="preserve">Abgeleitet von dem griechischen Wort </w:t>
      </w:r>
      <w:r>
        <w:rPr>
          <w:rStyle w:val="Footnote75ptItalic"/>
        </w:rPr>
        <w:t>syntaxis</w:t>
      </w:r>
      <w:r>
        <w:t xml:space="preserve"> („Zusammenfügung", „An</w:t>
      </w:r>
      <w:r>
        <w:softHyphen/>
        <w:t>ordnung").</w:t>
      </w:r>
    </w:p>
  </w:footnote>
  <w:footnote w:id="73">
    <w:p w:rsidR="00BB7EDA" w:rsidRDefault="007D72B3">
      <w:pPr>
        <w:pStyle w:val="Footnote0"/>
        <w:shd w:val="clear" w:color="auto" w:fill="auto"/>
        <w:tabs>
          <w:tab w:val="left" w:pos="283"/>
        </w:tabs>
        <w:ind w:left="340"/>
        <w:jc w:val="left"/>
      </w:pPr>
      <w:r>
        <w:rPr>
          <w:vertAlign w:val="superscript"/>
        </w:rPr>
        <w:footnoteRef/>
      </w:r>
      <w:r>
        <w:tab/>
        <w:t>Auf diesen Aspekt der Syntax wurde das gründliche Augenmerk erst seit relativ kurzer Zeit im Rahmen der Diskurs-Analyse gerichtet.</w:t>
      </w:r>
    </w:p>
  </w:footnote>
  <w:footnote w:id="74">
    <w:p w:rsidR="00BB7EDA" w:rsidRDefault="007D72B3">
      <w:pPr>
        <w:pStyle w:val="Footnote0"/>
        <w:shd w:val="clear" w:color="auto" w:fill="auto"/>
        <w:tabs>
          <w:tab w:val="left" w:pos="283"/>
        </w:tabs>
        <w:spacing w:line="160" w:lineRule="exact"/>
        <w:ind w:firstLine="0"/>
      </w:pPr>
      <w:r>
        <w:rPr>
          <w:rStyle w:val="Footnote7pt"/>
          <w:vertAlign w:val="superscript"/>
        </w:rPr>
        <w:footnoteRef/>
      </w:r>
      <w:r>
        <w:rPr>
          <w:rStyle w:val="Footnote7pt"/>
        </w:rPr>
        <w:tab/>
      </w:r>
      <w:r>
        <w:rPr>
          <w:rStyle w:val="Footnote7ptSmallCaps"/>
        </w:rPr>
        <w:t xml:space="preserve">Zimmer: So </w:t>
      </w:r>
      <w:r>
        <w:t>kommt der Mensch zur Sprache, S. 177.</w:t>
      </w:r>
    </w:p>
  </w:footnote>
  <w:footnote w:id="75">
    <w:p w:rsidR="00BB7EDA" w:rsidRDefault="007D72B3">
      <w:pPr>
        <w:pStyle w:val="Footnote0"/>
        <w:shd w:val="clear" w:color="auto" w:fill="auto"/>
        <w:tabs>
          <w:tab w:val="left" w:pos="288"/>
        </w:tabs>
        <w:spacing w:line="192" w:lineRule="exact"/>
        <w:ind w:left="340"/>
        <w:jc w:val="left"/>
      </w:pPr>
      <w:r>
        <w:rPr>
          <w:vertAlign w:val="superscript"/>
        </w:rPr>
        <w:footnoteRef/>
      </w:r>
      <w:r>
        <w:tab/>
        <w:t xml:space="preserve">Persönliche Notiz </w:t>
      </w:r>
      <w:r>
        <w:rPr>
          <w:rStyle w:val="Footnote7pt"/>
        </w:rPr>
        <w:t xml:space="preserve">von </w:t>
      </w:r>
      <w:r>
        <w:t xml:space="preserve">der Linguistin Frau Prof. Dr. Ursula </w:t>
      </w:r>
      <w:r>
        <w:rPr>
          <w:rStyle w:val="Footnote7ptSmallCaps"/>
        </w:rPr>
        <w:t xml:space="preserve">Wiesemann </w:t>
      </w:r>
      <w:r>
        <w:t>an den Autor (21.8.00).</w:t>
      </w:r>
    </w:p>
  </w:footnote>
  <w:footnote w:id="76">
    <w:p w:rsidR="00BB7EDA" w:rsidRDefault="007D72B3">
      <w:pPr>
        <w:pStyle w:val="Footnote0"/>
        <w:shd w:val="clear" w:color="auto" w:fill="auto"/>
        <w:tabs>
          <w:tab w:val="left" w:pos="288"/>
        </w:tabs>
        <w:spacing w:line="192" w:lineRule="exact"/>
        <w:ind w:left="340"/>
      </w:pPr>
      <w:r>
        <w:rPr>
          <w:vertAlign w:val="superscript"/>
        </w:rPr>
        <w:footnoteRef/>
      </w:r>
      <w:r>
        <w:tab/>
        <w:t>Die Begriffe „Oberflächen-" und „Tiefenstruktur" in dieser revidierten Be</w:t>
      </w:r>
      <w:r>
        <w:softHyphen/>
        <w:t>deutung setze ich nachfolgend stets zwischen Anführungs- und Schlusszei</w:t>
      </w:r>
      <w:r>
        <w:softHyphen/>
        <w:t>chen, um deutlich zu machen, dass ich</w:t>
      </w:r>
      <w:r>
        <w:t xml:space="preserve"> sie nicht in der veralteten Weise verwende.</w:t>
      </w:r>
    </w:p>
  </w:footnote>
  <w:footnote w:id="77">
    <w:p w:rsidR="00BB7EDA" w:rsidRDefault="007D72B3">
      <w:pPr>
        <w:pStyle w:val="Footnote0"/>
        <w:shd w:val="clear" w:color="auto" w:fill="auto"/>
        <w:tabs>
          <w:tab w:val="left" w:pos="283"/>
        </w:tabs>
        <w:spacing w:line="192" w:lineRule="exact"/>
        <w:ind w:firstLine="0"/>
      </w:pPr>
      <w:r>
        <w:rPr>
          <w:rStyle w:val="Footnote7pt"/>
          <w:vertAlign w:val="superscript"/>
        </w:rPr>
        <w:footnoteRef/>
      </w:r>
      <w:r>
        <w:rPr>
          <w:rStyle w:val="Footnote7ptSmallCaps"/>
        </w:rPr>
        <w:tab/>
        <w:t xml:space="preserve">Zimmer: So </w:t>
      </w:r>
      <w:r>
        <w:t>kommt der Mensch zur Sprache, S. 11-14.</w:t>
      </w:r>
    </w:p>
  </w:footnote>
  <w:footnote w:id="78">
    <w:p w:rsidR="00BB7EDA" w:rsidRDefault="007D72B3">
      <w:pPr>
        <w:pStyle w:val="Footnote0"/>
        <w:shd w:val="clear" w:color="auto" w:fill="auto"/>
        <w:tabs>
          <w:tab w:val="left" w:pos="288"/>
        </w:tabs>
        <w:spacing w:line="197" w:lineRule="exact"/>
        <w:ind w:left="340"/>
        <w:jc w:val="left"/>
      </w:pPr>
      <w:r>
        <w:rPr>
          <w:vertAlign w:val="superscript"/>
        </w:rPr>
        <w:footnoteRef/>
      </w:r>
      <w:r>
        <w:tab/>
        <w:t>Ich sage bewuss! nicht „Vorwissen", denn dies wäre wohl bereits deutlich zu viel behauptet.</w:t>
      </w:r>
    </w:p>
  </w:footnote>
  <w:footnote w:id="79">
    <w:p w:rsidR="00BB7EDA" w:rsidRDefault="007D72B3">
      <w:pPr>
        <w:pStyle w:val="Footnote0"/>
        <w:shd w:val="clear" w:color="auto" w:fill="auto"/>
        <w:tabs>
          <w:tab w:val="left" w:pos="283"/>
        </w:tabs>
        <w:spacing w:line="192" w:lineRule="exact"/>
        <w:ind w:firstLine="0"/>
      </w:pPr>
      <w:r>
        <w:rPr>
          <w:rStyle w:val="Footnote7ptSmallCaps"/>
          <w:vertAlign w:val="superscript"/>
        </w:rPr>
        <w:footnoteRef/>
      </w:r>
      <w:r>
        <w:rPr>
          <w:rStyle w:val="Footnote7ptSmallCaps"/>
        </w:rPr>
        <w:tab/>
        <w:t xml:space="preserve">Zimmer: </w:t>
      </w:r>
      <w:r>
        <w:rPr>
          <w:rStyle w:val="FootnoteSmallCaps"/>
        </w:rPr>
        <w:t>So</w:t>
      </w:r>
      <w:r>
        <w:t xml:space="preserve"> kommt der Mensch zur Sprache, S. 7.</w:t>
      </w:r>
    </w:p>
  </w:footnote>
  <w:footnote w:id="80">
    <w:p w:rsidR="00BB7EDA" w:rsidRDefault="007D72B3">
      <w:pPr>
        <w:pStyle w:val="Footnote0"/>
        <w:shd w:val="clear" w:color="auto" w:fill="auto"/>
        <w:tabs>
          <w:tab w:val="left" w:pos="283"/>
        </w:tabs>
        <w:spacing w:line="192" w:lineRule="exact"/>
        <w:ind w:left="340"/>
      </w:pPr>
      <w:r>
        <w:rPr>
          <w:vertAlign w:val="superscript"/>
        </w:rPr>
        <w:footnoteRef/>
      </w:r>
      <w:r>
        <w:tab/>
        <w:t>Von Interesse</w:t>
      </w:r>
      <w:r>
        <w:t xml:space="preserve"> ist in diesem Zusammenhang der beiläufige Hinweis, dass auch taube Kinder plappern, ohne je sprachliche Äußerungen gehört zu haben. Es braucht kein Vorbild. Nachahmung spielt hier absolut keine Rolle. Das kindliche Lallen und Gebabbel kommt von innen aus </w:t>
      </w:r>
      <w:r>
        <w:t xml:space="preserve">dem Mensch heraus; vgl. </w:t>
      </w:r>
      <w:r>
        <w:rPr>
          <w:rStyle w:val="Footnote7ptSmallCaps"/>
        </w:rPr>
        <w:t xml:space="preserve">Zimmer: </w:t>
      </w:r>
      <w:r>
        <w:t>So kommt der Mensch zur Sprache, S. 12.</w:t>
      </w:r>
    </w:p>
  </w:footnote>
  <w:footnote w:id="81">
    <w:p w:rsidR="00BB7EDA" w:rsidRDefault="007D72B3">
      <w:pPr>
        <w:pStyle w:val="Footnote0"/>
        <w:shd w:val="clear" w:color="auto" w:fill="auto"/>
        <w:tabs>
          <w:tab w:val="left" w:pos="283"/>
        </w:tabs>
        <w:spacing w:line="192" w:lineRule="exact"/>
        <w:ind w:firstLine="0"/>
      </w:pPr>
      <w:r>
        <w:rPr>
          <w:rStyle w:val="Footnote7ptSmallCaps"/>
          <w:vertAlign w:val="superscript"/>
        </w:rPr>
        <w:footnoteRef/>
      </w:r>
      <w:r>
        <w:rPr>
          <w:rStyle w:val="Footnote7ptSmallCaps"/>
        </w:rPr>
        <w:tab/>
        <w:t xml:space="preserve">Aitchison: </w:t>
      </w:r>
      <w:r>
        <w:t>Der Mensch - das sprechende Wesen, S. 95.</w:t>
      </w:r>
    </w:p>
  </w:footnote>
  <w:footnote w:id="82">
    <w:p w:rsidR="00BB7EDA" w:rsidRDefault="007D72B3">
      <w:pPr>
        <w:pStyle w:val="Footnote0"/>
        <w:shd w:val="clear" w:color="auto" w:fill="auto"/>
        <w:tabs>
          <w:tab w:val="left" w:pos="283"/>
        </w:tabs>
        <w:spacing w:line="192" w:lineRule="exact"/>
        <w:ind w:firstLine="0"/>
      </w:pPr>
      <w:r>
        <w:rPr>
          <w:rStyle w:val="Footnote7ptSmallCaps"/>
          <w:vertAlign w:val="superscript"/>
        </w:rPr>
        <w:footnoteRef/>
      </w:r>
      <w:r>
        <w:rPr>
          <w:rStyle w:val="Footnote7ptSmallCaps"/>
        </w:rPr>
        <w:tab/>
        <w:t xml:space="preserve">Aitchison: </w:t>
      </w:r>
      <w:r>
        <w:t>Der Mensch - das sprechende Wesen, S. 95.</w:t>
      </w:r>
    </w:p>
  </w:footnote>
  <w:footnote w:id="83">
    <w:p w:rsidR="00BB7EDA" w:rsidRDefault="007D72B3">
      <w:pPr>
        <w:pStyle w:val="Footnote0"/>
        <w:shd w:val="clear" w:color="auto" w:fill="auto"/>
        <w:tabs>
          <w:tab w:val="left" w:pos="283"/>
        </w:tabs>
        <w:spacing w:line="192" w:lineRule="exact"/>
        <w:ind w:firstLine="0"/>
      </w:pPr>
      <w:r>
        <w:rPr>
          <w:rStyle w:val="Footnote7ptSmallCaps"/>
          <w:vertAlign w:val="superscript"/>
        </w:rPr>
        <w:footnoteRef/>
      </w:r>
      <w:r>
        <w:rPr>
          <w:rStyle w:val="Footnote7ptSmallCaps"/>
        </w:rPr>
        <w:tab/>
        <w:t xml:space="preserve">Zimmer: So </w:t>
      </w:r>
      <w:r>
        <w:t>kommt der Mensch zur Sprache, S. 25.</w:t>
      </w:r>
    </w:p>
  </w:footnote>
  <w:footnote w:id="84">
    <w:p w:rsidR="00BB7EDA" w:rsidRDefault="007D72B3">
      <w:pPr>
        <w:pStyle w:val="Footnote0"/>
        <w:shd w:val="clear" w:color="auto" w:fill="auto"/>
        <w:tabs>
          <w:tab w:val="left" w:pos="283"/>
        </w:tabs>
        <w:ind w:firstLine="0"/>
      </w:pPr>
      <w:r>
        <w:rPr>
          <w:rStyle w:val="Footnote7ptSmallCaps"/>
          <w:vertAlign w:val="superscript"/>
        </w:rPr>
        <w:footnoteRef/>
      </w:r>
      <w:r>
        <w:rPr>
          <w:rStyle w:val="Footnote7ptSmallCaps"/>
        </w:rPr>
        <w:tab/>
        <w:t xml:space="preserve">Wilder Smith: </w:t>
      </w:r>
      <w:r>
        <w:t>Der Mens</w:t>
      </w:r>
      <w:r>
        <w:t>ch - ein sprechender Computer?</w:t>
      </w:r>
    </w:p>
    <w:p w:rsidR="00BB7EDA" w:rsidRDefault="007D72B3">
      <w:pPr>
        <w:pStyle w:val="Footnote0"/>
        <w:shd w:val="clear" w:color="auto" w:fill="auto"/>
        <w:ind w:left="320" w:firstLine="0"/>
      </w:pPr>
      <w:r>
        <w:t xml:space="preserve">Allgemein zum Spracherwerb des Kindes vgl.: </w:t>
      </w:r>
      <w:r>
        <w:rPr>
          <w:rStyle w:val="Footnote7ptSmallCaps"/>
        </w:rPr>
        <w:t xml:space="preserve">Zimmer: </w:t>
      </w:r>
      <w:r>
        <w:rPr>
          <w:rStyle w:val="FootnoteSmallCaps"/>
        </w:rPr>
        <w:t>So</w:t>
      </w:r>
      <w:r>
        <w:t xml:space="preserve"> kommt der Mensch zur Sprache, Über Spracherwerb, Sprachentstehung und Sprache &amp; Denken.</w:t>
      </w:r>
    </w:p>
  </w:footnote>
  <w:footnote w:id="85">
    <w:p w:rsidR="00BB7EDA" w:rsidRDefault="007D72B3">
      <w:pPr>
        <w:pStyle w:val="Footnote0"/>
        <w:shd w:val="clear" w:color="auto" w:fill="auto"/>
        <w:tabs>
          <w:tab w:val="left" w:pos="283"/>
        </w:tabs>
        <w:ind w:firstLine="0"/>
      </w:pPr>
      <w:r>
        <w:rPr>
          <w:rStyle w:val="Footnote7ptSmallCaps"/>
          <w:vertAlign w:val="superscript"/>
        </w:rPr>
        <w:footnoteRef/>
      </w:r>
      <w:r>
        <w:rPr>
          <w:rStyle w:val="Footnote7ptSmallCaps"/>
        </w:rPr>
        <w:tab/>
        <w:t xml:space="preserve">Wilder Smith: </w:t>
      </w:r>
      <w:r>
        <w:t>Der Mensch - ein sprechender Computer? S. 19-21.</w:t>
      </w:r>
    </w:p>
  </w:footnote>
  <w:footnote w:id="86">
    <w:p w:rsidR="00BB7EDA" w:rsidRDefault="007D72B3">
      <w:pPr>
        <w:pStyle w:val="Footnote0"/>
        <w:shd w:val="clear" w:color="auto" w:fill="auto"/>
        <w:tabs>
          <w:tab w:val="left" w:pos="288"/>
        </w:tabs>
        <w:spacing w:line="192" w:lineRule="exact"/>
        <w:ind w:left="320" w:hanging="320"/>
      </w:pPr>
      <w:r>
        <w:rPr>
          <w:rStyle w:val="Footnote7ptSmallCaps"/>
          <w:vertAlign w:val="superscript"/>
        </w:rPr>
        <w:footnoteRef/>
      </w:r>
      <w:r>
        <w:rPr>
          <w:rStyle w:val="Footnote7ptSmallCaps"/>
        </w:rPr>
        <w:tab/>
        <w:t xml:space="preserve">Zimmer: So </w:t>
      </w:r>
      <w:r>
        <w:t xml:space="preserve">kommt der Mensch zur Sprache, S. 94-98; Literaturhinweis auf S. 117: </w:t>
      </w:r>
      <w:r>
        <w:rPr>
          <w:rStyle w:val="Footnote7ptSmallCaps"/>
        </w:rPr>
        <w:t xml:space="preserve">Bickerton: </w:t>
      </w:r>
      <w:r>
        <w:t>Creol Languages, S. 108-115. Vgl. ferner die kritische Würdi</w:t>
      </w:r>
      <w:r>
        <w:softHyphen/>
        <w:t xml:space="preserve">gung und wohltuend gesunde Relativierung der Arbeit </w:t>
      </w:r>
      <w:r>
        <w:rPr>
          <w:rStyle w:val="Footnote7ptSmallCaps"/>
        </w:rPr>
        <w:t xml:space="preserve">Bickertons </w:t>
      </w:r>
      <w:r>
        <w:t xml:space="preserve">durch Marlis </w:t>
      </w:r>
      <w:r>
        <w:rPr>
          <w:rStyle w:val="Footnote7ptSmallCaps"/>
        </w:rPr>
        <w:t xml:space="preserve">Hellinger </w:t>
      </w:r>
      <w:r>
        <w:t xml:space="preserve">in: </w:t>
      </w:r>
      <w:r>
        <w:rPr>
          <w:rStyle w:val="Footnote7ptSmallCaps"/>
        </w:rPr>
        <w:t xml:space="preserve">Gessinger/von Rahden: </w:t>
      </w:r>
      <w:r>
        <w:t>The</w:t>
      </w:r>
      <w:r>
        <w:t>orien vom Ursprung der Sprachen, Band II, S. 329ff.</w:t>
      </w:r>
    </w:p>
  </w:footnote>
  <w:footnote w:id="87">
    <w:p w:rsidR="00BB7EDA" w:rsidRDefault="007D72B3">
      <w:pPr>
        <w:pStyle w:val="Footnote0"/>
        <w:shd w:val="clear" w:color="auto" w:fill="auto"/>
        <w:tabs>
          <w:tab w:val="left" w:pos="283"/>
        </w:tabs>
        <w:ind w:left="340"/>
        <w:jc w:val="left"/>
      </w:pPr>
      <w:r>
        <w:rPr>
          <w:vertAlign w:val="superscript"/>
        </w:rPr>
        <w:footnoteRef/>
      </w:r>
      <w:r>
        <w:tab/>
        <w:t xml:space="preserve">= Bedeutungslehre, Sprachinhaltsforschung; abgeleitet von griechisch </w:t>
      </w:r>
      <w:r>
        <w:rPr>
          <w:rStyle w:val="Footnote75ptItalic"/>
        </w:rPr>
        <w:t>se- mainö</w:t>
      </w:r>
      <w:r>
        <w:t xml:space="preserve"> („bedeuten").</w:t>
      </w:r>
    </w:p>
  </w:footnote>
  <w:footnote w:id="88">
    <w:p w:rsidR="00BB7EDA" w:rsidRDefault="007D72B3">
      <w:pPr>
        <w:pStyle w:val="Footnote0"/>
        <w:shd w:val="clear" w:color="auto" w:fill="auto"/>
        <w:tabs>
          <w:tab w:val="left" w:pos="288"/>
        </w:tabs>
        <w:ind w:left="360" w:hanging="360"/>
        <w:jc w:val="left"/>
      </w:pPr>
      <w:r>
        <w:rPr>
          <w:vertAlign w:val="superscript"/>
        </w:rPr>
        <w:footnoteRef/>
      </w:r>
      <w:r>
        <w:tab/>
        <w:t xml:space="preserve">Dafür hat sich in der Linguistik der Begriff „le signifiant" eingebürgert (vgl. </w:t>
      </w:r>
      <w:r>
        <w:rPr>
          <w:rStyle w:val="Footnote7ptSmallCaps"/>
        </w:rPr>
        <w:t xml:space="preserve">de Saussure: </w:t>
      </w:r>
      <w:r>
        <w:t>Cours de lingu</w:t>
      </w:r>
      <w:r>
        <w:t xml:space="preserve">istique generale, </w:t>
      </w:r>
      <w:r>
        <w:rPr>
          <w:rStyle w:val="Footnote7pt"/>
        </w:rPr>
        <w:t>S. 97-103.</w:t>
      </w:r>
    </w:p>
  </w:footnote>
  <w:footnote w:id="89">
    <w:p w:rsidR="00BB7EDA" w:rsidRDefault="007D72B3">
      <w:pPr>
        <w:pStyle w:val="Footnote0"/>
        <w:shd w:val="clear" w:color="auto" w:fill="auto"/>
        <w:tabs>
          <w:tab w:val="left" w:pos="274"/>
        </w:tabs>
        <w:ind w:left="360" w:hanging="360"/>
        <w:jc w:val="left"/>
      </w:pPr>
      <w:r>
        <w:rPr>
          <w:vertAlign w:val="superscript"/>
        </w:rPr>
        <w:footnoteRef/>
      </w:r>
      <w:r>
        <w:tab/>
        <w:t xml:space="preserve">Im Gegensatz zu „ie signifiant" benutzt man dafür den Begriff „le signifie" </w:t>
      </w:r>
      <w:r>
        <w:rPr>
          <w:rStyle w:val="Footnote7pt"/>
        </w:rPr>
        <w:t xml:space="preserve">(vgl. </w:t>
      </w:r>
      <w:r>
        <w:rPr>
          <w:rStyle w:val="Footnote7ptSmallCaps"/>
        </w:rPr>
        <w:t xml:space="preserve">de Saussure: </w:t>
      </w:r>
      <w:r>
        <w:t xml:space="preserve">Cours de linguistique generale, </w:t>
      </w:r>
      <w:r>
        <w:rPr>
          <w:rStyle w:val="Footnote7pt"/>
        </w:rPr>
        <w:t>S. 97-103).</w:t>
      </w:r>
    </w:p>
  </w:footnote>
  <w:footnote w:id="90">
    <w:p w:rsidR="00BB7EDA" w:rsidRDefault="007D72B3">
      <w:pPr>
        <w:pStyle w:val="Footnote0"/>
        <w:shd w:val="clear" w:color="auto" w:fill="auto"/>
        <w:tabs>
          <w:tab w:val="left" w:pos="278"/>
        </w:tabs>
        <w:ind w:firstLine="0"/>
      </w:pPr>
      <w:r>
        <w:rPr>
          <w:vertAlign w:val="superscript"/>
        </w:rPr>
        <w:footnoteRef/>
      </w:r>
      <w:r>
        <w:tab/>
        <w:t>Zwei gleichklingende Lautkörper (Wörter) mit verschiedenen Bedeutungen.</w:t>
      </w:r>
    </w:p>
  </w:footnote>
  <w:footnote w:id="91">
    <w:p w:rsidR="00BB7EDA" w:rsidRDefault="007D72B3">
      <w:pPr>
        <w:pStyle w:val="Footnote0"/>
        <w:shd w:val="clear" w:color="auto" w:fill="auto"/>
        <w:tabs>
          <w:tab w:val="left" w:pos="274"/>
        </w:tabs>
        <w:ind w:firstLine="0"/>
      </w:pPr>
      <w:r>
        <w:rPr>
          <w:rStyle w:val="FootnoteCandara6pt"/>
        </w:rPr>
        <w:footnoteRef/>
      </w:r>
      <w:r>
        <w:rPr>
          <w:rStyle w:val="FootnoteSmallCaps"/>
        </w:rPr>
        <w:tab/>
        <w:t>q</w:t>
      </w:r>
      <w:r>
        <w:rPr>
          <w:vertAlign w:val="subscript"/>
        </w:rPr>
        <w:t>itt:</w:t>
      </w:r>
      <w:r>
        <w:t xml:space="preserve"> E</w:t>
      </w:r>
      <w:r>
        <w:rPr>
          <w:vertAlign w:val="subscript"/>
        </w:rPr>
        <w:t>ner</w:t>
      </w:r>
      <w:r>
        <w:t>gi</w:t>
      </w:r>
      <w:r>
        <w:rPr>
          <w:vertAlign w:val="subscript"/>
        </w:rPr>
        <w:t>e</w:t>
      </w:r>
      <w:r>
        <w:t xml:space="preserve"> _ optimal durch Information, S. 110.</w:t>
      </w:r>
    </w:p>
  </w:footnote>
  <w:footnote w:id="92">
    <w:p w:rsidR="00BB7EDA" w:rsidRDefault="007D72B3">
      <w:pPr>
        <w:pStyle w:val="Footnote0"/>
        <w:shd w:val="clear" w:color="auto" w:fill="auto"/>
        <w:tabs>
          <w:tab w:val="left" w:pos="274"/>
        </w:tabs>
        <w:ind w:firstLine="0"/>
      </w:pPr>
      <w:r>
        <w:rPr>
          <w:rStyle w:val="Footnote7ptSmallCaps"/>
          <w:vertAlign w:val="superscript"/>
        </w:rPr>
        <w:footnoteRef/>
      </w:r>
      <w:r>
        <w:rPr>
          <w:rStyle w:val="Footnote7ptSmallCaps"/>
        </w:rPr>
        <w:tab/>
        <w:t xml:space="preserve">Gitt: </w:t>
      </w:r>
      <w:r>
        <w:t>Energie - optimal durch Information, passim.</w:t>
      </w:r>
    </w:p>
  </w:footnote>
  <w:footnote w:id="93">
    <w:p w:rsidR="00BB7EDA" w:rsidRDefault="007D72B3">
      <w:pPr>
        <w:pStyle w:val="Footnote0"/>
        <w:shd w:val="clear" w:color="auto" w:fill="auto"/>
        <w:tabs>
          <w:tab w:val="left" w:pos="278"/>
        </w:tabs>
        <w:spacing w:line="160" w:lineRule="exact"/>
        <w:ind w:firstLine="0"/>
      </w:pPr>
      <w:r>
        <w:rPr>
          <w:vertAlign w:val="superscript"/>
        </w:rPr>
        <w:footnoteRef/>
      </w:r>
      <w:r>
        <w:tab/>
        <w:t xml:space="preserve">= Schriftlehre, von griech. </w:t>
      </w:r>
      <w:r>
        <w:rPr>
          <w:rStyle w:val="Footnote75ptItalic"/>
        </w:rPr>
        <w:t>graphö</w:t>
      </w:r>
      <w:r>
        <w:t xml:space="preserve"> („schreiben").</w:t>
      </w:r>
    </w:p>
  </w:footnote>
  <w:footnote w:id="94">
    <w:p w:rsidR="00BB7EDA" w:rsidRPr="007D72B3" w:rsidRDefault="007D72B3">
      <w:pPr>
        <w:pStyle w:val="Footnote0"/>
        <w:shd w:val="clear" w:color="auto" w:fill="auto"/>
        <w:tabs>
          <w:tab w:val="left" w:pos="278"/>
        </w:tabs>
        <w:spacing w:line="192" w:lineRule="exact"/>
        <w:ind w:left="320" w:hanging="320"/>
        <w:rPr>
          <w:lang w:val="en-US"/>
        </w:rPr>
      </w:pPr>
      <w:r>
        <w:rPr>
          <w:vertAlign w:val="superscript"/>
        </w:rPr>
        <w:footnoteRef/>
      </w:r>
      <w:r w:rsidRPr="007D72B3">
        <w:rPr>
          <w:lang w:val="en-US"/>
        </w:rPr>
        <w:tab/>
        <w:t xml:space="preserve">Zur Geschichte der Schrift vgl.: </w:t>
      </w:r>
      <w:r w:rsidRPr="007D72B3">
        <w:rPr>
          <w:rStyle w:val="Footnote7ptSmallCaps"/>
          <w:lang w:val="en-US"/>
        </w:rPr>
        <w:t xml:space="preserve">Naveh: </w:t>
      </w:r>
      <w:r w:rsidRPr="007D72B3">
        <w:rPr>
          <w:lang w:val="en-US"/>
        </w:rPr>
        <w:t xml:space="preserve">Origins of the Alphabets, Introduc- tion to Archaeology; </w:t>
      </w:r>
      <w:r w:rsidRPr="007D72B3">
        <w:rPr>
          <w:rStyle w:val="Footnote7ptSmallCaps"/>
          <w:lang w:val="en-US"/>
        </w:rPr>
        <w:t xml:space="preserve">Haarmann: </w:t>
      </w:r>
      <w:r w:rsidRPr="007D72B3">
        <w:rPr>
          <w:lang w:val="en-US"/>
        </w:rPr>
        <w:t xml:space="preserve">Universalgeschichte der Schrift; </w:t>
      </w:r>
      <w:r w:rsidRPr="007D72B3">
        <w:rPr>
          <w:rStyle w:val="Footnote7ptSmallCaps"/>
          <w:lang w:val="en-US"/>
        </w:rPr>
        <w:t xml:space="preserve">Moore: </w:t>
      </w:r>
      <w:r w:rsidRPr="007D72B3">
        <w:rPr>
          <w:lang w:val="en-US"/>
        </w:rPr>
        <w:t xml:space="preserve">The Alphabet Makers, A Presentation from the Museum of the Alphabet; </w:t>
      </w:r>
      <w:r w:rsidRPr="007D72B3">
        <w:rPr>
          <w:rStyle w:val="Footnote7ptSmallCaps"/>
          <w:lang w:val="en-US"/>
        </w:rPr>
        <w:t xml:space="preserve">McCarter: </w:t>
      </w:r>
      <w:r w:rsidRPr="007D72B3">
        <w:rPr>
          <w:lang w:val="en-US"/>
        </w:rPr>
        <w:t>Ancient Inscriptions, Voices from the Biblical World.</w:t>
      </w:r>
    </w:p>
  </w:footnote>
  <w:footnote w:id="95">
    <w:p w:rsidR="00BB7EDA" w:rsidRDefault="007D72B3">
      <w:pPr>
        <w:pStyle w:val="Footnote0"/>
        <w:shd w:val="clear" w:color="auto" w:fill="auto"/>
        <w:tabs>
          <w:tab w:val="left" w:pos="283"/>
        </w:tabs>
        <w:spacing w:line="192" w:lineRule="exact"/>
        <w:ind w:left="300" w:hanging="300"/>
      </w:pPr>
      <w:r>
        <w:rPr>
          <w:rStyle w:val="Footnote55pt"/>
        </w:rPr>
        <w:footnoteRef/>
      </w:r>
      <w:r>
        <w:rPr>
          <w:rStyle w:val="Footnote55pt"/>
        </w:rPr>
        <w:tab/>
        <w:t>Qj</w:t>
      </w:r>
      <w:r>
        <w:rPr>
          <w:rStyle w:val="Footnote55pt"/>
          <w:vertAlign w:val="subscript"/>
        </w:rPr>
        <w:t>e</w:t>
      </w:r>
      <w:r>
        <w:rPr>
          <w:rStyle w:val="Footnote55pt"/>
        </w:rPr>
        <w:t xml:space="preserve"> </w:t>
      </w:r>
      <w:r>
        <w:t xml:space="preserve">älteste datierte Alphabet-Inschrift ist der in Israel ausgegrabene so genannte </w:t>
      </w:r>
      <w:r>
        <w:rPr>
          <w:rStyle w:val="Footnote75ptItalic"/>
        </w:rPr>
        <w:t>Gezer-Scherben</w:t>
      </w:r>
      <w:r>
        <w:t xml:space="preserve"> aus der Mittleren Bronze IIB </w:t>
      </w:r>
      <w:r>
        <w:rPr>
          <w:rStyle w:val="Footnote7ptSmallCaps"/>
        </w:rPr>
        <w:t xml:space="preserve">(McCarter: </w:t>
      </w:r>
      <w:r>
        <w:t>Ancient Inscriptions, Voices from the Biblical World, S. 70-71).</w:t>
      </w:r>
    </w:p>
    <w:p w:rsidR="00BB7EDA" w:rsidRDefault="007D72B3">
      <w:pPr>
        <w:pStyle w:val="Footnote0"/>
        <w:shd w:val="clear" w:color="auto" w:fill="auto"/>
        <w:spacing w:line="192" w:lineRule="exact"/>
        <w:ind w:left="300" w:firstLine="0"/>
      </w:pPr>
      <w:r>
        <w:t xml:space="preserve">Die in dem gleichen Alphabet von Sklaven (!) abgefassten </w:t>
      </w:r>
      <w:r>
        <w:t xml:space="preserve">Sinai-Inschriften von Serabit-el-Khadim sind zwar schwer zu datieren, sie entstanden aber wohl auch grob gerechnet etwa in der gleichen Periode wie der Gezer- Scherben (vgl. </w:t>
      </w:r>
      <w:r>
        <w:rPr>
          <w:rStyle w:val="Footnote7ptSmallCaps"/>
        </w:rPr>
        <w:t xml:space="preserve">McCarter: </w:t>
      </w:r>
      <w:r>
        <w:t xml:space="preserve">Ancient Inscriptions, Voices from the Biblical World, S. 71-73; </w:t>
      </w:r>
      <w:r>
        <w:rPr>
          <w:rStyle w:val="Footnote7ptSmallCaps"/>
        </w:rPr>
        <w:t xml:space="preserve">JaroS: </w:t>
      </w:r>
      <w:r>
        <w:t>H</w:t>
      </w:r>
      <w:r>
        <w:t>undert Inschriften aus Kanaan und Israel, S. 30-31).</w:t>
      </w:r>
    </w:p>
  </w:footnote>
  <w:footnote w:id="96">
    <w:p w:rsidR="00BB7EDA" w:rsidRDefault="007D72B3">
      <w:pPr>
        <w:pStyle w:val="Footnote0"/>
        <w:shd w:val="clear" w:color="auto" w:fill="auto"/>
        <w:tabs>
          <w:tab w:val="left" w:pos="278"/>
        </w:tabs>
        <w:spacing w:line="192" w:lineRule="exact"/>
        <w:ind w:left="340"/>
      </w:pPr>
      <w:r>
        <w:rPr>
          <w:vertAlign w:val="superscript"/>
        </w:rPr>
        <w:footnoteRef/>
      </w:r>
      <w:r>
        <w:tab/>
        <w:t>Zur weiten Verbreitung der Schreibkunst in Israel während des 2. Jahrtau</w:t>
      </w:r>
      <w:r>
        <w:softHyphen/>
        <w:t>sends v. Chr. vgl. Ri 8,14. Das dort beschriebene Beispiel eines gefangenen Jünglings von Sukkoth, der in der Lage war, auf Befe</w:t>
      </w:r>
      <w:r>
        <w:t>hl eine Namensliste zu verfassen, zeigt, dass die Fähigkeit des Schreibens in Israel damals keines</w:t>
      </w:r>
      <w:r>
        <w:softHyphen/>
        <w:t>wegs auf eine gebildete Oberschicht oder sonst eine exklusive Gruppe be</w:t>
      </w:r>
      <w:r>
        <w:softHyphen/>
        <w:t>schränkt war.</w:t>
      </w:r>
    </w:p>
    <w:p w:rsidR="00BB7EDA" w:rsidRDefault="007D72B3">
      <w:pPr>
        <w:pStyle w:val="Footnote0"/>
        <w:shd w:val="clear" w:color="auto" w:fill="auto"/>
        <w:spacing w:line="192" w:lineRule="exact"/>
        <w:ind w:left="340" w:firstLine="0"/>
      </w:pPr>
      <w:r>
        <w:t>Was das erste Jahrtausend v. Chr. anbetrifft, namentlich die Zeit vom 9</w:t>
      </w:r>
      <w:r>
        <w:t>. bis ins 5. Jh. v. Chr., so kann der weit verbreitete Gebrauch der hebräischen Schrift im Alltagsleben unter allen möglichen Schichten der Bevölkerung heute auf beeindruckende Weise anhand der Hunderten von ausgegrabenen Siegel und Siegelabdrücken nachgew</w:t>
      </w:r>
      <w:r>
        <w:t xml:space="preserve">iesen werden. In keinem anderen Land des Nahen Ostens war die Schreibkunst in dieser Zeit so weit verbreitet wie gerade in Israel, dem „Volk des Buches“ </w:t>
      </w:r>
      <w:r>
        <w:rPr>
          <w:rStyle w:val="Footnote7ptSmallCaps"/>
        </w:rPr>
        <w:t xml:space="preserve">(Avigad: </w:t>
      </w:r>
      <w:r>
        <w:t>Corpus of West Semitic Stamp Seals, S. 22).</w:t>
      </w:r>
    </w:p>
  </w:footnote>
  <w:footnote w:id="97">
    <w:p w:rsidR="00BB7EDA" w:rsidRDefault="007D72B3">
      <w:pPr>
        <w:pStyle w:val="Footnote0"/>
        <w:shd w:val="clear" w:color="auto" w:fill="auto"/>
        <w:tabs>
          <w:tab w:val="left" w:pos="274"/>
        </w:tabs>
        <w:spacing w:line="192" w:lineRule="exact"/>
        <w:ind w:left="340"/>
      </w:pPr>
      <w:r>
        <w:rPr>
          <w:vertAlign w:val="superscript"/>
        </w:rPr>
        <w:footnoteRef/>
      </w:r>
      <w:r>
        <w:tab/>
        <w:t xml:space="preserve">Zum Nachweis der mosaischen Verfasserschaft des </w:t>
      </w:r>
      <w:r>
        <w:t xml:space="preserve">Pentateuchs vgl. </w:t>
      </w:r>
      <w:r>
        <w:rPr>
          <w:rStyle w:val="Footnote7ptSmallCaps0"/>
        </w:rPr>
        <w:t xml:space="preserve">Kül- </w:t>
      </w:r>
      <w:r>
        <w:rPr>
          <w:rStyle w:val="Footnote7ptSmallCaps"/>
        </w:rPr>
        <w:t xml:space="preserve">l:ng: </w:t>
      </w:r>
      <w:r>
        <w:t>Zur Datierung der „Genesis-P-Stücke". Man beachte dort die ausführli</w:t>
      </w:r>
      <w:r>
        <w:softHyphen/>
        <w:t>chen Literaturangaben auf den S. 150-151.</w:t>
      </w:r>
    </w:p>
  </w:footnote>
  <w:footnote w:id="98">
    <w:p w:rsidR="00BB7EDA" w:rsidRDefault="007D72B3">
      <w:pPr>
        <w:pStyle w:val="Footnote0"/>
        <w:shd w:val="clear" w:color="auto" w:fill="auto"/>
        <w:tabs>
          <w:tab w:val="left" w:pos="274"/>
        </w:tabs>
        <w:ind w:left="320" w:hanging="320"/>
        <w:jc w:val="left"/>
      </w:pPr>
      <w:r>
        <w:rPr>
          <w:rStyle w:val="Footnote7ptSmallCaps"/>
          <w:vertAlign w:val="superscript"/>
        </w:rPr>
        <w:footnoteRef/>
      </w:r>
      <w:r>
        <w:rPr>
          <w:rStyle w:val="Footnote7ptSmallCaps"/>
        </w:rPr>
        <w:tab/>
        <w:t xml:space="preserve">Meillet: </w:t>
      </w:r>
      <w:r>
        <w:t xml:space="preserve">Einführung in die vergleichende Grammatik der indogermanischen Sprachen, S. 17 (kursive Hervorhebungen im </w:t>
      </w:r>
      <w:r>
        <w:t>Original).</w:t>
      </w:r>
    </w:p>
  </w:footnote>
  <w:footnote w:id="99">
    <w:p w:rsidR="00BB7EDA" w:rsidRDefault="007D72B3">
      <w:pPr>
        <w:pStyle w:val="Footnote0"/>
        <w:shd w:val="clear" w:color="auto" w:fill="auto"/>
        <w:tabs>
          <w:tab w:val="left" w:pos="274"/>
        </w:tabs>
        <w:ind w:left="320" w:hanging="320"/>
        <w:jc w:val="left"/>
      </w:pPr>
      <w:r>
        <w:rPr>
          <w:vertAlign w:val="superscript"/>
        </w:rPr>
        <w:footnoteRef/>
      </w:r>
      <w:r>
        <w:tab/>
        <w:t xml:space="preserve">Vgl. </w:t>
      </w:r>
      <w:r>
        <w:rPr>
          <w:rStyle w:val="Footnote7ptSmallCaps"/>
        </w:rPr>
        <w:t xml:space="preserve">Meillet: </w:t>
      </w:r>
      <w:r>
        <w:t>Einführung in die vergleichende Grammatik der indogermani</w:t>
      </w:r>
      <w:r>
        <w:softHyphen/>
        <w:t>schen Sprachen, S. 19.</w:t>
      </w:r>
    </w:p>
  </w:footnote>
  <w:footnote w:id="100">
    <w:p w:rsidR="00BB7EDA" w:rsidRPr="007D72B3" w:rsidRDefault="007D72B3">
      <w:pPr>
        <w:pStyle w:val="Footnote0"/>
        <w:shd w:val="clear" w:color="auto" w:fill="auto"/>
        <w:tabs>
          <w:tab w:val="left" w:pos="264"/>
        </w:tabs>
        <w:ind w:firstLine="0"/>
        <w:rPr>
          <w:lang w:val="en-US"/>
        </w:rPr>
      </w:pPr>
      <w:r>
        <w:rPr>
          <w:rStyle w:val="Footnote7ptSmallCaps"/>
          <w:vertAlign w:val="superscript"/>
        </w:rPr>
        <w:footnoteRef/>
      </w:r>
      <w:r w:rsidRPr="007D72B3">
        <w:rPr>
          <w:rStyle w:val="Footnote7ptSmallCaps"/>
          <w:lang w:val="en-US"/>
        </w:rPr>
        <w:tab/>
        <w:t xml:space="preserve">Comrie: </w:t>
      </w:r>
      <w:r w:rsidRPr="007D72B3">
        <w:rPr>
          <w:lang w:val="en-US"/>
        </w:rPr>
        <w:t>The World's Major Languages, S. 11-12.</w:t>
      </w:r>
    </w:p>
    <w:p w:rsidR="00BB7EDA" w:rsidRDefault="007D72B3">
      <w:pPr>
        <w:pStyle w:val="Footnote0"/>
        <w:shd w:val="clear" w:color="auto" w:fill="auto"/>
        <w:ind w:left="320" w:firstLine="0"/>
      </w:pPr>
      <w:r>
        <w:t>Sollten in der Geschichte einer Sprache plötzlich neue Wortformen auftau</w:t>
      </w:r>
      <w:r>
        <w:softHyphen/>
        <w:t xml:space="preserve">chen, so heißt dies also </w:t>
      </w:r>
      <w:r>
        <w:t>noch lange nicht, dass diese etwa plötzlich aus dem Nichts neu entwickelt worden wären. Solche Formen könnten z.B. eine Entlehnung oder eine Analogiebildung von morphologischen Strukturen einer anderen Sprache darstelien.</w:t>
      </w:r>
    </w:p>
  </w:footnote>
  <w:footnote w:id="101">
    <w:p w:rsidR="00BB7EDA" w:rsidRDefault="007D72B3">
      <w:pPr>
        <w:pStyle w:val="Footnote0"/>
        <w:shd w:val="clear" w:color="auto" w:fill="auto"/>
        <w:tabs>
          <w:tab w:val="left" w:pos="278"/>
        </w:tabs>
        <w:spacing w:line="192" w:lineRule="exact"/>
        <w:ind w:left="320" w:hanging="320"/>
      </w:pPr>
      <w:r>
        <w:rPr>
          <w:vertAlign w:val="superscript"/>
        </w:rPr>
        <w:footnoteRef/>
      </w:r>
      <w:r>
        <w:tab/>
        <w:t>Die folgenden Balkansprachen bil</w:t>
      </w:r>
      <w:r>
        <w:t>den, obwohl sie verschiedenen Sprachfa</w:t>
      </w:r>
      <w:r>
        <w:softHyphen/>
        <w:t>milien angehören, zusammen einen „Sprachbund": Modernes Griechisch, Albanisch, Bulgarisch, Mazedonisch und Rumänisch. Die berühmteste Ei</w:t>
      </w:r>
      <w:r>
        <w:softHyphen/>
        <w:t>genheit all dieser Sprachen besteht in dem gemeinsamen Verlust des Infini</w:t>
      </w:r>
      <w:r>
        <w:softHyphen/>
        <w:t xml:space="preserve">tivs. </w:t>
      </w:r>
      <w:r>
        <w:t xml:space="preserve">Will man in diesen Sprachen z.B. sagen </w:t>
      </w:r>
      <w:r>
        <w:rPr>
          <w:rStyle w:val="Footnote75ptItalic"/>
        </w:rPr>
        <w:t>Gib mir zu trinken,</w:t>
      </w:r>
      <w:r>
        <w:t xml:space="preserve"> so drückt man dies aus, indem man sagt </w:t>
      </w:r>
      <w:r>
        <w:rPr>
          <w:rStyle w:val="Footnote75ptItalic"/>
        </w:rPr>
        <w:t>Gib mir, dass ich trinke</w:t>
      </w:r>
      <w:r>
        <w:t xml:space="preserve"> </w:t>
      </w:r>
      <w:r>
        <w:rPr>
          <w:rStyle w:val="Footnote7ptSmallCaps"/>
        </w:rPr>
        <w:t xml:space="preserve">(Comrie: </w:t>
      </w:r>
      <w:r>
        <w:t>The World's Major Languages, S. 10).</w:t>
      </w:r>
    </w:p>
  </w:footnote>
  <w:footnote w:id="102">
    <w:p w:rsidR="00BB7EDA" w:rsidRDefault="007D72B3">
      <w:pPr>
        <w:pStyle w:val="Footnote0"/>
        <w:shd w:val="clear" w:color="auto" w:fill="auto"/>
        <w:tabs>
          <w:tab w:val="left" w:pos="278"/>
        </w:tabs>
        <w:spacing w:line="192" w:lineRule="exact"/>
        <w:ind w:left="300" w:hanging="300"/>
      </w:pPr>
      <w:r>
        <w:rPr>
          <w:vertAlign w:val="superscript"/>
        </w:rPr>
        <w:footnoteRef/>
      </w:r>
      <w:r>
        <w:tab/>
        <w:t>Natürlich handelt es sich bei all diesen Beispielen um indogermanische Sprachen. Doch</w:t>
      </w:r>
      <w:r>
        <w:t xml:space="preserve"> es kann im Fall dieser Sprachen sehr anschaulich demon</w:t>
      </w:r>
      <w:r>
        <w:softHyphen/>
        <w:t>striert werden, wie Sprachen sich prinzipiell, unabhängig von ursprüngli</w:t>
      </w:r>
      <w:r>
        <w:softHyphen/>
        <w:t>cher genealogischer Verwandtschaft, in späterer Zeit ihrer Geschichte gegen</w:t>
      </w:r>
      <w:r>
        <w:softHyphen/>
        <w:t>seitig beeinflussen.</w:t>
      </w:r>
    </w:p>
  </w:footnote>
  <w:footnote w:id="103">
    <w:p w:rsidR="00BB7EDA" w:rsidRDefault="007D72B3">
      <w:pPr>
        <w:pStyle w:val="Footnote0"/>
        <w:shd w:val="clear" w:color="auto" w:fill="auto"/>
        <w:tabs>
          <w:tab w:val="left" w:pos="274"/>
        </w:tabs>
        <w:spacing w:line="192" w:lineRule="exact"/>
        <w:ind w:firstLine="0"/>
      </w:pPr>
      <w:r>
        <w:rPr>
          <w:rStyle w:val="Footnote7ptSmallCaps"/>
          <w:vertAlign w:val="superscript"/>
        </w:rPr>
        <w:footnoteRef/>
      </w:r>
      <w:r>
        <w:rPr>
          <w:rStyle w:val="Footnote7ptSmallCaps"/>
        </w:rPr>
        <w:tab/>
        <w:t xml:space="preserve">Bercstrasser: </w:t>
      </w:r>
      <w:r>
        <w:t xml:space="preserve">Einführung in </w:t>
      </w:r>
      <w:r>
        <w:t>die semitischen Sprachen, S. 112.</w:t>
      </w:r>
    </w:p>
  </w:footnote>
  <w:footnote w:id="104">
    <w:p w:rsidR="00BB7EDA" w:rsidRDefault="007D72B3">
      <w:pPr>
        <w:pStyle w:val="Footnote0"/>
        <w:shd w:val="clear" w:color="auto" w:fill="auto"/>
        <w:tabs>
          <w:tab w:val="left" w:pos="269"/>
        </w:tabs>
        <w:spacing w:line="192" w:lineRule="exact"/>
        <w:ind w:left="300" w:hanging="300"/>
      </w:pPr>
      <w:r>
        <w:rPr>
          <w:vertAlign w:val="superscript"/>
        </w:rPr>
        <w:footnoteRef/>
      </w:r>
      <w:r>
        <w:tab/>
        <w:t xml:space="preserve">Vgl. dazu den Artikel „Jiddische Sprache" in: </w:t>
      </w:r>
      <w:r>
        <w:rPr>
          <w:rStyle w:val="Footnote75ptItalic"/>
        </w:rPr>
        <w:t>Microsoft,</w:t>
      </w:r>
      <w:r>
        <w:t xml:space="preserve"> Encarta 99 Enzyklo</w:t>
      </w:r>
      <w:r>
        <w:softHyphen/>
        <w:t>pädie. Als literarisches Textbeispiel vgl. z.B. das Neue Testament in jiddi</w:t>
      </w:r>
      <w:r>
        <w:softHyphen/>
        <w:t>scher Sprache: Der Brith Chadasah.</w:t>
      </w:r>
    </w:p>
  </w:footnote>
  <w:footnote w:id="105">
    <w:p w:rsidR="00BB7EDA" w:rsidRDefault="007D72B3">
      <w:pPr>
        <w:pStyle w:val="Footnote0"/>
        <w:shd w:val="clear" w:color="auto" w:fill="auto"/>
        <w:tabs>
          <w:tab w:val="left" w:pos="269"/>
        </w:tabs>
        <w:spacing w:line="192" w:lineRule="exact"/>
        <w:ind w:firstLine="0"/>
      </w:pPr>
      <w:r>
        <w:rPr>
          <w:vertAlign w:val="superscript"/>
        </w:rPr>
        <w:footnoteRef/>
      </w:r>
      <w:r>
        <w:tab/>
        <w:t>Ein paar Beispiele dazu:</w:t>
      </w:r>
    </w:p>
    <w:p w:rsidR="00BB7EDA" w:rsidRDefault="007D72B3">
      <w:pPr>
        <w:pStyle w:val="Footnote0"/>
        <w:shd w:val="clear" w:color="auto" w:fill="auto"/>
        <w:spacing w:line="192" w:lineRule="exact"/>
        <w:ind w:left="340" w:firstLine="0"/>
      </w:pPr>
      <w:r>
        <w:t xml:space="preserve">Im </w:t>
      </w:r>
      <w:r>
        <w:t>Japanischen hat man die Zahlwörter aus dem Chinesischen übernom</w:t>
      </w:r>
      <w:r>
        <w:softHyphen/>
        <w:t>men. Dies ist umso erstaunlicher, als es sich hier um einen Teil des Basiswort</w:t>
      </w:r>
      <w:r>
        <w:softHyphen/>
        <w:t>schatzes einer Sprache handelt.</w:t>
      </w:r>
    </w:p>
    <w:p w:rsidR="00BB7EDA" w:rsidRDefault="007D72B3">
      <w:pPr>
        <w:pStyle w:val="Footnote0"/>
        <w:shd w:val="clear" w:color="auto" w:fill="auto"/>
        <w:spacing w:line="192" w:lineRule="exact"/>
        <w:ind w:left="340" w:firstLine="0"/>
      </w:pPr>
      <w:r>
        <w:t xml:space="preserve">Das Englische hat die Pluralpronomen </w:t>
      </w:r>
      <w:r>
        <w:rPr>
          <w:rStyle w:val="Footnote75ptItalic"/>
        </w:rPr>
        <w:t>they, tliein</w:t>
      </w:r>
      <w:r>
        <w:t xml:space="preserve"> und </w:t>
      </w:r>
      <w:r>
        <w:rPr>
          <w:rStyle w:val="Footnote75ptItalic"/>
        </w:rPr>
        <w:t>their</w:t>
      </w:r>
      <w:r>
        <w:t xml:space="preserve"> den skandinavi</w:t>
      </w:r>
      <w:r>
        <w:softHyphen/>
        <w:t xml:space="preserve">schen </w:t>
      </w:r>
      <w:r>
        <w:t>Sprachen entlehnt.</w:t>
      </w:r>
    </w:p>
    <w:p w:rsidR="00BB7EDA" w:rsidRDefault="007D72B3">
      <w:pPr>
        <w:pStyle w:val="Footnote0"/>
        <w:shd w:val="clear" w:color="auto" w:fill="auto"/>
        <w:spacing w:line="192" w:lineRule="exact"/>
        <w:ind w:left="340" w:firstLine="0"/>
      </w:pPr>
      <w:r>
        <w:t xml:space="preserve">Das Agens-Suffix </w:t>
      </w:r>
      <w:r>
        <w:rPr>
          <w:rStyle w:val="Footnote75ptItalic"/>
        </w:rPr>
        <w:t>-er</w:t>
      </w:r>
      <w:r>
        <w:t xml:space="preserve"> im Deutschen und Englischen ist eine spätere Entlehnung aus dem Lateinischen (-</w:t>
      </w:r>
      <w:r>
        <w:rPr>
          <w:rStyle w:val="Footnote75ptItalic"/>
        </w:rPr>
        <w:t>arius),</w:t>
      </w:r>
      <w:r>
        <w:t xml:space="preserve"> die sich auf die Kreativität in diesen Sprachen sehr wirkungsvoll ausgewirkt hat, konnte man doch deswegen aus allen möglichen Verben neue Subsi-antive bilden wie </w:t>
      </w:r>
      <w:r>
        <w:rPr>
          <w:rStyle w:val="Footnote75ptItalic"/>
        </w:rPr>
        <w:t>Käufer</w:t>
      </w:r>
      <w:r>
        <w:t xml:space="preserve"> (von </w:t>
      </w:r>
      <w:r>
        <w:rPr>
          <w:rStyle w:val="Footnote75ptItalic"/>
        </w:rPr>
        <w:t>kaufen), Maler</w:t>
      </w:r>
      <w:r>
        <w:t xml:space="preserve"> (von </w:t>
      </w:r>
      <w:r>
        <w:rPr>
          <w:rStyle w:val="Footnote75ptItalic"/>
        </w:rPr>
        <w:t>malen), Sänger</w:t>
      </w:r>
      <w:r>
        <w:t xml:space="preserve"> (von </w:t>
      </w:r>
      <w:r>
        <w:rPr>
          <w:rStyle w:val="Footnote75ptItalic"/>
        </w:rPr>
        <w:t>singen)</w:t>
      </w:r>
      <w:r>
        <w:t xml:space="preserve"> etc. </w:t>
      </w:r>
      <w:r>
        <w:rPr>
          <w:rStyle w:val="Footnote7ptSmallCaps"/>
        </w:rPr>
        <w:t xml:space="preserve">(Comrie: </w:t>
      </w:r>
      <w:r>
        <w:t xml:space="preserve">The World's Major </w:t>
      </w:r>
      <w:r>
        <w:t xml:space="preserve">Languages, S. </w:t>
      </w:r>
      <w:r>
        <w:rPr>
          <w:rStyle w:val="Footnote7pt"/>
        </w:rPr>
        <w:t>11).</w:t>
      </w:r>
    </w:p>
  </w:footnote>
  <w:footnote w:id="106">
    <w:p w:rsidR="00BB7EDA" w:rsidRDefault="007D72B3">
      <w:pPr>
        <w:pStyle w:val="Footnote0"/>
        <w:shd w:val="clear" w:color="auto" w:fill="auto"/>
        <w:tabs>
          <w:tab w:val="left" w:pos="278"/>
        </w:tabs>
        <w:spacing w:line="160" w:lineRule="exact"/>
        <w:ind w:firstLine="0"/>
      </w:pPr>
      <w:r>
        <w:rPr>
          <w:vertAlign w:val="superscript"/>
        </w:rPr>
        <w:footnoteRef/>
      </w:r>
      <w:r>
        <w:tab/>
        <w:t xml:space="preserve">Von griech. </w:t>
      </w:r>
      <w:r>
        <w:rPr>
          <w:rStyle w:val="Footnote75ptItalic"/>
        </w:rPr>
        <w:t>ntonos</w:t>
      </w:r>
      <w:r>
        <w:t xml:space="preserve"> („allein", „einzig") und </w:t>
      </w:r>
      <w:r>
        <w:rPr>
          <w:rStyle w:val="Footnote75ptItalic"/>
        </w:rPr>
        <w:t>genesis</w:t>
      </w:r>
      <w:r>
        <w:t xml:space="preserve"> („Entstehung", „Ursprung").</w:t>
      </w:r>
    </w:p>
  </w:footnote>
  <w:footnote w:id="107">
    <w:p w:rsidR="00BB7EDA" w:rsidRPr="007D72B3" w:rsidRDefault="007D72B3">
      <w:pPr>
        <w:pStyle w:val="Footnote0"/>
        <w:shd w:val="clear" w:color="auto" w:fill="auto"/>
        <w:tabs>
          <w:tab w:val="left" w:pos="274"/>
        </w:tabs>
        <w:spacing w:line="192" w:lineRule="exact"/>
        <w:ind w:firstLine="0"/>
        <w:rPr>
          <w:lang w:val="en-US"/>
        </w:rPr>
      </w:pPr>
      <w:r>
        <w:rPr>
          <w:vertAlign w:val="superscript"/>
        </w:rPr>
        <w:footnoteRef/>
      </w:r>
      <w:r w:rsidRPr="007D72B3">
        <w:rPr>
          <w:lang w:val="en-US"/>
        </w:rPr>
        <w:tab/>
        <w:t>Ross: Hard Words, Trends in Lingustics, S. 71.</w:t>
      </w:r>
    </w:p>
  </w:footnote>
  <w:footnote w:id="108">
    <w:p w:rsidR="00BB7EDA" w:rsidRDefault="007D72B3">
      <w:pPr>
        <w:pStyle w:val="Footnote0"/>
        <w:shd w:val="clear" w:color="auto" w:fill="auto"/>
        <w:tabs>
          <w:tab w:val="left" w:pos="274"/>
        </w:tabs>
        <w:spacing w:line="192" w:lineRule="exact"/>
        <w:ind w:firstLine="0"/>
      </w:pPr>
      <w:r>
        <w:rPr>
          <w:rStyle w:val="Footnote10pt0"/>
          <w:vertAlign w:val="superscript"/>
        </w:rPr>
        <w:footnoteRef/>
      </w:r>
      <w:r>
        <w:rPr>
          <w:rStyle w:val="Footnote7ptSmallCaps0"/>
        </w:rPr>
        <w:tab/>
        <w:t xml:space="preserve">Cavalli-Sforza: </w:t>
      </w:r>
      <w:r>
        <w:t>Gene, Völker und Sprachen, S. 159-160.</w:t>
      </w:r>
    </w:p>
  </w:footnote>
  <w:footnote w:id="109">
    <w:p w:rsidR="00BB7EDA" w:rsidRDefault="007D72B3">
      <w:pPr>
        <w:pStyle w:val="Footnote0"/>
        <w:shd w:val="clear" w:color="auto" w:fill="auto"/>
        <w:tabs>
          <w:tab w:val="left" w:pos="278"/>
        </w:tabs>
        <w:spacing w:line="192" w:lineRule="exact"/>
        <w:ind w:left="340"/>
      </w:pPr>
      <w:r>
        <w:rPr>
          <w:vertAlign w:val="superscript"/>
        </w:rPr>
        <w:footnoteRef/>
      </w:r>
      <w:r>
        <w:tab/>
        <w:t>Einige Illustrationsbeispiele zum Ausdruck „Mut</w:t>
      </w:r>
      <w:r>
        <w:t>ter" in Sprachen aus ver</w:t>
      </w:r>
      <w:r>
        <w:softHyphen/>
        <w:t xml:space="preserve">schiedenen Stämmen: English: </w:t>
      </w:r>
      <w:r>
        <w:rPr>
          <w:rStyle w:val="Footnote75ptItalic"/>
        </w:rPr>
        <w:t>rnother,</w:t>
      </w:r>
      <w:r>
        <w:t xml:space="preserve"> Spanisch: </w:t>
      </w:r>
      <w:r>
        <w:rPr>
          <w:rStyle w:val="Footnote75ptItalic"/>
        </w:rPr>
        <w:t>madre,</w:t>
      </w:r>
      <w:r>
        <w:t xml:space="preserve"> Sanskrit: </w:t>
      </w:r>
      <w:r>
        <w:rPr>
          <w:rStyle w:val="Footnote75ptItalic"/>
        </w:rPr>
        <w:t>mata,</w:t>
      </w:r>
      <w:r>
        <w:t xml:space="preserve"> He</w:t>
      </w:r>
      <w:r>
        <w:softHyphen/>
        <w:t xml:space="preserve">bräisch: </w:t>
      </w:r>
      <w:r>
        <w:rPr>
          <w:rStyle w:val="Footnote75ptItalic"/>
        </w:rPr>
        <w:t>’em,</w:t>
      </w:r>
      <w:r>
        <w:t xml:space="preserve"> Aramäisch: </w:t>
      </w:r>
      <w:r>
        <w:rPr>
          <w:rStyle w:val="Footnote75ptItalic"/>
        </w:rPr>
        <w:t>’ima,</w:t>
      </w:r>
      <w:r>
        <w:t xml:space="preserve"> Mandarin-Chinesisch: </w:t>
      </w:r>
      <w:r>
        <w:rPr>
          <w:rStyle w:val="Footnote75ptItalic"/>
        </w:rPr>
        <w:t>ma,</w:t>
      </w:r>
      <w:r>
        <w:t xml:space="preserve"> Wijaw (Papua Neu- Ginea): </w:t>
      </w:r>
      <w:r>
        <w:rPr>
          <w:rStyle w:val="Footnote75ptItalic"/>
        </w:rPr>
        <w:t>mam</w:t>
      </w:r>
      <w:r>
        <w:t xml:space="preserve"> </w:t>
      </w:r>
      <w:r>
        <w:rPr>
          <w:rStyle w:val="Footnote7ptSmallCaps"/>
        </w:rPr>
        <w:t xml:space="preserve">(Comrie: </w:t>
      </w:r>
      <w:r>
        <w:t xml:space="preserve">The World's Major Languages, S. </w:t>
      </w:r>
      <w:r>
        <w:rPr>
          <w:rStyle w:val="Footnote7pt"/>
        </w:rPr>
        <w:t>8-9).</w:t>
      </w:r>
    </w:p>
    <w:p w:rsidR="00BB7EDA" w:rsidRDefault="007D72B3">
      <w:pPr>
        <w:pStyle w:val="Footnote0"/>
        <w:shd w:val="clear" w:color="auto" w:fill="auto"/>
        <w:spacing w:line="192" w:lineRule="exact"/>
        <w:ind w:left="340" w:firstLine="0"/>
      </w:pPr>
      <w:r>
        <w:t>Zum Wort „Papa": Lateini</w:t>
      </w:r>
      <w:r>
        <w:t xml:space="preserve">sch: </w:t>
      </w:r>
      <w:r>
        <w:rPr>
          <w:rStyle w:val="Footnote75ptItalic"/>
        </w:rPr>
        <w:t>pater,</w:t>
      </w:r>
      <w:r>
        <w:t xml:space="preserve"> Fulani, Hausa, Libico-Berber: </w:t>
      </w:r>
      <w:r>
        <w:rPr>
          <w:rStyle w:val="Footnote75ptItalic"/>
        </w:rPr>
        <w:t xml:space="preserve">baba, </w:t>
      </w:r>
      <w:r>
        <w:t xml:space="preserve">Hebräisch/Aramaisch: </w:t>
      </w:r>
      <w:r>
        <w:rPr>
          <w:rStyle w:val="Footnote75ptItalic"/>
        </w:rPr>
        <w:t>‘ab</w:t>
      </w:r>
      <w:r>
        <w:t xml:space="preserve"> bzw. </w:t>
      </w:r>
      <w:r>
        <w:rPr>
          <w:rStyle w:val="Footnote75ptItalic"/>
        </w:rPr>
        <w:t>'abba.</w:t>
      </w:r>
    </w:p>
    <w:p w:rsidR="00BB7EDA" w:rsidRDefault="007D72B3">
      <w:pPr>
        <w:pStyle w:val="Footnote0"/>
        <w:shd w:val="clear" w:color="auto" w:fill="auto"/>
        <w:spacing w:line="192" w:lineRule="exact"/>
        <w:ind w:left="340" w:firstLine="0"/>
      </w:pPr>
      <w:r>
        <w:t xml:space="preserve">Die Bedeutungszuweisung der ersten Baby-Silben kann allerdings je nach Sprache auch gegenteilig ausfallen: Im Georgischen bedeutet </w:t>
      </w:r>
      <w:r>
        <w:rPr>
          <w:rStyle w:val="Footnote75ptItalic"/>
        </w:rPr>
        <w:t>mama</w:t>
      </w:r>
      <w:r>
        <w:t xml:space="preserve"> „Vater" und </w:t>
      </w:r>
      <w:r>
        <w:rPr>
          <w:rStyle w:val="Footnote75ptItalic"/>
        </w:rPr>
        <w:t>deda</w:t>
      </w:r>
      <w:r>
        <w:t xml:space="preserve"> „Mutter" (vgl. den</w:t>
      </w:r>
      <w:r>
        <w:t xml:space="preserve"> Gegensatz zum englischen </w:t>
      </w:r>
      <w:r>
        <w:rPr>
          <w:rStyle w:val="Footnote75ptItalic"/>
        </w:rPr>
        <w:t>dadldy]). Baba</w:t>
      </w:r>
      <w:r>
        <w:t xml:space="preserve"> bedeu</w:t>
      </w:r>
      <w:r>
        <w:softHyphen/>
        <w:t xml:space="preserve">tet auf Luba, einer Niger-Kongo-Sprache, „Mutter", während </w:t>
      </w:r>
      <w:r>
        <w:rPr>
          <w:rStyle w:val="Footnote75ptItalic"/>
        </w:rPr>
        <w:t>d.ada</w:t>
      </w:r>
      <w:r>
        <w:t xml:space="preserve"> auf Fulani und Ewe (ebenfalls zur Niger-Kongo-Familie gehörend) „Mutter" heißt.</w:t>
      </w:r>
    </w:p>
  </w:footnote>
  <w:footnote w:id="110">
    <w:p w:rsidR="00BB7EDA" w:rsidRPr="007D72B3" w:rsidRDefault="007D72B3">
      <w:pPr>
        <w:pStyle w:val="Footnote0"/>
        <w:shd w:val="clear" w:color="auto" w:fill="auto"/>
        <w:tabs>
          <w:tab w:val="left" w:pos="278"/>
        </w:tabs>
        <w:ind w:firstLine="0"/>
        <w:rPr>
          <w:lang w:val="en-US"/>
        </w:rPr>
      </w:pPr>
      <w:r>
        <w:rPr>
          <w:rStyle w:val="Footnote7ptSmallCaps"/>
          <w:vertAlign w:val="superscript"/>
        </w:rPr>
        <w:footnoteRef/>
      </w:r>
      <w:r w:rsidRPr="007D72B3">
        <w:rPr>
          <w:rStyle w:val="Footnote7ptSmallCaps"/>
          <w:lang w:val="en-US"/>
        </w:rPr>
        <w:tab/>
        <w:t xml:space="preserve">Lipinski: </w:t>
      </w:r>
      <w:r w:rsidRPr="007D72B3">
        <w:rPr>
          <w:lang w:val="en-US"/>
        </w:rPr>
        <w:t>Semitic Languages, Outline of a Comparative Grammar,</w:t>
      </w:r>
      <w:r w:rsidRPr="007D72B3">
        <w:rPr>
          <w:lang w:val="en-US"/>
        </w:rPr>
        <w:t xml:space="preserve"> S. 543-544.</w:t>
      </w:r>
    </w:p>
  </w:footnote>
  <w:footnote w:id="111">
    <w:p w:rsidR="00BB7EDA" w:rsidRPr="007D72B3" w:rsidRDefault="007D72B3">
      <w:pPr>
        <w:pStyle w:val="Footnote0"/>
        <w:shd w:val="clear" w:color="auto" w:fill="auto"/>
        <w:tabs>
          <w:tab w:val="left" w:pos="278"/>
        </w:tabs>
        <w:ind w:left="320" w:hanging="320"/>
        <w:rPr>
          <w:lang w:val="en-US"/>
        </w:rPr>
      </w:pPr>
      <w:r>
        <w:rPr>
          <w:vertAlign w:val="superscript"/>
        </w:rPr>
        <w:footnoteRef/>
      </w:r>
      <w:r>
        <w:tab/>
        <w:t xml:space="preserve">ln Verbindung mit den Baby-Silben </w:t>
      </w:r>
      <w:r>
        <w:rPr>
          <w:rStyle w:val="Footnote75ptItalic"/>
        </w:rPr>
        <w:t>tu</w:t>
      </w:r>
      <w:r>
        <w:t xml:space="preserve"> und </w:t>
      </w:r>
      <w:r>
        <w:rPr>
          <w:rStyle w:val="Footnote75ptItalic"/>
        </w:rPr>
        <w:t>ta</w:t>
      </w:r>
      <w:r>
        <w:t xml:space="preserve"> sollte man wohl auch die Erklärung dafür suchen, weshalb z.B. für viele Sprachen verschiedener Sprachstämme das Phonem </w:t>
      </w:r>
      <w:r>
        <w:rPr>
          <w:rStyle w:val="Footnote75ptItalic"/>
        </w:rPr>
        <w:t>/t/</w:t>
      </w:r>
      <w:r>
        <w:t xml:space="preserve"> typisch ist zur Bezeichnung der zweiten Person. Hierzu einige Illustrationen: Deutsch: </w:t>
      </w:r>
      <w:r>
        <w:rPr>
          <w:rStyle w:val="Footnote75ptItalic"/>
        </w:rPr>
        <w:t>du,</w:t>
      </w:r>
      <w:r>
        <w:t xml:space="preserve"> Sanskrit: </w:t>
      </w:r>
      <w:r>
        <w:rPr>
          <w:rStyle w:val="Footnote75ptItalic"/>
        </w:rPr>
        <w:t>ton,</w:t>
      </w:r>
      <w:r>
        <w:t xml:space="preserve"> Alt- und Neupersisch: </w:t>
      </w:r>
      <w:r>
        <w:rPr>
          <w:rStyle w:val="Footnote75ptItalic"/>
        </w:rPr>
        <w:t>tu,</w:t>
      </w:r>
      <w:r>
        <w:t xml:space="preserve"> Ägyptisch: </w:t>
      </w:r>
      <w:r>
        <w:rPr>
          <w:rStyle w:val="Footnote75ptItalic"/>
        </w:rPr>
        <w:t>entok</w:t>
      </w:r>
      <w:r>
        <w:t xml:space="preserve"> (m</w:t>
      </w:r>
      <w:r>
        <w:rPr>
          <w:rStyle w:val="Footnote75ptItalic"/>
        </w:rPr>
        <w:t>,)/ento</w:t>
      </w:r>
      <w:r>
        <w:t xml:space="preserve"> (f.), Hebräisch: </w:t>
      </w:r>
      <w:r>
        <w:rPr>
          <w:rStyle w:val="Footnote75ptItalic"/>
        </w:rPr>
        <w:t>‘nttn</w:t>
      </w:r>
      <w:r>
        <w:t xml:space="preserve"> (m</w:t>
      </w:r>
      <w:r>
        <w:rPr>
          <w:rStyle w:val="Footnote75ptItalic"/>
        </w:rPr>
        <w:t>,)/'att</w:t>
      </w:r>
      <w:r>
        <w:t xml:space="preserve"> (f.) </w:t>
      </w:r>
      <w:r w:rsidRPr="007D72B3">
        <w:rPr>
          <w:rStyle w:val="Footnote7ptSmallCaps"/>
          <w:lang w:val="en-US"/>
        </w:rPr>
        <w:t xml:space="preserve">(Davidson: </w:t>
      </w:r>
      <w:r w:rsidRPr="007D72B3">
        <w:rPr>
          <w:lang w:val="en-US"/>
        </w:rPr>
        <w:t xml:space="preserve">Analytical Hebrew and Chaldee Lexicon, S. </w:t>
      </w:r>
      <w:r w:rsidRPr="007D72B3">
        <w:rPr>
          <w:rStyle w:val="Footnote7pt"/>
          <w:lang w:val="en-US"/>
        </w:rPr>
        <w:t>10).</w:t>
      </w:r>
    </w:p>
  </w:footnote>
  <w:footnote w:id="112">
    <w:p w:rsidR="00BB7EDA" w:rsidRPr="007D72B3" w:rsidRDefault="007D72B3">
      <w:pPr>
        <w:pStyle w:val="Footnote0"/>
        <w:shd w:val="clear" w:color="auto" w:fill="auto"/>
        <w:tabs>
          <w:tab w:val="left" w:pos="278"/>
        </w:tabs>
        <w:ind w:firstLine="0"/>
        <w:rPr>
          <w:lang w:val="en-US"/>
        </w:rPr>
      </w:pPr>
      <w:r>
        <w:rPr>
          <w:rStyle w:val="Footnote7ptSmallCaps"/>
          <w:vertAlign w:val="superscript"/>
        </w:rPr>
        <w:footnoteRef/>
      </w:r>
      <w:r w:rsidRPr="007D72B3">
        <w:rPr>
          <w:rStyle w:val="Footnote7ptSmallCaps"/>
          <w:lang w:val="en-US"/>
        </w:rPr>
        <w:tab/>
        <w:t xml:space="preserve">Comrie: </w:t>
      </w:r>
      <w:r w:rsidRPr="007D72B3">
        <w:rPr>
          <w:lang w:val="en-US"/>
        </w:rPr>
        <w:t xml:space="preserve">The World's Major Languages, S. </w:t>
      </w:r>
      <w:r w:rsidRPr="007D72B3">
        <w:rPr>
          <w:rStyle w:val="Footnote7pt"/>
          <w:lang w:val="en-US"/>
        </w:rPr>
        <w:t>8.</w:t>
      </w:r>
    </w:p>
  </w:footnote>
  <w:footnote w:id="113">
    <w:p w:rsidR="00BB7EDA" w:rsidRPr="007D72B3" w:rsidRDefault="007D72B3">
      <w:pPr>
        <w:pStyle w:val="Footnote0"/>
        <w:shd w:val="clear" w:color="auto" w:fill="auto"/>
        <w:tabs>
          <w:tab w:val="left" w:pos="278"/>
        </w:tabs>
        <w:spacing w:line="192" w:lineRule="exact"/>
        <w:ind w:firstLine="0"/>
        <w:rPr>
          <w:lang w:val="en-US"/>
        </w:rPr>
      </w:pPr>
      <w:r>
        <w:rPr>
          <w:vertAlign w:val="superscript"/>
        </w:rPr>
        <w:footnoteRef/>
      </w:r>
      <w:r w:rsidRPr="007D72B3">
        <w:rPr>
          <w:lang w:val="en-US"/>
        </w:rPr>
        <w:tab/>
        <w:t>Ross: Hard Words, Trends in Lingustics, passim.</w:t>
      </w:r>
    </w:p>
  </w:footnote>
  <w:footnote w:id="114">
    <w:p w:rsidR="00BB7EDA" w:rsidRPr="007D72B3" w:rsidRDefault="007D72B3">
      <w:pPr>
        <w:pStyle w:val="Footnote0"/>
        <w:shd w:val="clear" w:color="auto" w:fill="auto"/>
        <w:tabs>
          <w:tab w:val="left" w:pos="274"/>
        </w:tabs>
        <w:spacing w:line="192" w:lineRule="exact"/>
        <w:ind w:left="360" w:hanging="360"/>
        <w:jc w:val="left"/>
        <w:rPr>
          <w:lang w:val="en-US"/>
        </w:rPr>
      </w:pPr>
      <w:r>
        <w:rPr>
          <w:rStyle w:val="Footnote7ptSmallCaps"/>
          <w:vertAlign w:val="superscript"/>
        </w:rPr>
        <w:footnoteRef/>
      </w:r>
      <w:r w:rsidRPr="007D72B3">
        <w:rPr>
          <w:rStyle w:val="Footnote7ptSmallCaps"/>
          <w:lang w:val="en-US"/>
        </w:rPr>
        <w:tab/>
        <w:t xml:space="preserve">Moscati: </w:t>
      </w:r>
      <w:r w:rsidRPr="007D72B3">
        <w:rPr>
          <w:lang w:val="en-US"/>
        </w:rPr>
        <w:t xml:space="preserve">An Intodruction to the Comparadve Grammar </w:t>
      </w:r>
      <w:r w:rsidRPr="007D72B3">
        <w:rPr>
          <w:rStyle w:val="Footnote7pt"/>
          <w:lang w:val="en-US"/>
        </w:rPr>
        <w:t xml:space="preserve">of </w:t>
      </w:r>
      <w:r w:rsidRPr="007D72B3">
        <w:rPr>
          <w:lang w:val="en-US"/>
        </w:rPr>
        <w:t>the Semitic Languages, S. 17; deutsche Übersetzung: RL.</w:t>
      </w:r>
    </w:p>
  </w:footnote>
  <w:footnote w:id="115">
    <w:p w:rsidR="00BB7EDA" w:rsidRDefault="007D72B3">
      <w:pPr>
        <w:pStyle w:val="Footnote0"/>
        <w:shd w:val="clear" w:color="auto" w:fill="auto"/>
        <w:tabs>
          <w:tab w:val="left" w:pos="283"/>
        </w:tabs>
        <w:ind w:left="320" w:hanging="320"/>
      </w:pPr>
      <w:r>
        <w:rPr>
          <w:vertAlign w:val="superscript"/>
        </w:rPr>
        <w:footnoteRef/>
      </w:r>
      <w:r>
        <w:tab/>
        <w:t xml:space="preserve">Neues Lexikon, S. 3355; </w:t>
      </w:r>
      <w:r>
        <w:rPr>
          <w:rStyle w:val="Footnote7ptSmallCaps"/>
        </w:rPr>
        <w:t xml:space="preserve">Jenni: </w:t>
      </w:r>
      <w:r>
        <w:t xml:space="preserve">Lehrbuch der hebräischen Sprache des Alten TestamentesS. 13-14; </w:t>
      </w:r>
      <w:r>
        <w:rPr>
          <w:rStyle w:val="Footnote7ptSmallCaps"/>
        </w:rPr>
        <w:t xml:space="preserve">Bodmer: </w:t>
      </w:r>
      <w:r>
        <w:t xml:space="preserve">Die Sprachen der Welt, S. 181-182; </w:t>
      </w:r>
      <w:r>
        <w:rPr>
          <w:rStyle w:val="Footnote7ptSmallCaps"/>
        </w:rPr>
        <w:t xml:space="preserve">Comrie: </w:t>
      </w:r>
      <w:r>
        <w:t xml:space="preserve">The World's Major Languages, S. 5ff., 647-648; Brockhaus, Die Enzyklopädie in vierundzwanzig Bänden, Sprache, Bd. 20, S. 629. Eine sehr viel </w:t>
      </w:r>
      <w:r>
        <w:t xml:space="preserve">ausführlichere Darstellung der Sprachstämme liefert: </w:t>
      </w:r>
      <w:r>
        <w:rPr>
          <w:rStyle w:val="Footnote7ptSmallCaps"/>
        </w:rPr>
        <w:t xml:space="preserve">Tracer: </w:t>
      </w:r>
      <w:r>
        <w:t>Languages of the World, S. 307-313.</w:t>
      </w:r>
    </w:p>
  </w:footnote>
  <w:footnote w:id="116">
    <w:p w:rsidR="00BB7EDA" w:rsidRDefault="007D72B3">
      <w:pPr>
        <w:pStyle w:val="Footnote0"/>
        <w:shd w:val="clear" w:color="auto" w:fill="auto"/>
        <w:tabs>
          <w:tab w:val="left" w:pos="288"/>
        </w:tabs>
        <w:ind w:left="340"/>
        <w:jc w:val="left"/>
      </w:pPr>
      <w:r>
        <w:rPr>
          <w:rStyle w:val="Footnote7ptSmallCaps"/>
          <w:vertAlign w:val="superscript"/>
        </w:rPr>
        <w:footnoteRef/>
      </w:r>
      <w:r>
        <w:rPr>
          <w:rStyle w:val="Footnote7ptSmallCaps"/>
        </w:rPr>
        <w:tab/>
        <w:t xml:space="preserve">Boettcher: </w:t>
      </w:r>
      <w:r>
        <w:t>Sprache, S. 176-177. Der neue Reader's Digest Brockhaus: Spra</w:t>
      </w:r>
      <w:r>
        <w:softHyphen/>
        <w:t xml:space="preserve">che, Bd. 2, S. 1173 (enthält gute Definitionen!); </w:t>
      </w:r>
      <w:r>
        <w:rPr>
          <w:rStyle w:val="Footnote7ptSmallCaps"/>
        </w:rPr>
        <w:t xml:space="preserve">Grein: </w:t>
      </w:r>
      <w:r>
        <w:t>Sprachtypologie.</w:t>
      </w:r>
    </w:p>
  </w:footnote>
  <w:footnote w:id="117">
    <w:p w:rsidR="00BB7EDA" w:rsidRDefault="007D72B3">
      <w:pPr>
        <w:pStyle w:val="Footnote0"/>
        <w:shd w:val="clear" w:color="auto" w:fill="auto"/>
        <w:tabs>
          <w:tab w:val="left" w:pos="269"/>
        </w:tabs>
        <w:spacing w:line="160" w:lineRule="exact"/>
        <w:ind w:firstLine="0"/>
      </w:pPr>
      <w:r>
        <w:rPr>
          <w:rStyle w:val="Footnote7ptSmallCaps"/>
          <w:vertAlign w:val="superscript"/>
        </w:rPr>
        <w:footnoteRef/>
      </w:r>
      <w:r>
        <w:rPr>
          <w:rStyle w:val="Footnote7ptSmallCaps"/>
        </w:rPr>
        <w:tab/>
        <w:t xml:space="preserve">Zimmer: </w:t>
      </w:r>
      <w:r>
        <w:rPr>
          <w:rStyle w:val="Footnote7ptSmallCaps"/>
        </w:rPr>
        <w:t xml:space="preserve">So </w:t>
      </w:r>
      <w:r>
        <w:t>kommt der Mensch zur Sprache, S. 167.</w:t>
      </w:r>
    </w:p>
  </w:footnote>
  <w:footnote w:id="118">
    <w:p w:rsidR="00BB7EDA" w:rsidRDefault="007D72B3">
      <w:pPr>
        <w:pStyle w:val="Footnote0"/>
        <w:shd w:val="clear" w:color="auto" w:fill="auto"/>
        <w:tabs>
          <w:tab w:val="left" w:pos="274"/>
        </w:tabs>
        <w:spacing w:line="192" w:lineRule="exact"/>
        <w:ind w:firstLine="0"/>
      </w:pPr>
      <w:r>
        <w:rPr>
          <w:rStyle w:val="Footnote7ptSmallCaps"/>
          <w:vertAlign w:val="superscript"/>
        </w:rPr>
        <w:footnoteRef/>
      </w:r>
      <w:r>
        <w:rPr>
          <w:rStyle w:val="Footnote7ptSmallCaps"/>
        </w:rPr>
        <w:tab/>
        <w:t xml:space="preserve">Zimmer: </w:t>
      </w:r>
      <w:r>
        <w:rPr>
          <w:rStyle w:val="FootnoteSmallCaps"/>
        </w:rPr>
        <w:t xml:space="preserve">So </w:t>
      </w:r>
      <w:r>
        <w:t>kommt der Mensch zur Sprache, S. 174.</w:t>
      </w:r>
    </w:p>
  </w:footnote>
  <w:footnote w:id="119">
    <w:p w:rsidR="00BB7EDA" w:rsidRDefault="007D72B3">
      <w:pPr>
        <w:pStyle w:val="Footnote0"/>
        <w:shd w:val="clear" w:color="auto" w:fill="auto"/>
        <w:tabs>
          <w:tab w:val="left" w:pos="274"/>
        </w:tabs>
        <w:spacing w:line="192" w:lineRule="exact"/>
        <w:ind w:firstLine="0"/>
      </w:pPr>
      <w:r>
        <w:rPr>
          <w:rStyle w:val="Footnote7ptSmallCaps"/>
          <w:vertAlign w:val="superscript"/>
        </w:rPr>
        <w:footnoteRef/>
      </w:r>
      <w:r>
        <w:rPr>
          <w:rStyle w:val="Footnote7ptSmallCaps"/>
        </w:rPr>
        <w:tab/>
        <w:t xml:space="preserve">Mechsner: </w:t>
      </w:r>
      <w:r>
        <w:t xml:space="preserve">Sprachevolution, Wer sprach das erste Wort? S. </w:t>
      </w:r>
      <w:r>
        <w:rPr>
          <w:rStyle w:val="Footnote7pt"/>
        </w:rPr>
        <w:t>77.</w:t>
      </w:r>
    </w:p>
  </w:footnote>
  <w:footnote w:id="120">
    <w:p w:rsidR="00BB7EDA" w:rsidRDefault="007D72B3">
      <w:pPr>
        <w:pStyle w:val="Footnote0"/>
        <w:shd w:val="clear" w:color="auto" w:fill="auto"/>
        <w:tabs>
          <w:tab w:val="left" w:pos="274"/>
        </w:tabs>
        <w:spacing w:line="192" w:lineRule="exact"/>
        <w:ind w:left="320" w:hanging="320"/>
        <w:jc w:val="left"/>
      </w:pPr>
      <w:r>
        <w:rPr>
          <w:rStyle w:val="Footnote7ptSmallCaps"/>
          <w:vertAlign w:val="superscript"/>
        </w:rPr>
        <w:footnoteRef/>
      </w:r>
      <w:r>
        <w:rPr>
          <w:rStyle w:val="Footnote7ptSmallCaps"/>
        </w:rPr>
        <w:tab/>
        <w:t xml:space="preserve">Brandt: </w:t>
      </w:r>
      <w:r>
        <w:t>Gehirn, Sprache, Artefakte, Fossile und archäologische Zeugnisse zum Ursprung des Menschen,</w:t>
      </w:r>
      <w:r>
        <w:t xml:space="preserve"> passim.</w:t>
      </w:r>
    </w:p>
  </w:footnote>
  <w:footnote w:id="121">
    <w:p w:rsidR="00BB7EDA" w:rsidRDefault="007D72B3">
      <w:pPr>
        <w:pStyle w:val="Footnote0"/>
        <w:shd w:val="clear" w:color="auto" w:fill="auto"/>
        <w:tabs>
          <w:tab w:val="left" w:pos="278"/>
        </w:tabs>
        <w:spacing w:line="192" w:lineRule="exact"/>
        <w:ind w:left="340"/>
      </w:pPr>
      <w:r>
        <w:rPr>
          <w:vertAlign w:val="superscript"/>
        </w:rPr>
        <w:footnoteRef/>
      </w:r>
      <w:r>
        <w:tab/>
        <w:t xml:space="preserve">Damit ist allerdings noch nichts über das Wesen oder den Typ dieser Sprache gesagt. Es stellen sich viele Fragen, wie z.B.: Handelte es sich um eine Sprache mit einzelnen Wörtern oder gar mit Zwei-Wort-Sätzen? Oder war diese Sprache schon </w:t>
      </w:r>
      <w:r>
        <w:t>vollumfänglich entwickelt? Wenn ja, handelte es sich um eine isolierende, agglutinierende oder flektierende Sprache? Wie haben sich die späteren Sprachen aus einer solchen ersten Sprache weiterentwik- kelt? Wie ist das Verhältnis einer solchen spontan ents</w:t>
      </w:r>
      <w:r>
        <w:t>tandenen Ursprache zu den modernen Sprachen heute?</w:t>
      </w:r>
    </w:p>
  </w:footnote>
  <w:footnote w:id="122">
    <w:p w:rsidR="00BB7EDA" w:rsidRDefault="007D72B3">
      <w:pPr>
        <w:pStyle w:val="Footnote0"/>
        <w:shd w:val="clear" w:color="auto" w:fill="auto"/>
        <w:tabs>
          <w:tab w:val="left" w:pos="274"/>
        </w:tabs>
        <w:spacing w:line="192" w:lineRule="exact"/>
        <w:ind w:left="340"/>
        <w:jc w:val="left"/>
      </w:pPr>
      <w:r>
        <w:rPr>
          <w:vertAlign w:val="superscript"/>
        </w:rPr>
        <w:footnoteRef/>
      </w:r>
      <w:r>
        <w:tab/>
        <w:t xml:space="preserve">Zu einer Gegenüberstellung </w:t>
      </w:r>
      <w:r>
        <w:rPr>
          <w:rStyle w:val="Footnote7pt"/>
        </w:rPr>
        <w:t xml:space="preserve">der </w:t>
      </w:r>
      <w:r>
        <w:t xml:space="preserve">Ansätze </w:t>
      </w:r>
      <w:r>
        <w:rPr>
          <w:rStyle w:val="Footnote7pt"/>
        </w:rPr>
        <w:t xml:space="preserve">von </w:t>
      </w:r>
      <w:r>
        <w:rPr>
          <w:rStyle w:val="Footnote7ptSmallCaps"/>
        </w:rPr>
        <w:t xml:space="preserve">Chomsky </w:t>
      </w:r>
      <w:r>
        <w:t xml:space="preserve">und </w:t>
      </w:r>
      <w:r>
        <w:rPr>
          <w:rStyle w:val="Footnote7ptSmallCaps"/>
        </w:rPr>
        <w:t xml:space="preserve">Piaget: Gessin- ger/von Rahden: </w:t>
      </w:r>
      <w:r>
        <w:t>Theorien vom Ursprung der Sprachen, Band I, S. 438ff.</w:t>
      </w:r>
    </w:p>
  </w:footnote>
  <w:footnote w:id="123">
    <w:p w:rsidR="00BB7EDA" w:rsidRDefault="007D72B3">
      <w:pPr>
        <w:pStyle w:val="Footnote0"/>
        <w:shd w:val="clear" w:color="auto" w:fill="auto"/>
        <w:tabs>
          <w:tab w:val="left" w:pos="283"/>
        </w:tabs>
        <w:spacing w:line="192" w:lineRule="exact"/>
        <w:ind w:left="320" w:hanging="320"/>
        <w:jc w:val="left"/>
      </w:pPr>
      <w:r>
        <w:rPr>
          <w:rStyle w:val="Footnote7ptSmallCaps"/>
          <w:vertAlign w:val="superscript"/>
        </w:rPr>
        <w:footnoteRef/>
      </w:r>
      <w:r>
        <w:rPr>
          <w:rStyle w:val="Footnote7ptSmallCaps"/>
        </w:rPr>
        <w:tab/>
        <w:t xml:space="preserve">Lewandowsky: </w:t>
      </w:r>
      <w:r>
        <w:t xml:space="preserve">Linguistisches Wörterbuch, S. 672-673. </w:t>
      </w:r>
      <w:r>
        <w:rPr>
          <w:rStyle w:val="Footnote7ptSmallCaps"/>
        </w:rPr>
        <w:t xml:space="preserve">Lewandowsky </w:t>
      </w:r>
      <w:r>
        <w:t xml:space="preserve">weist hin auf: </w:t>
      </w:r>
      <w:r>
        <w:rPr>
          <w:rStyle w:val="Footnote7ptSmallCaps"/>
        </w:rPr>
        <w:t xml:space="preserve">Lenneberg: </w:t>
      </w:r>
      <w:r>
        <w:t>Biologische Grundlagen der Sprache, 1972.</w:t>
      </w:r>
    </w:p>
  </w:footnote>
  <w:footnote w:id="124">
    <w:p w:rsidR="00BB7EDA" w:rsidRPr="007D72B3" w:rsidRDefault="007D72B3">
      <w:pPr>
        <w:pStyle w:val="Footnote0"/>
        <w:shd w:val="clear" w:color="auto" w:fill="auto"/>
        <w:tabs>
          <w:tab w:val="left" w:pos="278"/>
        </w:tabs>
        <w:spacing w:line="192" w:lineRule="exact"/>
        <w:ind w:firstLine="0"/>
        <w:rPr>
          <w:lang w:val="en-US"/>
        </w:rPr>
      </w:pPr>
      <w:r>
        <w:rPr>
          <w:vertAlign w:val="superscript"/>
        </w:rPr>
        <w:footnoteRef/>
      </w:r>
      <w:r w:rsidRPr="007D72B3">
        <w:rPr>
          <w:lang w:val="en-US"/>
        </w:rPr>
        <w:tab/>
        <w:t xml:space="preserve">Originalausgabe: </w:t>
      </w:r>
      <w:r w:rsidRPr="007D72B3">
        <w:rPr>
          <w:rStyle w:val="Footnote7ptSmallCaps"/>
          <w:lang w:val="en-US"/>
        </w:rPr>
        <w:t xml:space="preserve">Chomsky: </w:t>
      </w:r>
      <w:r w:rsidRPr="007D72B3">
        <w:rPr>
          <w:lang w:val="en-US"/>
        </w:rPr>
        <w:t>Language and Mind.</w:t>
      </w:r>
    </w:p>
  </w:footnote>
  <w:footnote w:id="125">
    <w:p w:rsidR="00BB7EDA" w:rsidRDefault="007D72B3">
      <w:pPr>
        <w:pStyle w:val="Footnote0"/>
        <w:shd w:val="clear" w:color="auto" w:fill="auto"/>
        <w:tabs>
          <w:tab w:val="left" w:pos="274"/>
        </w:tabs>
        <w:ind w:firstLine="0"/>
      </w:pPr>
      <w:r>
        <w:rPr>
          <w:rStyle w:val="Footnote7ptSmallCaps"/>
          <w:vertAlign w:val="superscript"/>
        </w:rPr>
        <w:footnoteRef/>
      </w:r>
      <w:r>
        <w:rPr>
          <w:rStyle w:val="Footnote7ptSmallCaps"/>
        </w:rPr>
        <w:tab/>
        <w:t xml:space="preserve">Chomsky: </w:t>
      </w:r>
      <w:r>
        <w:t>Sprache und Geist, S. 117.</w:t>
      </w:r>
    </w:p>
  </w:footnote>
  <w:footnote w:id="126">
    <w:p w:rsidR="00BB7EDA" w:rsidRDefault="007D72B3">
      <w:pPr>
        <w:pStyle w:val="Footnote0"/>
        <w:shd w:val="clear" w:color="auto" w:fill="auto"/>
        <w:tabs>
          <w:tab w:val="left" w:pos="269"/>
        </w:tabs>
        <w:ind w:left="340"/>
        <w:jc w:val="left"/>
      </w:pPr>
      <w:r>
        <w:rPr>
          <w:vertAlign w:val="superscript"/>
        </w:rPr>
        <w:footnoteRef/>
      </w:r>
      <w:r>
        <w:tab/>
        <w:t xml:space="preserve">Vgl. </w:t>
      </w:r>
      <w:r>
        <w:rPr>
          <w:rStyle w:val="Footnote7ptSmallCaps"/>
        </w:rPr>
        <w:t xml:space="preserve">Brandt: </w:t>
      </w:r>
      <w:r>
        <w:t>Gehirn, Sprache, Artefakte, Fossile und archäologische Zeug</w:t>
      </w:r>
      <w:r>
        <w:softHyphen/>
        <w:t>nisse zum Urspru</w:t>
      </w:r>
      <w:r>
        <w:t>ng des Menschen.</w:t>
      </w:r>
    </w:p>
  </w:footnote>
  <w:footnote w:id="127">
    <w:p w:rsidR="00BB7EDA" w:rsidRDefault="007D72B3">
      <w:pPr>
        <w:pStyle w:val="Footnote0"/>
        <w:shd w:val="clear" w:color="auto" w:fill="auto"/>
        <w:tabs>
          <w:tab w:val="left" w:pos="269"/>
        </w:tabs>
        <w:ind w:firstLine="0"/>
      </w:pPr>
      <w:r>
        <w:rPr>
          <w:rStyle w:val="Footnote7ptSmallCaps"/>
          <w:vertAlign w:val="superscript"/>
        </w:rPr>
        <w:footnoteRef/>
      </w:r>
      <w:r>
        <w:rPr>
          <w:rStyle w:val="Footnote7ptSmallCaps"/>
        </w:rPr>
        <w:tab/>
        <w:t xml:space="preserve">Walter: </w:t>
      </w:r>
      <w:r>
        <w:t>6000 Sprachen - und eine Grammatik?</w:t>
      </w:r>
    </w:p>
  </w:footnote>
  <w:footnote w:id="128">
    <w:p w:rsidR="00BB7EDA" w:rsidRDefault="007D72B3">
      <w:pPr>
        <w:pStyle w:val="Footnote0"/>
        <w:shd w:val="clear" w:color="auto" w:fill="auto"/>
        <w:tabs>
          <w:tab w:val="left" w:pos="264"/>
        </w:tabs>
        <w:ind w:firstLine="0"/>
      </w:pPr>
      <w:r>
        <w:rPr>
          <w:rStyle w:val="Footnote7ptSmallCaps"/>
          <w:vertAlign w:val="superscript"/>
        </w:rPr>
        <w:footnoteRef/>
      </w:r>
      <w:r>
        <w:rPr>
          <w:rStyle w:val="Footnote7ptSmallCaps"/>
        </w:rPr>
        <w:tab/>
        <w:t xml:space="preserve">Junker/Scherer: </w:t>
      </w:r>
      <w:r>
        <w:t>Evolution - ein kritischer, Lehrbuch.</w:t>
      </w:r>
    </w:p>
  </w:footnote>
  <w:footnote w:id="129">
    <w:p w:rsidR="00BB7EDA" w:rsidRDefault="007D72B3">
      <w:pPr>
        <w:pStyle w:val="Footnote0"/>
        <w:shd w:val="clear" w:color="auto" w:fill="auto"/>
        <w:tabs>
          <w:tab w:val="left" w:pos="269"/>
        </w:tabs>
        <w:ind w:firstLine="0"/>
      </w:pPr>
      <w:r>
        <w:rPr>
          <w:vertAlign w:val="superscript"/>
        </w:rPr>
        <w:footnoteRef/>
      </w:r>
      <w:r>
        <w:tab/>
      </w:r>
      <w:r>
        <w:rPr>
          <w:rStyle w:val="Footnote7ptSmallCaps"/>
        </w:rPr>
        <w:t xml:space="preserve">Junker/Scherer: </w:t>
      </w:r>
      <w:r>
        <w:t>Evolution - ein kritisches Lehrbuch.</w:t>
      </w:r>
    </w:p>
  </w:footnote>
  <w:footnote w:id="130">
    <w:p w:rsidR="00BB7EDA" w:rsidRPr="007D72B3" w:rsidRDefault="007D72B3">
      <w:pPr>
        <w:pStyle w:val="Footnote0"/>
        <w:shd w:val="clear" w:color="auto" w:fill="auto"/>
        <w:tabs>
          <w:tab w:val="left" w:pos="283"/>
        </w:tabs>
        <w:spacing w:line="192" w:lineRule="exact"/>
        <w:ind w:left="340"/>
        <w:rPr>
          <w:lang w:val="en-US"/>
        </w:rPr>
      </w:pPr>
      <w:r>
        <w:rPr>
          <w:vertAlign w:val="superscript"/>
        </w:rPr>
        <w:footnoteRef/>
      </w:r>
      <w:r>
        <w:tab/>
      </w:r>
      <w:r>
        <w:t xml:space="preserve">Der Genauigkeit halber muss hier noch hinzugefügt werden, dass eine Minderheit von Evolutionisten ein polyzentristisches Entstehungsmodell vertritt: Sie glauben, dass der heutige Mensch an verschiedenen Stellen der Erde mehr oder weniger gleichzeitig aus </w:t>
      </w:r>
      <w:r>
        <w:rPr>
          <w:rStyle w:val="Footnote75ptItalic"/>
        </w:rPr>
        <w:t>H</w:t>
      </w:r>
      <w:r>
        <w:rPr>
          <w:rStyle w:val="Footnote75ptItalic"/>
        </w:rPr>
        <w:t>omo</w:t>
      </w:r>
      <w:r>
        <w:t xml:space="preserve"> erecfus-Populationen entstan</w:t>
      </w:r>
      <w:r>
        <w:softHyphen/>
        <w:t>den sei. Dies stößt bei vielen Anthropologen, und ganz besonders bei Popu</w:t>
      </w:r>
      <w:r>
        <w:softHyphen/>
        <w:t>lationsgenetikern, zu Recht auf heftige Kritik. In diesem Fall müsste man ja glauben, dass charakteristische s«pie)is-Merkmale mehrmals unabhängig vo</w:t>
      </w:r>
      <w:r>
        <w:t xml:space="preserve">neinander entstanden seien </w:t>
      </w:r>
      <w:r>
        <w:rPr>
          <w:rStyle w:val="Footnote7ptSmallCaps"/>
        </w:rPr>
        <w:t xml:space="preserve">(Junker/Scherer: </w:t>
      </w:r>
      <w:r>
        <w:t xml:space="preserve">Entstehung und Geschichte der Lebewesen, S. 202; </w:t>
      </w:r>
      <w:r>
        <w:rPr>
          <w:rStyle w:val="Footnote7ptSmallCaps"/>
        </w:rPr>
        <w:t xml:space="preserve">Junker/Scherer: </w:t>
      </w:r>
      <w:r>
        <w:t xml:space="preserve">Evolution - ein kritisches Lehrbuch. </w:t>
      </w:r>
      <w:r w:rsidRPr="007D72B3">
        <w:rPr>
          <w:lang w:val="en-US"/>
        </w:rPr>
        <w:t>S. 276).</w:t>
      </w:r>
    </w:p>
  </w:footnote>
  <w:footnote w:id="131">
    <w:p w:rsidR="00BB7EDA" w:rsidRPr="007D72B3" w:rsidRDefault="007D72B3">
      <w:pPr>
        <w:pStyle w:val="Footnote0"/>
        <w:shd w:val="clear" w:color="auto" w:fill="auto"/>
        <w:tabs>
          <w:tab w:val="left" w:pos="278"/>
        </w:tabs>
        <w:spacing w:line="192" w:lineRule="exact"/>
        <w:ind w:firstLine="0"/>
        <w:rPr>
          <w:lang w:val="en-US"/>
        </w:rPr>
      </w:pPr>
      <w:r>
        <w:rPr>
          <w:rStyle w:val="Footnote7ptSmallCaps"/>
          <w:vertAlign w:val="superscript"/>
        </w:rPr>
        <w:footnoteRef/>
      </w:r>
      <w:r w:rsidRPr="007D72B3">
        <w:rPr>
          <w:rStyle w:val="Footnote7ptSmallCaps"/>
          <w:lang w:val="en-US"/>
        </w:rPr>
        <w:tab/>
        <w:t xml:space="preserve">Morris: </w:t>
      </w:r>
      <w:r w:rsidRPr="007D72B3">
        <w:rPr>
          <w:lang w:val="en-US"/>
        </w:rPr>
        <w:t>Language, Creation and the Inner Man.</w:t>
      </w:r>
    </w:p>
  </w:footnote>
  <w:footnote w:id="132">
    <w:p w:rsidR="00BB7EDA" w:rsidRPr="007D72B3" w:rsidRDefault="007D72B3">
      <w:pPr>
        <w:pStyle w:val="Footnote0"/>
        <w:shd w:val="clear" w:color="auto" w:fill="auto"/>
        <w:tabs>
          <w:tab w:val="left" w:pos="278"/>
        </w:tabs>
        <w:ind w:firstLine="0"/>
        <w:rPr>
          <w:lang w:val="en-US"/>
        </w:rPr>
      </w:pPr>
      <w:r>
        <w:rPr>
          <w:rStyle w:val="Footnote7ptSmallCaps"/>
          <w:vertAlign w:val="superscript"/>
        </w:rPr>
        <w:footnoteRef/>
      </w:r>
      <w:r w:rsidRPr="007D72B3">
        <w:rPr>
          <w:rStyle w:val="Footnote7ptSmallCaps"/>
          <w:lang w:val="en-US"/>
        </w:rPr>
        <w:tab/>
        <w:t xml:space="preserve">Morris: </w:t>
      </w:r>
      <w:r w:rsidRPr="007D72B3">
        <w:rPr>
          <w:lang w:val="en-US"/>
        </w:rPr>
        <w:t>Language, Creation and the Inner Man.</w:t>
      </w:r>
    </w:p>
  </w:footnote>
  <w:footnote w:id="133">
    <w:p w:rsidR="00BB7EDA" w:rsidRDefault="007D72B3">
      <w:pPr>
        <w:pStyle w:val="Footnote0"/>
        <w:shd w:val="clear" w:color="auto" w:fill="auto"/>
        <w:tabs>
          <w:tab w:val="left" w:pos="278"/>
        </w:tabs>
        <w:ind w:firstLine="0"/>
      </w:pPr>
      <w:r>
        <w:rPr>
          <w:rStyle w:val="Footnote7ptSmallCaps"/>
          <w:vertAlign w:val="superscript"/>
        </w:rPr>
        <w:footnoteRef/>
      </w:r>
      <w:r>
        <w:rPr>
          <w:rStyle w:val="Footnote7ptSmallCaps"/>
        </w:rPr>
        <w:tab/>
        <w:t>Cav</w:t>
      </w:r>
      <w:r>
        <w:rPr>
          <w:rStyle w:val="Footnote7ptSmallCaps"/>
        </w:rPr>
        <w:t xml:space="preserve">alli-Sforza: </w:t>
      </w:r>
      <w:r>
        <w:t>Gene, Völker und Sprachen, S. 76 und 158.</w:t>
      </w:r>
    </w:p>
  </w:footnote>
  <w:footnote w:id="134">
    <w:p w:rsidR="00BB7EDA" w:rsidRDefault="007D72B3">
      <w:pPr>
        <w:pStyle w:val="Footnote0"/>
        <w:shd w:val="clear" w:color="auto" w:fill="auto"/>
        <w:tabs>
          <w:tab w:val="left" w:pos="278"/>
        </w:tabs>
        <w:ind w:firstLine="0"/>
      </w:pPr>
      <w:r>
        <w:rPr>
          <w:rStyle w:val="Footnote7ptSmallCaps"/>
          <w:vertAlign w:val="superscript"/>
        </w:rPr>
        <w:footnoteRef/>
      </w:r>
      <w:r>
        <w:rPr>
          <w:rStyle w:val="Footnote7ptSmallCaps"/>
        </w:rPr>
        <w:tab/>
        <w:t xml:space="preserve">Cavalli-Sforza: </w:t>
      </w:r>
      <w:r>
        <w:t>Gene, Völker und Sprachen, S. 162.</w:t>
      </w:r>
    </w:p>
  </w:footnote>
  <w:footnote w:id="135">
    <w:p w:rsidR="00BB7EDA" w:rsidRDefault="007D72B3">
      <w:pPr>
        <w:pStyle w:val="Footnote0"/>
        <w:shd w:val="clear" w:color="auto" w:fill="auto"/>
        <w:ind w:firstLine="0"/>
        <w:jc w:val="left"/>
      </w:pPr>
      <w:r>
        <w:rPr>
          <w:rStyle w:val="Footnote7ptSmallCaps"/>
          <w:vertAlign w:val="superscript"/>
        </w:rPr>
        <w:t>131</w:t>
      </w:r>
      <w:r>
        <w:rPr>
          <w:rStyle w:val="Footnote7ptSmallCaps"/>
        </w:rPr>
        <w:t xml:space="preserve"> Cavalli-Sforza: </w:t>
      </w:r>
      <w:r>
        <w:t>Gene, Völker und Sprachen, S. 162.</w:t>
      </w:r>
    </w:p>
  </w:footnote>
  <w:footnote w:id="136">
    <w:p w:rsidR="00BB7EDA" w:rsidRDefault="007D72B3">
      <w:pPr>
        <w:pStyle w:val="Footnote0"/>
        <w:shd w:val="clear" w:color="auto" w:fill="auto"/>
        <w:tabs>
          <w:tab w:val="left" w:pos="274"/>
        </w:tabs>
        <w:spacing w:line="192" w:lineRule="exact"/>
        <w:ind w:left="340"/>
      </w:pPr>
      <w:r>
        <w:rPr>
          <w:vertAlign w:val="superscript"/>
        </w:rPr>
        <w:footnoteRef/>
      </w:r>
      <w:r>
        <w:tab/>
        <w:t>Eine ausführliche, als Kompendium verwendbare Materialsammlung zu vielen verschiedenen Spra</w:t>
      </w:r>
      <w:r>
        <w:t xml:space="preserve">chentstehungstheorien wurde von </w:t>
      </w:r>
      <w:r>
        <w:rPr>
          <w:rStyle w:val="Footnote7ptSmallCaps"/>
        </w:rPr>
        <w:t xml:space="preserve">Gessinger </w:t>
      </w:r>
      <w:r>
        <w:t xml:space="preserve">und </w:t>
      </w:r>
      <w:r>
        <w:rPr>
          <w:rStyle w:val="Footnote7ptSmallCaps"/>
        </w:rPr>
        <w:t xml:space="preserve">von Rahden </w:t>
      </w:r>
      <w:r>
        <w:t xml:space="preserve">in zwei Bänden herausgegeben: </w:t>
      </w:r>
      <w:r>
        <w:rPr>
          <w:rStyle w:val="Footnote7ptSmallCaps"/>
        </w:rPr>
        <w:t xml:space="preserve">Gessincer/von Rahden: </w:t>
      </w:r>
      <w:r>
        <w:t>Theori</w:t>
      </w:r>
      <w:r>
        <w:softHyphen/>
        <w:t>en vom Ursprung der Sprachen. Schade an diesem Werk ist die fehlende systematische Strukturierung und Übersicht.</w:t>
      </w:r>
    </w:p>
  </w:footnote>
  <w:footnote w:id="137">
    <w:p w:rsidR="00BB7EDA" w:rsidRDefault="007D72B3">
      <w:pPr>
        <w:pStyle w:val="Footnote0"/>
        <w:shd w:val="clear" w:color="auto" w:fill="auto"/>
        <w:tabs>
          <w:tab w:val="left" w:pos="278"/>
        </w:tabs>
        <w:spacing w:line="192" w:lineRule="exact"/>
        <w:ind w:firstLine="0"/>
      </w:pPr>
      <w:r>
        <w:rPr>
          <w:rStyle w:val="Footnote7ptSmallCaps"/>
          <w:vertAlign w:val="superscript"/>
        </w:rPr>
        <w:footnoteRef/>
      </w:r>
      <w:r>
        <w:rPr>
          <w:rStyle w:val="Footnote7ptSmallCaps"/>
        </w:rPr>
        <w:tab/>
        <w:t xml:space="preserve">Lewandowsky: </w:t>
      </w:r>
      <w:r>
        <w:t>Linguistisches Wörterbuch, Band III, S. 672.</w:t>
      </w:r>
    </w:p>
  </w:footnote>
  <w:footnote w:id="138">
    <w:p w:rsidR="00BB7EDA" w:rsidRPr="007D72B3" w:rsidRDefault="007D72B3">
      <w:pPr>
        <w:pStyle w:val="Footnote0"/>
        <w:shd w:val="clear" w:color="auto" w:fill="auto"/>
        <w:tabs>
          <w:tab w:val="left" w:pos="278"/>
        </w:tabs>
        <w:spacing w:line="192" w:lineRule="exact"/>
        <w:ind w:firstLine="0"/>
        <w:rPr>
          <w:lang w:val="en-US"/>
        </w:rPr>
      </w:pPr>
      <w:r>
        <w:rPr>
          <w:rStyle w:val="Footnote7ptSmallCaps"/>
          <w:vertAlign w:val="superscript"/>
        </w:rPr>
        <w:footnoteRef/>
      </w:r>
      <w:r w:rsidRPr="007D72B3">
        <w:rPr>
          <w:rStyle w:val="Footnote7ptSmallCaps"/>
          <w:lang w:val="en-US"/>
        </w:rPr>
        <w:tab/>
        <w:t xml:space="preserve">Les: </w:t>
      </w:r>
      <w:r w:rsidRPr="007D72B3">
        <w:rPr>
          <w:lang w:val="en-US"/>
        </w:rPr>
        <w:t>On the Origin of Language.</w:t>
      </w:r>
    </w:p>
  </w:footnote>
  <w:footnote w:id="139">
    <w:p w:rsidR="00BB7EDA" w:rsidRDefault="007D72B3">
      <w:pPr>
        <w:pStyle w:val="Footnote0"/>
        <w:shd w:val="clear" w:color="auto" w:fill="auto"/>
        <w:tabs>
          <w:tab w:val="left" w:pos="283"/>
        </w:tabs>
        <w:spacing w:line="192" w:lineRule="exact"/>
        <w:ind w:firstLine="0"/>
      </w:pPr>
      <w:r>
        <w:rPr>
          <w:rStyle w:val="Footnote7ptSmallCaps"/>
          <w:vertAlign w:val="superscript"/>
        </w:rPr>
        <w:footnoteRef/>
      </w:r>
      <w:r>
        <w:rPr>
          <w:rStyle w:val="Footnote7ptSmallCaps"/>
        </w:rPr>
        <w:tab/>
        <w:t xml:space="preserve">Darwin: </w:t>
      </w:r>
      <w:r>
        <w:t>Die Abstammung des Menschen, S. 109.</w:t>
      </w:r>
    </w:p>
  </w:footnote>
  <w:footnote w:id="140">
    <w:p w:rsidR="00BB7EDA" w:rsidRDefault="007D72B3">
      <w:pPr>
        <w:pStyle w:val="Footnote0"/>
        <w:shd w:val="clear" w:color="auto" w:fill="auto"/>
        <w:tabs>
          <w:tab w:val="left" w:pos="278"/>
        </w:tabs>
        <w:spacing w:line="192" w:lineRule="exact"/>
        <w:ind w:firstLine="0"/>
      </w:pPr>
      <w:r>
        <w:rPr>
          <w:rStyle w:val="Footnote7ptSmallCaps"/>
          <w:vertAlign w:val="superscript"/>
        </w:rPr>
        <w:footnoteRef/>
      </w:r>
      <w:r>
        <w:rPr>
          <w:rStyle w:val="Footnote7ptSmallCaps"/>
        </w:rPr>
        <w:tab/>
        <w:t xml:space="preserve">Zimmer: </w:t>
      </w:r>
      <w:r>
        <w:rPr>
          <w:rStyle w:val="FootnoteSmallCaps"/>
        </w:rPr>
        <w:t>So</w:t>
      </w:r>
      <w:r>
        <w:t xml:space="preserve"> kommt der Mensch zur Sprache, S. 7-8.</w:t>
      </w:r>
    </w:p>
  </w:footnote>
  <w:footnote w:id="141">
    <w:p w:rsidR="00BB7EDA" w:rsidRPr="007D72B3" w:rsidRDefault="007D72B3">
      <w:pPr>
        <w:pStyle w:val="Footnote0"/>
        <w:shd w:val="clear" w:color="auto" w:fill="auto"/>
        <w:tabs>
          <w:tab w:val="left" w:pos="278"/>
        </w:tabs>
        <w:spacing w:line="192" w:lineRule="exact"/>
        <w:ind w:firstLine="0"/>
        <w:rPr>
          <w:lang w:val="en-US"/>
        </w:rPr>
      </w:pPr>
      <w:r>
        <w:rPr>
          <w:rStyle w:val="Footnote7ptSmallCaps"/>
          <w:vertAlign w:val="superscript"/>
        </w:rPr>
        <w:footnoteRef/>
      </w:r>
      <w:r w:rsidRPr="007D72B3">
        <w:rPr>
          <w:rStyle w:val="Footnote7ptSmallCaps"/>
          <w:lang w:val="en-US"/>
        </w:rPr>
        <w:tab/>
        <w:t xml:space="preserve">de Saussure: </w:t>
      </w:r>
      <w:r w:rsidRPr="007D72B3">
        <w:rPr>
          <w:lang w:val="en-US"/>
        </w:rPr>
        <w:t>Cours de linguistique generale, S. 101-102.</w:t>
      </w:r>
    </w:p>
  </w:footnote>
  <w:footnote w:id="142">
    <w:p w:rsidR="00BB7EDA" w:rsidRDefault="007D72B3">
      <w:pPr>
        <w:pStyle w:val="Footnote0"/>
        <w:shd w:val="clear" w:color="auto" w:fill="auto"/>
        <w:tabs>
          <w:tab w:val="left" w:pos="283"/>
        </w:tabs>
        <w:spacing w:line="192" w:lineRule="exact"/>
        <w:ind w:left="320" w:hanging="320"/>
      </w:pPr>
      <w:r>
        <w:rPr>
          <w:vertAlign w:val="superscript"/>
        </w:rPr>
        <w:footnoteRef/>
      </w:r>
      <w:r>
        <w:tab/>
      </w:r>
      <w:r>
        <w:t xml:space="preserve">Vgl. dazu die literarisch wunderbare Anspielung auf die Wortmalerei des Begriffs </w:t>
      </w:r>
      <w:r>
        <w:rPr>
          <w:rStyle w:val="Footnote75ptItalic"/>
        </w:rPr>
        <w:t>baqbuq</w:t>
      </w:r>
      <w:r>
        <w:t xml:space="preserve"> in der Prophetie Nahums über die totale Beraubung Ninives, die sich anlässlich ihres Untergangs im ]ahr 612 v. Chr. erfüllt hat (Nah 2,9): </w:t>
      </w:r>
      <w:r>
        <w:rPr>
          <w:rStyle w:val="Footnote75ptItalic"/>
        </w:rPr>
        <w:t>buqah umvuqah umvutlaqah</w:t>
      </w:r>
      <w:r>
        <w:t xml:space="preserve"> („Le</w:t>
      </w:r>
      <w:r>
        <w:t>ere und Ausleerung und Entleerung" = Nini</w:t>
      </w:r>
      <w:r>
        <w:softHyphen/>
        <w:t>ve soll wie eine Flasche ausgeleert werden!).</w:t>
      </w:r>
    </w:p>
  </w:footnote>
  <w:footnote w:id="143">
    <w:p w:rsidR="00BB7EDA" w:rsidRPr="007D72B3" w:rsidRDefault="007D72B3">
      <w:pPr>
        <w:pStyle w:val="Footnote0"/>
        <w:shd w:val="clear" w:color="auto" w:fill="auto"/>
        <w:tabs>
          <w:tab w:val="left" w:pos="278"/>
        </w:tabs>
        <w:spacing w:line="192" w:lineRule="exact"/>
        <w:ind w:firstLine="0"/>
        <w:rPr>
          <w:lang w:val="en-US"/>
        </w:rPr>
      </w:pPr>
      <w:r>
        <w:rPr>
          <w:rStyle w:val="Footnote7ptSmallCaps"/>
          <w:vertAlign w:val="superscript"/>
        </w:rPr>
        <w:footnoteRef/>
      </w:r>
      <w:r w:rsidRPr="007D72B3">
        <w:rPr>
          <w:rStyle w:val="Footnote7ptSmallCaps"/>
          <w:lang w:val="en-US"/>
        </w:rPr>
        <w:tab/>
        <w:t xml:space="preserve">de Saussure: </w:t>
      </w:r>
      <w:r w:rsidRPr="007D72B3">
        <w:rPr>
          <w:lang w:val="en-US"/>
        </w:rPr>
        <w:t xml:space="preserve">Cours de linguistique generale, </w:t>
      </w:r>
      <w:r w:rsidRPr="007D72B3">
        <w:rPr>
          <w:rStyle w:val="Footnote7pt"/>
          <w:lang w:val="en-US"/>
        </w:rPr>
        <w:t xml:space="preserve">S. </w:t>
      </w:r>
      <w:r w:rsidRPr="007D72B3">
        <w:rPr>
          <w:lang w:val="en-US"/>
        </w:rPr>
        <w:t>100-103.</w:t>
      </w:r>
    </w:p>
  </w:footnote>
  <w:footnote w:id="144">
    <w:p w:rsidR="00BB7EDA" w:rsidRPr="007D72B3" w:rsidRDefault="007D72B3">
      <w:pPr>
        <w:pStyle w:val="Footnote0"/>
        <w:shd w:val="clear" w:color="auto" w:fill="auto"/>
        <w:tabs>
          <w:tab w:val="left" w:pos="278"/>
        </w:tabs>
        <w:spacing w:line="192" w:lineRule="exact"/>
        <w:ind w:left="340"/>
        <w:jc w:val="left"/>
        <w:rPr>
          <w:lang w:val="en-US"/>
        </w:rPr>
      </w:pPr>
      <w:r>
        <w:rPr>
          <w:rStyle w:val="Footnote7ptSmallCaps"/>
          <w:vertAlign w:val="superscript"/>
        </w:rPr>
        <w:footnoteRef/>
      </w:r>
      <w:r w:rsidRPr="007D72B3">
        <w:rPr>
          <w:rStyle w:val="Footnote7ptSmallCaps"/>
          <w:lang w:val="en-US"/>
        </w:rPr>
        <w:tab/>
        <w:t xml:space="preserve">Nida: </w:t>
      </w:r>
      <w:r w:rsidRPr="007D72B3">
        <w:rPr>
          <w:lang w:val="en-US"/>
        </w:rPr>
        <w:t xml:space="preserve">Coutumes et Cultures, S. 261-264. </w:t>
      </w:r>
      <w:r w:rsidRPr="007D72B3">
        <w:rPr>
          <w:rStyle w:val="Footnote7ptSmallCaps"/>
          <w:lang w:val="en-US"/>
        </w:rPr>
        <w:t xml:space="preserve">Kedar: </w:t>
      </w:r>
      <w:r w:rsidRPr="007D72B3">
        <w:rPr>
          <w:lang w:val="en-US"/>
        </w:rPr>
        <w:t xml:space="preserve">Biblische Semantik, S. 114- 117; </w:t>
      </w:r>
      <w:r w:rsidRPr="007D72B3">
        <w:rPr>
          <w:rStyle w:val="Footnote7ptSmallCaps"/>
          <w:lang w:val="en-US"/>
        </w:rPr>
        <w:t xml:space="preserve">Lipinski: </w:t>
      </w:r>
      <w:r w:rsidRPr="007D72B3">
        <w:rPr>
          <w:lang w:val="en-US"/>
        </w:rPr>
        <w:t>Semitic Languages</w:t>
      </w:r>
      <w:r w:rsidRPr="007D72B3">
        <w:rPr>
          <w:lang w:val="en-US"/>
        </w:rPr>
        <w:t>, Outline of a Comparative Grammar, S. 543.</w:t>
      </w:r>
    </w:p>
  </w:footnote>
  <w:footnote w:id="145">
    <w:p w:rsidR="00BB7EDA" w:rsidRDefault="007D72B3">
      <w:pPr>
        <w:pStyle w:val="Footnote0"/>
        <w:shd w:val="clear" w:color="auto" w:fill="auto"/>
        <w:tabs>
          <w:tab w:val="left" w:pos="274"/>
        </w:tabs>
        <w:spacing w:line="192" w:lineRule="exact"/>
        <w:ind w:left="320" w:hanging="320"/>
      </w:pPr>
      <w:r>
        <w:rPr>
          <w:vertAlign w:val="superscript"/>
        </w:rPr>
        <w:footnoteRef/>
      </w:r>
      <w:r>
        <w:tab/>
        <w:t>Man könnte natürlich argumentieren, dass die Wortwurzeln im Laufe der Jahrtausende allgemein durch lautgesetzliche Veränderung dermaßen um</w:t>
      </w:r>
      <w:r>
        <w:softHyphen/>
        <w:t>geformt worden seien, dass man heute ihre ursprünglich onomatopoetische</w:t>
      </w:r>
      <w:r>
        <w:t xml:space="preserve"> Lautgestalt nicht mehr nachvollziehen könne. Dem müsste man folgendes entgegenhalten: Bei den semitischen Sprachen kann man in der Erforschung von Wortwurzeln aufgrund von schriftlichen Zeugnissen zeitlich am weite</w:t>
      </w:r>
      <w:r>
        <w:softHyphen/>
        <w:t>sten zurückgehen. Dabei findet man viele</w:t>
      </w:r>
      <w:r>
        <w:t xml:space="preserve"> Wurzeln, die (a) über Jahrtausende hinweg extrem stabil geblieben sind und (b) trotzdem keine Beweise für eine lautmalerische Herkunft liefern (vgl. </w:t>
      </w:r>
      <w:r>
        <w:rPr>
          <w:rStyle w:val="Footnote7ptSmallCaps"/>
        </w:rPr>
        <w:t xml:space="preserve">Lipinski: </w:t>
      </w:r>
      <w:r>
        <w:t>Semitic Languages, Outline of a Comparative Grammar, S. 543.)</w:t>
      </w:r>
    </w:p>
  </w:footnote>
  <w:footnote w:id="146">
    <w:p w:rsidR="00BB7EDA" w:rsidRDefault="007D72B3">
      <w:pPr>
        <w:pStyle w:val="Footnote0"/>
        <w:shd w:val="clear" w:color="auto" w:fill="auto"/>
        <w:tabs>
          <w:tab w:val="left" w:pos="278"/>
        </w:tabs>
        <w:spacing w:line="192" w:lineRule="exact"/>
        <w:ind w:firstLine="0"/>
      </w:pPr>
      <w:r>
        <w:rPr>
          <w:rStyle w:val="Footnote7ptSmallCaps"/>
          <w:vertAlign w:val="superscript"/>
        </w:rPr>
        <w:footnoteRef/>
      </w:r>
      <w:r>
        <w:rPr>
          <w:rStyle w:val="Footnote7ptSmallCaps"/>
        </w:rPr>
        <w:tab/>
        <w:t xml:space="preserve">Lewandowsky: </w:t>
      </w:r>
      <w:r>
        <w:t>Linguistisches Wört</w:t>
      </w:r>
      <w:r>
        <w:t>erbuch, Band III, S. 672.</w:t>
      </w:r>
    </w:p>
  </w:footnote>
  <w:footnote w:id="147">
    <w:p w:rsidR="00BB7EDA" w:rsidRDefault="007D72B3">
      <w:pPr>
        <w:pStyle w:val="Footnote0"/>
        <w:shd w:val="clear" w:color="auto" w:fill="auto"/>
        <w:tabs>
          <w:tab w:val="left" w:pos="278"/>
        </w:tabs>
        <w:spacing w:line="192" w:lineRule="exact"/>
        <w:ind w:firstLine="0"/>
      </w:pPr>
      <w:r>
        <w:rPr>
          <w:rStyle w:val="Footnote7ptSmallCaps"/>
          <w:vertAlign w:val="superscript"/>
        </w:rPr>
        <w:footnoteRef/>
      </w:r>
      <w:r>
        <w:rPr>
          <w:rStyle w:val="Footnote7ptSmallCaps"/>
        </w:rPr>
        <w:tab/>
        <w:t xml:space="preserve">Darwin: </w:t>
      </w:r>
      <w:r>
        <w:t>Die Abstammung des Menschen, S. 109.</w:t>
      </w:r>
    </w:p>
  </w:footnote>
  <w:footnote w:id="148">
    <w:p w:rsidR="00BB7EDA" w:rsidRDefault="007D72B3">
      <w:pPr>
        <w:pStyle w:val="Footnote0"/>
        <w:shd w:val="clear" w:color="auto" w:fill="auto"/>
        <w:tabs>
          <w:tab w:val="left" w:pos="274"/>
        </w:tabs>
        <w:spacing w:line="192" w:lineRule="exact"/>
        <w:ind w:firstLine="0"/>
      </w:pPr>
      <w:r>
        <w:rPr>
          <w:rStyle w:val="Footnote7ptSmallCaps"/>
          <w:vertAlign w:val="superscript"/>
        </w:rPr>
        <w:footnoteRef/>
      </w:r>
      <w:r>
        <w:rPr>
          <w:rStyle w:val="Footnote7ptSmallCaps"/>
        </w:rPr>
        <w:tab/>
        <w:t xml:space="preserve">Lewandowsky: </w:t>
      </w:r>
      <w:r>
        <w:t>Linguistisches Wörterbuch, Band III, S. 672.</w:t>
      </w:r>
    </w:p>
  </w:footnote>
  <w:footnote w:id="149">
    <w:p w:rsidR="00BB7EDA" w:rsidRDefault="007D72B3">
      <w:pPr>
        <w:pStyle w:val="Footnote0"/>
        <w:shd w:val="clear" w:color="auto" w:fill="auto"/>
        <w:tabs>
          <w:tab w:val="left" w:pos="278"/>
        </w:tabs>
        <w:spacing w:line="192" w:lineRule="exact"/>
        <w:ind w:firstLine="0"/>
      </w:pPr>
      <w:r>
        <w:rPr>
          <w:rStyle w:val="Footnote7ptSmallCaps"/>
          <w:vertAlign w:val="superscript"/>
        </w:rPr>
        <w:footnoteRef/>
      </w:r>
      <w:r>
        <w:rPr>
          <w:rStyle w:val="Footnote7ptSmallCaps"/>
        </w:rPr>
        <w:tab/>
        <w:t xml:space="preserve">Lewandowsky: </w:t>
      </w:r>
      <w:r>
        <w:t>Linguistisches Wörterbuch, Band III, S. 672.</w:t>
      </w:r>
    </w:p>
  </w:footnote>
  <w:footnote w:id="150">
    <w:p w:rsidR="00BB7EDA" w:rsidRDefault="007D72B3">
      <w:pPr>
        <w:pStyle w:val="Footnote0"/>
        <w:shd w:val="clear" w:color="auto" w:fill="auto"/>
        <w:spacing w:line="192" w:lineRule="exact"/>
        <w:ind w:firstLine="0"/>
        <w:jc w:val="left"/>
      </w:pPr>
      <w:r>
        <w:rPr>
          <w:rStyle w:val="Footnote7ptSmallCaps"/>
          <w:vertAlign w:val="superscript"/>
        </w:rPr>
        <w:t>156</w:t>
      </w:r>
      <w:r>
        <w:rPr>
          <w:rStyle w:val="Footnote7ptSmallCaps"/>
        </w:rPr>
        <w:t xml:space="preserve"> Lewandowsky: </w:t>
      </w:r>
      <w:r>
        <w:t>Linguistisches Wörterbuch, Band III, S. 672.</w:t>
      </w:r>
    </w:p>
  </w:footnote>
  <w:footnote w:id="151">
    <w:p w:rsidR="00BB7EDA" w:rsidRDefault="007D72B3">
      <w:pPr>
        <w:pStyle w:val="Footnote30"/>
        <w:shd w:val="clear" w:color="auto" w:fill="auto"/>
        <w:spacing w:line="160" w:lineRule="exact"/>
      </w:pPr>
      <w:r>
        <w:rPr>
          <w:rStyle w:val="Footnote3SmallCaps"/>
          <w:vertAlign w:val="superscript"/>
        </w:rPr>
        <w:footnoteRef/>
      </w:r>
      <w:r>
        <w:rPr>
          <w:rStyle w:val="Footnote3SmallCaps"/>
        </w:rPr>
        <w:t xml:space="preserve"> Zimmer: So</w:t>
      </w:r>
      <w:r>
        <w:t xml:space="preserve"> kommt der </w:t>
      </w:r>
      <w:r>
        <w:rPr>
          <w:rStyle w:val="Footnote38pt"/>
        </w:rPr>
        <w:t xml:space="preserve">Mensch zur Sprache, S. </w:t>
      </w:r>
      <w:r>
        <w:t>8.</w:t>
      </w:r>
    </w:p>
  </w:footnote>
  <w:footnote w:id="152">
    <w:p w:rsidR="00BB7EDA" w:rsidRDefault="007D72B3">
      <w:pPr>
        <w:pStyle w:val="Footnote40"/>
        <w:shd w:val="clear" w:color="auto" w:fill="auto"/>
        <w:tabs>
          <w:tab w:val="left" w:pos="278"/>
        </w:tabs>
        <w:spacing w:line="160" w:lineRule="exact"/>
      </w:pPr>
      <w:r>
        <w:rPr>
          <w:rStyle w:val="Footnote47ptSmallCaps"/>
          <w:vertAlign w:val="superscript"/>
        </w:rPr>
        <w:footnoteRef/>
      </w:r>
      <w:r>
        <w:rPr>
          <w:rStyle w:val="Footnote47ptSmallCaps"/>
        </w:rPr>
        <w:tab/>
        <w:t xml:space="preserve">Darwin: </w:t>
      </w:r>
      <w:r>
        <w:t>Die Abstammung des Menschen, S. 109.</w:t>
      </w:r>
    </w:p>
  </w:footnote>
  <w:footnote w:id="153">
    <w:p w:rsidR="00BB7EDA" w:rsidRDefault="007D72B3">
      <w:pPr>
        <w:pStyle w:val="Footnote30"/>
        <w:shd w:val="clear" w:color="auto" w:fill="auto"/>
        <w:tabs>
          <w:tab w:val="left" w:pos="278"/>
        </w:tabs>
        <w:spacing w:line="140" w:lineRule="exact"/>
        <w:jc w:val="both"/>
      </w:pPr>
      <w:r>
        <w:rPr>
          <w:rStyle w:val="Footnote3SmallCaps"/>
          <w:vertAlign w:val="superscript"/>
        </w:rPr>
        <w:footnoteRef/>
      </w:r>
      <w:r>
        <w:rPr>
          <w:rStyle w:val="Footnote3SmallCaps"/>
        </w:rPr>
        <w:tab/>
        <w:t>Zimmer: So</w:t>
      </w:r>
      <w:r>
        <w:t xml:space="preserve"> kommt der Mensch zur Sprache, S. 9.</w:t>
      </w:r>
    </w:p>
  </w:footnote>
  <w:footnote w:id="154">
    <w:p w:rsidR="00BB7EDA" w:rsidRDefault="007D72B3">
      <w:pPr>
        <w:pStyle w:val="Footnote0"/>
        <w:shd w:val="clear" w:color="auto" w:fill="auto"/>
        <w:tabs>
          <w:tab w:val="left" w:pos="269"/>
        </w:tabs>
        <w:ind w:left="340"/>
        <w:jc w:val="left"/>
      </w:pPr>
      <w:r>
        <w:rPr>
          <w:vertAlign w:val="superscript"/>
        </w:rPr>
        <w:footnoteRef/>
      </w:r>
      <w:r>
        <w:tab/>
        <w:t xml:space="preserve">Vgl. z.B. lateinisch </w:t>
      </w:r>
      <w:r>
        <w:rPr>
          <w:rStyle w:val="Footnote75ptItalic"/>
        </w:rPr>
        <w:t>atnicus</w:t>
      </w:r>
      <w:r>
        <w:t xml:space="preserve"> („Freund"), </w:t>
      </w:r>
      <w:r>
        <w:rPr>
          <w:rStyle w:val="Footnote75ptItalic"/>
        </w:rPr>
        <w:t>pimus</w:t>
      </w:r>
      <w:r>
        <w:t xml:space="preserve"> („Brot"), </w:t>
      </w:r>
      <w:r>
        <w:rPr>
          <w:rStyle w:val="Footnote75ptItalic"/>
        </w:rPr>
        <w:t>credere</w:t>
      </w:r>
      <w:r>
        <w:t xml:space="preserve"> („glauben") mit französisch </w:t>
      </w:r>
      <w:r>
        <w:rPr>
          <w:rStyle w:val="Footnote75ptItalic"/>
        </w:rPr>
        <w:t>ami, pain</w:t>
      </w:r>
      <w:r>
        <w:t xml:space="preserve"> und </w:t>
      </w:r>
      <w:r>
        <w:rPr>
          <w:rStyle w:val="Footnote75ptItalic"/>
        </w:rPr>
        <w:t>croire.</w:t>
      </w:r>
    </w:p>
  </w:footnote>
  <w:footnote w:id="155">
    <w:p w:rsidR="00BB7EDA" w:rsidRDefault="007D72B3">
      <w:pPr>
        <w:pStyle w:val="Footnote0"/>
        <w:shd w:val="clear" w:color="auto" w:fill="auto"/>
        <w:tabs>
          <w:tab w:val="left" w:pos="283"/>
        </w:tabs>
        <w:ind w:left="340"/>
        <w:jc w:val="left"/>
      </w:pPr>
      <w:r>
        <w:rPr>
          <w:rStyle w:val="Footnote7ptSmallCaps"/>
          <w:vertAlign w:val="superscript"/>
        </w:rPr>
        <w:footnoteRef/>
      </w:r>
      <w:r>
        <w:rPr>
          <w:rStyle w:val="Footnote7ptSmallCaps"/>
        </w:rPr>
        <w:tab/>
        <w:t xml:space="preserve">Blechschmidt: </w:t>
      </w:r>
      <w:r>
        <w:t>Gestaltungsvorgänge in dei menschlichen Embryonalentwick</w:t>
      </w:r>
      <w:r>
        <w:softHyphen/>
        <w:t xml:space="preserve">lung, </w:t>
      </w:r>
      <w:r>
        <w:rPr>
          <w:rStyle w:val="Footnote7pt"/>
        </w:rPr>
        <w:t xml:space="preserve">S. </w:t>
      </w:r>
      <w:r>
        <w:t xml:space="preserve">9ff.; </w:t>
      </w:r>
      <w:r>
        <w:rPr>
          <w:rStyle w:val="Footnote7ptSmallCaps"/>
        </w:rPr>
        <w:t xml:space="preserve">Junker/Scherer: </w:t>
      </w:r>
      <w:r>
        <w:t xml:space="preserve">Evolution - ein kritisches Lehrbuch. </w:t>
      </w:r>
      <w:r>
        <w:rPr>
          <w:rStyle w:val="Footnote7pt"/>
        </w:rPr>
        <w:t xml:space="preserve">S. </w:t>
      </w:r>
      <w:r>
        <w:t>187-196.</w:t>
      </w:r>
    </w:p>
  </w:footnote>
  <w:footnote w:id="156">
    <w:p w:rsidR="00BB7EDA" w:rsidRDefault="007D72B3">
      <w:pPr>
        <w:pStyle w:val="Footnote0"/>
        <w:shd w:val="clear" w:color="auto" w:fill="auto"/>
        <w:tabs>
          <w:tab w:val="left" w:pos="274"/>
        </w:tabs>
        <w:ind w:firstLine="0"/>
      </w:pPr>
      <w:r>
        <w:rPr>
          <w:rStyle w:val="Footnote7ptSmallCaps"/>
          <w:vertAlign w:val="superscript"/>
        </w:rPr>
        <w:footnoteRef/>
      </w:r>
      <w:r>
        <w:rPr>
          <w:rStyle w:val="Footnote7ptSmallCaps"/>
        </w:rPr>
        <w:tab/>
        <w:t xml:space="preserve">Zimmer: </w:t>
      </w:r>
      <w:r>
        <w:rPr>
          <w:rStyle w:val="FootnoteSmallCaps"/>
        </w:rPr>
        <w:t>So</w:t>
      </w:r>
      <w:r>
        <w:t xml:space="preserve"> kommt der Mensch zur Sprache, S. 178.</w:t>
      </w:r>
    </w:p>
  </w:footnote>
  <w:footnote w:id="157">
    <w:p w:rsidR="00BB7EDA" w:rsidRDefault="007D72B3">
      <w:pPr>
        <w:pStyle w:val="Footnote0"/>
        <w:shd w:val="clear" w:color="auto" w:fill="auto"/>
        <w:tabs>
          <w:tab w:val="left" w:pos="278"/>
        </w:tabs>
        <w:ind w:firstLine="0"/>
      </w:pPr>
      <w:r>
        <w:rPr>
          <w:rStyle w:val="Footnote7ptSmallCaps"/>
          <w:vertAlign w:val="superscript"/>
        </w:rPr>
        <w:footnoteRef/>
      </w:r>
      <w:r>
        <w:rPr>
          <w:rStyle w:val="Footnote7ptSmallCaps"/>
        </w:rPr>
        <w:tab/>
        <w:t xml:space="preserve">Zimmer: So </w:t>
      </w:r>
      <w:r>
        <w:t>kommt der Mensch zur Sprache, S</w:t>
      </w:r>
      <w:r>
        <w:t>. 178-180.</w:t>
      </w:r>
    </w:p>
  </w:footnote>
  <w:footnote w:id="158">
    <w:p w:rsidR="00BB7EDA" w:rsidRDefault="007D72B3">
      <w:pPr>
        <w:pStyle w:val="Footnote0"/>
        <w:shd w:val="clear" w:color="auto" w:fill="auto"/>
        <w:tabs>
          <w:tab w:val="left" w:pos="278"/>
        </w:tabs>
        <w:ind w:firstLine="0"/>
      </w:pPr>
      <w:r>
        <w:rPr>
          <w:vertAlign w:val="superscript"/>
        </w:rPr>
        <w:footnoteRef/>
      </w:r>
      <w:r>
        <w:tab/>
        <w:t>Vgl. 2.3.4</w:t>
      </w:r>
    </w:p>
  </w:footnote>
  <w:footnote w:id="159">
    <w:p w:rsidR="00BB7EDA" w:rsidRDefault="007D72B3">
      <w:pPr>
        <w:pStyle w:val="Footnote0"/>
        <w:shd w:val="clear" w:color="auto" w:fill="auto"/>
        <w:tabs>
          <w:tab w:val="left" w:pos="269"/>
        </w:tabs>
        <w:ind w:firstLine="0"/>
      </w:pPr>
      <w:r>
        <w:rPr>
          <w:vertAlign w:val="superscript"/>
        </w:rPr>
        <w:footnoteRef/>
      </w:r>
      <w:r>
        <w:tab/>
        <w:t>Nebst Gen 2,16-17 vgl. Gen l,3ff.</w:t>
      </w:r>
    </w:p>
  </w:footnote>
  <w:footnote w:id="160">
    <w:p w:rsidR="00BB7EDA" w:rsidRDefault="007D72B3">
      <w:pPr>
        <w:pStyle w:val="Footnote0"/>
        <w:shd w:val="clear" w:color="auto" w:fill="auto"/>
        <w:tabs>
          <w:tab w:val="left" w:pos="269"/>
        </w:tabs>
        <w:ind w:left="340"/>
      </w:pPr>
      <w:r>
        <w:rPr>
          <w:vertAlign w:val="superscript"/>
        </w:rPr>
        <w:footnoteRef/>
      </w:r>
      <w:r>
        <w:tab/>
        <w:t>Eva wurde ja auch am sechsten Schöpfungstag erschaffen. Dass eine saubere Bibelauslegung zur Auffassung führen muss, dass die Schöpfungstage nor</w:t>
      </w:r>
      <w:r>
        <w:softHyphen/>
        <w:t>male Tage, d.h. keine ausgedehnte Zeitperioden wa</w:t>
      </w:r>
      <w:r>
        <w:t>ren, wird z.B. in folgen</w:t>
      </w:r>
      <w:r>
        <w:softHyphen/>
        <w:t xml:space="preserve">der Publikation nachgewiesen: </w:t>
      </w:r>
      <w:r>
        <w:rPr>
          <w:rStyle w:val="Footnote7ptSmallCaps"/>
        </w:rPr>
        <w:t xml:space="preserve">Ouweneel: </w:t>
      </w:r>
      <w:r>
        <w:t>Gedanken zum Schöpfungsbe</w:t>
      </w:r>
      <w:r>
        <w:softHyphen/>
        <w:t xml:space="preserve">richt, S. 65-79; </w:t>
      </w:r>
      <w:r>
        <w:rPr>
          <w:rStyle w:val="Footnote7ptSmallCaps"/>
        </w:rPr>
        <w:t xml:space="preserve">Wiskin: </w:t>
      </w:r>
      <w:r>
        <w:t>Die Bibel und das Alter der Erde.</w:t>
      </w:r>
    </w:p>
  </w:footnote>
  <w:footnote w:id="161">
    <w:p w:rsidR="00BB7EDA" w:rsidRDefault="007D72B3">
      <w:pPr>
        <w:pStyle w:val="Footnote0"/>
        <w:shd w:val="clear" w:color="auto" w:fill="auto"/>
        <w:tabs>
          <w:tab w:val="left" w:pos="274"/>
        </w:tabs>
        <w:spacing w:line="192" w:lineRule="exact"/>
        <w:ind w:left="340"/>
        <w:jc w:val="left"/>
      </w:pPr>
      <w:r>
        <w:rPr>
          <w:vertAlign w:val="superscript"/>
        </w:rPr>
        <w:footnoteRef/>
      </w:r>
      <w:r>
        <w:tab/>
        <w:t xml:space="preserve">Gen 2,23 folgt im hebräischen Grundtext den Regeln der hebräischen Poesie </w:t>
      </w:r>
      <w:r>
        <w:rPr>
          <w:rStyle w:val="Footnote7pt"/>
        </w:rPr>
        <w:t xml:space="preserve">(vgl. </w:t>
      </w:r>
      <w:r>
        <w:rPr>
          <w:rStyle w:val="Footnote7ptSmallCaps"/>
        </w:rPr>
        <w:t xml:space="preserve">Liebi: </w:t>
      </w:r>
      <w:r>
        <w:t xml:space="preserve">Hebräische Poesie im Alten Testament; </w:t>
      </w:r>
      <w:r>
        <w:rPr>
          <w:rStyle w:val="Footnote7ptSmallCaps"/>
        </w:rPr>
        <w:t xml:space="preserve">Liebi: </w:t>
      </w:r>
      <w:r>
        <w:t>Poesie hebraique).</w:t>
      </w:r>
    </w:p>
  </w:footnote>
  <w:footnote w:id="162">
    <w:p w:rsidR="00BB7EDA" w:rsidRDefault="007D72B3">
      <w:pPr>
        <w:pStyle w:val="Footnote0"/>
        <w:shd w:val="clear" w:color="auto" w:fill="auto"/>
        <w:tabs>
          <w:tab w:val="left" w:pos="278"/>
        </w:tabs>
        <w:spacing w:line="192" w:lineRule="exact"/>
        <w:ind w:left="340"/>
      </w:pPr>
      <w:r>
        <w:rPr>
          <w:rStyle w:val="FootnoteCandara6pt"/>
        </w:rPr>
        <w:footnoteRef/>
      </w:r>
      <w:r w:rsidRPr="007D72B3">
        <w:rPr>
          <w:lang w:val="en-US"/>
        </w:rPr>
        <w:tab/>
        <w:t xml:space="preserve">yg| NiccACCi: The Syntax of the Verb in Classical Hebrew Prose, S. 192-197. </w:t>
      </w:r>
      <w:r>
        <w:t xml:space="preserve">Als Einführung in die hebräische Poesie des AT vgl.: </w:t>
      </w:r>
      <w:r>
        <w:rPr>
          <w:rStyle w:val="Footnote7ptSmallCaps"/>
        </w:rPr>
        <w:t xml:space="preserve">Liebi: </w:t>
      </w:r>
      <w:r>
        <w:t xml:space="preserve">Hebräische Poesie </w:t>
      </w:r>
      <w:r>
        <w:rPr>
          <w:rStyle w:val="Footnote7pt"/>
        </w:rPr>
        <w:t xml:space="preserve">im </w:t>
      </w:r>
      <w:r>
        <w:t xml:space="preserve">Alten Testament; </w:t>
      </w:r>
      <w:r>
        <w:rPr>
          <w:rStyle w:val="Footnote7ptSmallCaps"/>
        </w:rPr>
        <w:t xml:space="preserve">Liebi: </w:t>
      </w:r>
      <w:r>
        <w:t xml:space="preserve">Poesie </w:t>
      </w:r>
      <w:r>
        <w:t>hebraique Eine in die tiefe gehende umfas</w:t>
      </w:r>
      <w:r>
        <w:softHyphen/>
        <w:t xml:space="preserve">sende Studie zur hebräischen Poesie: </w:t>
      </w:r>
      <w:r>
        <w:rPr>
          <w:rStyle w:val="Footnote7ptSmallCaps"/>
        </w:rPr>
        <w:t xml:space="preserve">Watson: </w:t>
      </w:r>
      <w:r>
        <w:t>Classical Hebrew Poetry.</w:t>
      </w:r>
    </w:p>
  </w:footnote>
  <w:footnote w:id="163">
    <w:p w:rsidR="00BB7EDA" w:rsidRDefault="007D72B3">
      <w:pPr>
        <w:pStyle w:val="Footnote0"/>
        <w:shd w:val="clear" w:color="auto" w:fill="auto"/>
        <w:tabs>
          <w:tab w:val="left" w:pos="278"/>
        </w:tabs>
        <w:ind w:left="300" w:hanging="300"/>
      </w:pPr>
      <w:r>
        <w:rPr>
          <w:vertAlign w:val="superscript"/>
        </w:rPr>
        <w:footnoteRef/>
      </w:r>
      <w:r>
        <w:tab/>
        <w:t xml:space="preserve">W. </w:t>
      </w:r>
      <w:r>
        <w:rPr>
          <w:rStyle w:val="Footnote75ptItalic"/>
        </w:rPr>
        <w:t>„eine</w:t>
      </w:r>
      <w:r>
        <w:t xml:space="preserve"> Sprache und einerlei Worte". Zur äquivalenten Wiedergabe „die </w:t>
      </w:r>
      <w:r>
        <w:rPr>
          <w:rStyle w:val="Footnote75ptItalic"/>
        </w:rPr>
        <w:t>gleiche</w:t>
      </w:r>
      <w:r>
        <w:t xml:space="preserve"> Sprache und </w:t>
      </w:r>
      <w:r>
        <w:rPr>
          <w:rStyle w:val="Footnote75ptItalic"/>
        </w:rPr>
        <w:t>die gleichen</w:t>
      </w:r>
      <w:r>
        <w:t xml:space="preserve"> Wörter" vgl. </w:t>
      </w:r>
      <w:r>
        <w:rPr>
          <w:rStyle w:val="Footnote7ptSmallCaps"/>
        </w:rPr>
        <w:t xml:space="preserve">Joüon/Muraoka: </w:t>
      </w:r>
      <w:r>
        <w:t xml:space="preserve">A Grammar </w:t>
      </w:r>
      <w:r>
        <w:t>of Biblical Hebrew, §142b. Gen 11,1 besagt, dass die nachsintflutliche Ur- menschheit dieselbe Langue und dasselbe Vokabular besaß.</w:t>
      </w:r>
    </w:p>
  </w:footnote>
  <w:footnote w:id="164">
    <w:p w:rsidR="00BB7EDA" w:rsidRDefault="007D72B3">
      <w:pPr>
        <w:pStyle w:val="Footnote0"/>
        <w:shd w:val="clear" w:color="auto" w:fill="auto"/>
        <w:tabs>
          <w:tab w:val="left" w:pos="278"/>
        </w:tabs>
        <w:ind w:left="320" w:hanging="320"/>
      </w:pPr>
      <w:r>
        <w:rPr>
          <w:vertAlign w:val="superscript"/>
        </w:rPr>
        <w:footnoteRef/>
      </w:r>
      <w:r>
        <w:tab/>
        <w:t xml:space="preserve">Hebr. </w:t>
      </w:r>
      <w:r>
        <w:rPr>
          <w:rStyle w:val="Footnote75ptItalic"/>
        </w:rPr>
        <w:t>miqedem =</w:t>
      </w:r>
      <w:r>
        <w:t xml:space="preserve"> „das Land von Osten her". Vom Ararat-Gebirge aus liegt Babylonien im Süden. Diese geographische Angabe in </w:t>
      </w:r>
      <w:r>
        <w:t>Gen 11,1 ist aus der Sicht von Mose zu verstehen. Er schrieb die Genesis ja in Ägypten und/oder in der Wüste Sinai.</w:t>
      </w:r>
    </w:p>
  </w:footnote>
  <w:footnote w:id="165">
    <w:p w:rsidR="00BB7EDA" w:rsidRDefault="007D72B3">
      <w:pPr>
        <w:pStyle w:val="Footnote0"/>
        <w:shd w:val="clear" w:color="auto" w:fill="auto"/>
        <w:tabs>
          <w:tab w:val="left" w:pos="283"/>
        </w:tabs>
        <w:spacing w:line="192" w:lineRule="exact"/>
        <w:ind w:left="320" w:hanging="320"/>
      </w:pPr>
      <w:r>
        <w:rPr>
          <w:vertAlign w:val="superscript"/>
        </w:rPr>
        <w:footnoteRef/>
      </w:r>
      <w:r>
        <w:tab/>
        <w:t xml:space="preserve">Der hebräische Name </w:t>
      </w:r>
      <w:r>
        <w:rPr>
          <w:rStyle w:val="Footnote75ptItalic"/>
        </w:rPr>
        <w:t>sin'ar</w:t>
      </w:r>
      <w:r>
        <w:t xml:space="preserve"> entspricht dem keilinschriftlichen Begriff </w:t>
      </w:r>
      <w:r>
        <w:rPr>
          <w:rStyle w:val="Footnote75ptItalic"/>
        </w:rPr>
        <w:t xml:space="preserve">sanhar </w:t>
      </w:r>
      <w:r>
        <w:t>in den Texten der hethitischen und syrischen Schreiberschulen</w:t>
      </w:r>
      <w:r>
        <w:t xml:space="preserve"> des 2. Jahr</w:t>
      </w:r>
      <w:r>
        <w:softHyphen/>
        <w:t xml:space="preserve">tausend </w:t>
      </w:r>
      <w:r>
        <w:rPr>
          <w:rStyle w:val="Footnote7pt"/>
        </w:rPr>
        <w:t xml:space="preserve">v. </w:t>
      </w:r>
      <w:r>
        <w:t xml:space="preserve">Chr. </w:t>
      </w:r>
      <w:r>
        <w:rPr>
          <w:rStyle w:val="Footnote7ptSmallCaps"/>
        </w:rPr>
        <w:t xml:space="preserve">(Wiseman: </w:t>
      </w:r>
      <w:r>
        <w:t>Shmar).</w:t>
      </w:r>
    </w:p>
  </w:footnote>
  <w:footnote w:id="166">
    <w:p w:rsidR="00BB7EDA" w:rsidRDefault="007D72B3">
      <w:pPr>
        <w:pStyle w:val="Footnote0"/>
        <w:shd w:val="clear" w:color="auto" w:fill="auto"/>
        <w:tabs>
          <w:tab w:val="left" w:pos="288"/>
        </w:tabs>
        <w:spacing w:line="192" w:lineRule="exact"/>
        <w:ind w:left="340"/>
        <w:jc w:val="left"/>
      </w:pPr>
      <w:r>
        <w:rPr>
          <w:vertAlign w:val="superscript"/>
        </w:rPr>
        <w:footnoteRef/>
      </w:r>
      <w:r>
        <w:tab/>
        <w:t>Dem rebellischen „Auf!" der Urgesellschaft in Gen 11,3 und 4 entspricht das trinitarische „Auf!" zum Gerichtshandeln in Gen 11,7.</w:t>
      </w:r>
    </w:p>
  </w:footnote>
  <w:footnote w:id="167">
    <w:p w:rsidR="00BB7EDA" w:rsidRDefault="007D72B3">
      <w:pPr>
        <w:pStyle w:val="Footnote0"/>
        <w:shd w:val="clear" w:color="auto" w:fill="auto"/>
        <w:tabs>
          <w:tab w:val="left" w:pos="283"/>
        </w:tabs>
        <w:spacing w:line="192" w:lineRule="exact"/>
        <w:ind w:left="340"/>
        <w:jc w:val="left"/>
      </w:pPr>
      <w:r>
        <w:rPr>
          <w:vertAlign w:val="superscript"/>
        </w:rPr>
        <w:footnoteRef/>
      </w:r>
      <w:r>
        <w:tab/>
        <w:t xml:space="preserve">Od. </w:t>
      </w:r>
      <w:r>
        <w:rPr>
          <w:rStyle w:val="Footnote75ptItalic"/>
        </w:rPr>
        <w:t>dass wir uns nicht zerstreuen.</w:t>
      </w:r>
      <w:r>
        <w:t xml:space="preserve"> Vgl. </w:t>
      </w:r>
      <w:r>
        <w:rPr>
          <w:rStyle w:val="Footnote7ptSmallCaps"/>
        </w:rPr>
        <w:t xml:space="preserve">Lange: </w:t>
      </w:r>
      <w:r>
        <w:t>Theologisch-homiletisches Bi</w:t>
      </w:r>
      <w:r>
        <w:t>belwerk, Die Genesis, S. 184.</w:t>
      </w:r>
    </w:p>
  </w:footnote>
  <w:footnote w:id="168">
    <w:p w:rsidR="00BB7EDA" w:rsidRDefault="007D72B3">
      <w:pPr>
        <w:pStyle w:val="Footnote0"/>
        <w:shd w:val="clear" w:color="auto" w:fill="auto"/>
        <w:tabs>
          <w:tab w:val="left" w:pos="283"/>
        </w:tabs>
        <w:spacing w:line="192" w:lineRule="exact"/>
        <w:ind w:left="340"/>
      </w:pPr>
      <w:r>
        <w:rPr>
          <w:vertAlign w:val="superscript"/>
        </w:rPr>
        <w:footnoteRef/>
      </w:r>
      <w:r>
        <w:tab/>
        <w:t xml:space="preserve">Vgl. </w:t>
      </w:r>
      <w:r>
        <w:rPr>
          <w:rStyle w:val="Footnote7ptSmallCaps"/>
        </w:rPr>
        <w:t xml:space="preserve">Vilmar: </w:t>
      </w:r>
      <w:r>
        <w:t xml:space="preserve">Collegium Biblicum, Band </w:t>
      </w:r>
      <w:r>
        <w:rPr>
          <w:rStyle w:val="Footnote7pt"/>
        </w:rPr>
        <w:t xml:space="preserve">1, </w:t>
      </w:r>
      <w:r>
        <w:t xml:space="preserve">S. </w:t>
      </w:r>
      <w:r>
        <w:rPr>
          <w:rStyle w:val="Footnote7pt"/>
        </w:rPr>
        <w:t xml:space="preserve">97: </w:t>
      </w:r>
      <w:r>
        <w:t>„Gesamtunternehmungen der Menschen haben allewege für das menschliche Geschlecht große Gefah</w:t>
      </w:r>
      <w:r>
        <w:softHyphen/>
        <w:t>ren; sie geben ihnen Hartnäckigkeit im Durchsetzen bis zur Selbstzerstö- rung".</w:t>
      </w:r>
    </w:p>
  </w:footnote>
  <w:footnote w:id="169">
    <w:p w:rsidR="00BB7EDA" w:rsidRDefault="007D72B3">
      <w:pPr>
        <w:pStyle w:val="Footnote0"/>
        <w:shd w:val="clear" w:color="auto" w:fill="auto"/>
        <w:tabs>
          <w:tab w:val="left" w:pos="288"/>
        </w:tabs>
        <w:spacing w:line="192" w:lineRule="exact"/>
        <w:ind w:firstLine="0"/>
      </w:pPr>
      <w:r>
        <w:rPr>
          <w:vertAlign w:val="superscript"/>
        </w:rPr>
        <w:footnoteRef/>
      </w:r>
      <w:r>
        <w:tab/>
        <w:t>=</w:t>
      </w:r>
      <w:r>
        <w:t xml:space="preserve"> hebr. „Verwirrung".</w:t>
      </w:r>
    </w:p>
  </w:footnote>
  <w:footnote w:id="170">
    <w:p w:rsidR="00BB7EDA" w:rsidRDefault="007D72B3">
      <w:pPr>
        <w:pStyle w:val="Footnote0"/>
        <w:shd w:val="clear" w:color="auto" w:fill="auto"/>
        <w:tabs>
          <w:tab w:val="left" w:pos="283"/>
        </w:tabs>
        <w:spacing w:line="192" w:lineRule="exact"/>
        <w:ind w:left="340"/>
        <w:jc w:val="left"/>
      </w:pPr>
      <w:r>
        <w:rPr>
          <w:vertAlign w:val="superscript"/>
        </w:rPr>
        <w:footnoteRef/>
      </w:r>
      <w:r>
        <w:tab/>
        <w:t xml:space="preserve">Zur Geschichtlichkeit der Sintflut in Verbindung mit dem biblischen Befund </w:t>
      </w:r>
      <w:r>
        <w:rPr>
          <w:rStyle w:val="Footnote7pt"/>
        </w:rPr>
        <w:t xml:space="preserve">vgl.: </w:t>
      </w:r>
      <w:r>
        <w:rPr>
          <w:rStyle w:val="Footnote7ptSmallCaps"/>
        </w:rPr>
        <w:t xml:space="preserve">Whitcomb/Morris: </w:t>
      </w:r>
      <w:r>
        <w:t>Die Sintflut.</w:t>
      </w:r>
    </w:p>
  </w:footnote>
  <w:footnote w:id="171">
    <w:p w:rsidR="00BB7EDA" w:rsidRDefault="007D72B3">
      <w:pPr>
        <w:pStyle w:val="Footnote0"/>
        <w:shd w:val="clear" w:color="auto" w:fill="auto"/>
        <w:tabs>
          <w:tab w:val="left" w:pos="283"/>
        </w:tabs>
        <w:spacing w:line="192" w:lineRule="exact"/>
        <w:ind w:left="320" w:hanging="320"/>
      </w:pPr>
      <w:r>
        <w:rPr>
          <w:vertAlign w:val="superscript"/>
        </w:rPr>
        <w:footnoteRef/>
      </w:r>
      <w:r>
        <w:tab/>
        <w:t xml:space="preserve">Von daher erklärt es sich, dass in der rabbinischen Theologie die Zahl 70 die Völkerwelt symbolisiert </w:t>
      </w:r>
      <w:r>
        <w:rPr>
          <w:rStyle w:val="Footnote7ptSmallCaps"/>
        </w:rPr>
        <w:t xml:space="preserve">(Ariel/Richman: </w:t>
      </w:r>
      <w:r>
        <w:t>T</w:t>
      </w:r>
      <w:r>
        <w:t>he Odyssey of the Third Temple, S. 47).</w:t>
      </w:r>
    </w:p>
  </w:footnote>
  <w:footnote w:id="172">
    <w:p w:rsidR="00BB7EDA" w:rsidRPr="007D72B3" w:rsidRDefault="007D72B3">
      <w:pPr>
        <w:pStyle w:val="Footnote0"/>
        <w:shd w:val="clear" w:color="auto" w:fill="auto"/>
        <w:tabs>
          <w:tab w:val="left" w:pos="278"/>
        </w:tabs>
        <w:spacing w:line="192" w:lineRule="exact"/>
        <w:ind w:left="320" w:hanging="320"/>
        <w:rPr>
          <w:lang w:val="en-US"/>
        </w:rPr>
      </w:pPr>
      <w:r>
        <w:rPr>
          <w:rStyle w:val="Footnote7ptSmallCaps"/>
          <w:vertAlign w:val="superscript"/>
        </w:rPr>
        <w:footnoteRef/>
      </w:r>
      <w:r w:rsidRPr="007D72B3">
        <w:rPr>
          <w:rStyle w:val="Footnote7ptSmallCaps"/>
          <w:lang w:val="en-US"/>
        </w:rPr>
        <w:tab/>
        <w:t xml:space="preserve">Unger: </w:t>
      </w:r>
      <w:r w:rsidRPr="007D72B3">
        <w:rPr>
          <w:lang w:val="en-US"/>
        </w:rPr>
        <w:t xml:space="preserve">Ungers großes Bibelhandbuch, S. 40-43; </w:t>
      </w:r>
      <w:r w:rsidRPr="007D72B3">
        <w:rPr>
          <w:rStyle w:val="Footnote7ptSmallCaps"/>
          <w:lang w:val="en-US"/>
        </w:rPr>
        <w:t xml:space="preserve">Keil/Delitzsch: </w:t>
      </w:r>
      <w:r w:rsidRPr="007D72B3">
        <w:rPr>
          <w:lang w:val="en-US"/>
        </w:rPr>
        <w:t xml:space="preserve">Commenta- ry on the Old Testament, The Pentateuch, S. 161-172; </w:t>
      </w:r>
      <w:r w:rsidRPr="007D72B3">
        <w:rPr>
          <w:rStyle w:val="Footnote7ptSmallCaps"/>
          <w:lang w:val="en-US"/>
        </w:rPr>
        <w:t xml:space="preserve">Hamilton: </w:t>
      </w:r>
      <w:r w:rsidRPr="007D72B3">
        <w:rPr>
          <w:lang w:val="en-US"/>
        </w:rPr>
        <w:t>The Book of Genesis, Chapters 1-17, S. 330-348.</w:t>
      </w:r>
    </w:p>
  </w:footnote>
  <w:footnote w:id="173">
    <w:p w:rsidR="00BB7EDA" w:rsidRDefault="007D72B3">
      <w:pPr>
        <w:pStyle w:val="Footnote0"/>
        <w:shd w:val="clear" w:color="auto" w:fill="auto"/>
        <w:tabs>
          <w:tab w:val="left" w:pos="278"/>
        </w:tabs>
        <w:spacing w:line="192" w:lineRule="exact"/>
        <w:ind w:left="320" w:hanging="320"/>
      </w:pPr>
      <w:r>
        <w:rPr>
          <w:rStyle w:val="Footnote7ptSmallCaps"/>
          <w:vertAlign w:val="superscript"/>
        </w:rPr>
        <w:footnoteRef/>
      </w:r>
      <w:r w:rsidRPr="007D72B3">
        <w:rPr>
          <w:rStyle w:val="Footnote7ptSmallCaps"/>
          <w:lang w:val="en-US"/>
        </w:rPr>
        <w:tab/>
        <w:t xml:space="preserve">Kaiser/Davids/Bruce/Brauch: </w:t>
      </w:r>
      <w:r w:rsidRPr="007D72B3">
        <w:rPr>
          <w:lang w:val="en-US"/>
        </w:rPr>
        <w:t>H</w:t>
      </w:r>
      <w:r w:rsidRPr="007D72B3">
        <w:rPr>
          <w:lang w:val="en-US"/>
        </w:rPr>
        <w:t xml:space="preserve">ard Sayings of the Bible, S. 118; </w:t>
      </w:r>
      <w:r w:rsidRPr="007D72B3">
        <w:rPr>
          <w:rStyle w:val="Footnote7ptSmallCaps"/>
          <w:lang w:val="en-US"/>
        </w:rPr>
        <w:t xml:space="preserve">Archer: </w:t>
      </w:r>
      <w:r w:rsidRPr="007D72B3">
        <w:rPr>
          <w:lang w:val="en-US"/>
        </w:rPr>
        <w:t xml:space="preserve">Encyclopedia of Bible Difficulties, S. 88; </w:t>
      </w:r>
      <w:r w:rsidRPr="007D72B3">
        <w:rPr>
          <w:rStyle w:val="Footnote7ptSmallCaps"/>
          <w:lang w:val="en-US"/>
        </w:rPr>
        <w:t xml:space="preserve">Unger: </w:t>
      </w:r>
      <w:r w:rsidRPr="007D72B3">
        <w:rPr>
          <w:lang w:val="en-US"/>
        </w:rPr>
        <w:t>Ungers großes Bibelhand</w:t>
      </w:r>
      <w:r w:rsidRPr="007D72B3">
        <w:rPr>
          <w:lang w:val="en-US"/>
        </w:rPr>
        <w:softHyphen/>
        <w:t xml:space="preserve">buch, S. 45; </w:t>
      </w:r>
      <w:r w:rsidRPr="007D72B3">
        <w:rPr>
          <w:rStyle w:val="Footnote7ptSmallCaps"/>
          <w:lang w:val="en-US"/>
        </w:rPr>
        <w:t xml:space="preserve">Darby: </w:t>
      </w:r>
      <w:r w:rsidRPr="007D72B3">
        <w:rPr>
          <w:lang w:val="en-US"/>
        </w:rPr>
        <w:t xml:space="preserve">Betrachtungen über das Wort Gottes, 1. </w:t>
      </w:r>
      <w:r>
        <w:t>Mose bis Ruth, S. 37.</w:t>
      </w:r>
    </w:p>
  </w:footnote>
  <w:footnote w:id="174">
    <w:p w:rsidR="00BB7EDA" w:rsidRDefault="007D72B3">
      <w:pPr>
        <w:pStyle w:val="Footnote0"/>
        <w:shd w:val="clear" w:color="auto" w:fill="auto"/>
        <w:tabs>
          <w:tab w:val="left" w:pos="278"/>
        </w:tabs>
        <w:spacing w:line="192" w:lineRule="exact"/>
        <w:ind w:firstLine="0"/>
      </w:pPr>
      <w:r>
        <w:rPr>
          <w:vertAlign w:val="superscript"/>
        </w:rPr>
        <w:footnoteRef/>
      </w:r>
      <w:r>
        <w:tab/>
        <w:t xml:space="preserve">Vgl. Gen 10,5.32; hebr. </w:t>
      </w:r>
      <w:r>
        <w:rPr>
          <w:rStyle w:val="Footnote75ptItalic"/>
        </w:rPr>
        <w:t>parad</w:t>
      </w:r>
      <w:r>
        <w:t xml:space="preserve"> (im Niph'al).</w:t>
      </w:r>
    </w:p>
  </w:footnote>
  <w:footnote w:id="175">
    <w:p w:rsidR="00BB7EDA" w:rsidRDefault="007D72B3">
      <w:pPr>
        <w:pStyle w:val="Footnote0"/>
        <w:shd w:val="clear" w:color="auto" w:fill="auto"/>
        <w:tabs>
          <w:tab w:val="left" w:pos="274"/>
        </w:tabs>
        <w:spacing w:line="192" w:lineRule="exact"/>
        <w:ind w:firstLine="0"/>
      </w:pPr>
      <w:r>
        <w:rPr>
          <w:vertAlign w:val="superscript"/>
        </w:rPr>
        <w:footnoteRef/>
      </w:r>
      <w:r>
        <w:tab/>
      </w:r>
      <w:r>
        <w:t xml:space="preserve">Vgl. Gen 11,8-9; hebr. </w:t>
      </w:r>
      <w:r>
        <w:rPr>
          <w:rStyle w:val="Footnote75ptItalic"/>
        </w:rPr>
        <w:t>putz</w:t>
      </w:r>
      <w:r>
        <w:t xml:space="preserve"> (im Kal und im Hiph'il).</w:t>
      </w:r>
    </w:p>
  </w:footnote>
  <w:footnote w:id="176">
    <w:p w:rsidR="00BB7EDA" w:rsidRDefault="007D72B3">
      <w:pPr>
        <w:pStyle w:val="Footnote0"/>
        <w:shd w:val="clear" w:color="auto" w:fill="auto"/>
        <w:tabs>
          <w:tab w:val="left" w:pos="278"/>
        </w:tabs>
        <w:spacing w:line="192" w:lineRule="exact"/>
        <w:ind w:firstLine="0"/>
      </w:pPr>
      <w:r>
        <w:rPr>
          <w:rStyle w:val="Footnote7ptSmallCaps"/>
          <w:vertAlign w:val="superscript"/>
        </w:rPr>
        <w:footnoteRef/>
      </w:r>
      <w:r>
        <w:rPr>
          <w:rStyle w:val="Footnote7ptSmallCaps"/>
        </w:rPr>
        <w:tab/>
        <w:t xml:space="preserve">Unger: </w:t>
      </w:r>
      <w:r>
        <w:t>Ungers großes Bibelhandbuch, S. 44.</w:t>
      </w:r>
    </w:p>
  </w:footnote>
  <w:footnote w:id="177">
    <w:p w:rsidR="00BB7EDA" w:rsidRDefault="007D72B3">
      <w:pPr>
        <w:pStyle w:val="Footnote0"/>
        <w:shd w:val="clear" w:color="auto" w:fill="auto"/>
        <w:tabs>
          <w:tab w:val="left" w:pos="278"/>
        </w:tabs>
        <w:spacing w:line="192" w:lineRule="exact"/>
        <w:ind w:left="340"/>
        <w:jc w:val="left"/>
      </w:pPr>
      <w:r>
        <w:rPr>
          <w:vertAlign w:val="superscript"/>
        </w:rPr>
        <w:footnoteRef/>
      </w:r>
      <w:r>
        <w:tab/>
        <w:t xml:space="preserve">Vgl. </w:t>
      </w:r>
      <w:r>
        <w:rPr>
          <w:rStyle w:val="Footnote7ptSmallCaps"/>
        </w:rPr>
        <w:t xml:space="preserve">Millard: </w:t>
      </w:r>
      <w:r>
        <w:t xml:space="preserve">Images du monde biblique, S. 12-13; </w:t>
      </w:r>
      <w:r>
        <w:rPr>
          <w:rStyle w:val="Footnote7ptSmallCaps"/>
        </w:rPr>
        <w:t xml:space="preserve">Millard: </w:t>
      </w:r>
      <w:r>
        <w:t xml:space="preserve">Schätze aus biblischer Zeit, S. 50-51; 134-138 </w:t>
      </w:r>
      <w:r>
        <w:rPr>
          <w:rStyle w:val="Footnote7ptSmallCaps"/>
        </w:rPr>
        <w:t xml:space="preserve">Wiseman: </w:t>
      </w:r>
      <w:r>
        <w:t>Babel, S. 148.</w:t>
      </w:r>
    </w:p>
    <w:p w:rsidR="00BB7EDA" w:rsidRDefault="007D72B3">
      <w:pPr>
        <w:pStyle w:val="Footnote0"/>
        <w:shd w:val="clear" w:color="auto" w:fill="auto"/>
        <w:spacing w:line="192" w:lineRule="exact"/>
        <w:ind w:left="340" w:firstLine="0"/>
        <w:jc w:val="left"/>
      </w:pPr>
      <w:r>
        <w:t xml:space="preserve">Ur war übrigens die </w:t>
      </w:r>
      <w:r>
        <w:t>Herkunftsstadt Abrahams (Gen 11,27-31).</w:t>
      </w:r>
    </w:p>
  </w:footnote>
  <w:footnote w:id="178">
    <w:p w:rsidR="00BB7EDA" w:rsidRDefault="007D72B3">
      <w:pPr>
        <w:pStyle w:val="Footnote0"/>
        <w:shd w:val="clear" w:color="auto" w:fill="auto"/>
        <w:tabs>
          <w:tab w:val="left" w:pos="278"/>
        </w:tabs>
        <w:spacing w:line="192" w:lineRule="exact"/>
        <w:ind w:left="340"/>
        <w:jc w:val="left"/>
      </w:pPr>
      <w:r>
        <w:rPr>
          <w:rStyle w:val="Footnote7ptSmallCaps"/>
          <w:vertAlign w:val="superscript"/>
        </w:rPr>
        <w:footnoteRef/>
      </w:r>
      <w:r>
        <w:rPr>
          <w:rStyle w:val="Footnote7ptSmallCaps"/>
        </w:rPr>
        <w:tab/>
        <w:t xml:space="preserve">Unger: </w:t>
      </w:r>
      <w:r>
        <w:t xml:space="preserve">Ungers großes Bibelhandbuch, S 44. </w:t>
      </w:r>
      <w:r>
        <w:rPr>
          <w:rStyle w:val="Footnote75ptItalic"/>
        </w:rPr>
        <w:t>Uruk</w:t>
      </w:r>
      <w:r>
        <w:t xml:space="preserve"> entspricht dem biblischen </w:t>
      </w:r>
      <w:r>
        <w:rPr>
          <w:rStyle w:val="Footnote75ptItalic"/>
        </w:rPr>
        <w:t>Erek</w:t>
      </w:r>
      <w:r>
        <w:t xml:space="preserve"> in Gen 10,10.</w:t>
      </w:r>
    </w:p>
  </w:footnote>
  <w:footnote w:id="179">
    <w:p w:rsidR="00BB7EDA" w:rsidRDefault="007D72B3">
      <w:pPr>
        <w:pStyle w:val="Footnote0"/>
        <w:shd w:val="clear" w:color="auto" w:fill="auto"/>
        <w:tabs>
          <w:tab w:val="left" w:pos="283"/>
        </w:tabs>
        <w:spacing w:line="192" w:lineRule="exact"/>
        <w:ind w:left="340"/>
        <w:jc w:val="left"/>
      </w:pPr>
      <w:r>
        <w:rPr>
          <w:rStyle w:val="Footnote7ptSmallCaps"/>
        </w:rPr>
        <w:footnoteRef/>
      </w:r>
      <w:r>
        <w:rPr>
          <w:rStyle w:val="Footnote7ptSmallCaps"/>
        </w:rPr>
        <w:tab/>
        <w:t xml:space="preserve">vViseman: </w:t>
      </w:r>
      <w:r>
        <w:t>Babel, S. 149. Ninive wird zum ersten Mal in der Bibel bereits in der Völkertafel in Gen 10,11 erwähnt.</w:t>
      </w:r>
    </w:p>
  </w:footnote>
  <w:footnote w:id="180">
    <w:p w:rsidR="00BB7EDA" w:rsidRPr="007D72B3" w:rsidRDefault="007D72B3">
      <w:pPr>
        <w:pStyle w:val="Footnote0"/>
        <w:shd w:val="clear" w:color="auto" w:fill="auto"/>
        <w:tabs>
          <w:tab w:val="left" w:pos="283"/>
        </w:tabs>
        <w:spacing w:line="192" w:lineRule="exact"/>
        <w:ind w:firstLine="0"/>
        <w:rPr>
          <w:lang w:val="en-US"/>
        </w:rPr>
      </w:pPr>
      <w:r>
        <w:rPr>
          <w:rStyle w:val="Footnote7ptSmallCaps"/>
          <w:vertAlign w:val="superscript"/>
        </w:rPr>
        <w:footnoteRef/>
      </w:r>
      <w:r w:rsidRPr="007D72B3">
        <w:rPr>
          <w:rStyle w:val="Footnote7ptSmallCaps"/>
          <w:lang w:val="en-US"/>
        </w:rPr>
        <w:tab/>
        <w:t>Parr</w:t>
      </w:r>
      <w:r w:rsidRPr="007D72B3">
        <w:rPr>
          <w:rStyle w:val="Footnote7ptSmallCaps"/>
          <w:lang w:val="en-US"/>
        </w:rPr>
        <w:t xml:space="preserve">ot: </w:t>
      </w:r>
      <w:r w:rsidRPr="007D72B3">
        <w:rPr>
          <w:lang w:val="en-US"/>
        </w:rPr>
        <w:t>La Tour de Babel, S. 17.</w:t>
      </w:r>
    </w:p>
  </w:footnote>
  <w:footnote w:id="181">
    <w:p w:rsidR="00BB7EDA" w:rsidRDefault="007D72B3">
      <w:pPr>
        <w:pStyle w:val="Footnote0"/>
        <w:shd w:val="clear" w:color="auto" w:fill="auto"/>
        <w:tabs>
          <w:tab w:val="left" w:pos="278"/>
        </w:tabs>
        <w:spacing w:line="192" w:lineRule="exact"/>
        <w:ind w:firstLine="0"/>
      </w:pPr>
      <w:r>
        <w:rPr>
          <w:vertAlign w:val="superscript"/>
        </w:rPr>
        <w:footnoteRef/>
      </w:r>
      <w:r>
        <w:tab/>
        <w:t xml:space="preserve">Als „Akkadisch" bezeichnet man die Sprache der Babylonier und Assyrer. </w:t>
      </w:r>
      <w:r>
        <w:rPr>
          <w:vertAlign w:val="superscript"/>
        </w:rPr>
        <w:t>200</w:t>
      </w:r>
      <w:r>
        <w:t xml:space="preserve"> Das Nomen </w:t>
      </w:r>
      <w:r>
        <w:rPr>
          <w:rStyle w:val="Footnote75ptItalic"/>
        </w:rPr>
        <w:t>ziqquratu</w:t>
      </w:r>
      <w:r>
        <w:t xml:space="preserve"> (ältere Form: </w:t>
      </w:r>
      <w:r>
        <w:rPr>
          <w:rStyle w:val="Footnote75ptItalic"/>
        </w:rPr>
        <w:t>ziqquraturn)</w:t>
      </w:r>
      <w:r>
        <w:t xml:space="preserve"> lässt sich von dem Verb</w:t>
      </w:r>
    </w:p>
  </w:footnote>
  <w:footnote w:id="182">
    <w:p w:rsidR="00BB7EDA" w:rsidRDefault="007D72B3">
      <w:pPr>
        <w:pStyle w:val="Footnote0"/>
        <w:shd w:val="clear" w:color="auto" w:fill="auto"/>
        <w:spacing w:line="192" w:lineRule="exact"/>
        <w:ind w:left="340" w:firstLine="0"/>
        <w:jc w:val="left"/>
      </w:pPr>
      <w:r>
        <w:rPr>
          <w:rStyle w:val="Footnote75ptItalic"/>
        </w:rPr>
        <w:t>zaqqaru</w:t>
      </w:r>
      <w:r>
        <w:t xml:space="preserve"> („hoch sein") herleiten.</w:t>
      </w:r>
    </w:p>
  </w:footnote>
  <w:footnote w:id="183">
    <w:p w:rsidR="00BB7EDA" w:rsidRDefault="007D72B3">
      <w:pPr>
        <w:pStyle w:val="Footnote0"/>
        <w:shd w:val="clear" w:color="auto" w:fill="auto"/>
        <w:ind w:left="320" w:hanging="320"/>
      </w:pPr>
      <w:r>
        <w:rPr>
          <w:vertAlign w:val="superscript"/>
        </w:rPr>
        <w:footnoteRef/>
      </w:r>
      <w:r>
        <w:t xml:space="preserve"> Inschriftlich findet sich der Begriff </w:t>
      </w:r>
      <w:r>
        <w:rPr>
          <w:rStyle w:val="Footnote75ptItalic"/>
        </w:rPr>
        <w:t>e-teme</w:t>
      </w:r>
      <w:r>
        <w:rPr>
          <w:rStyle w:val="Footnote75ptItalic"/>
        </w:rPr>
        <w:t>n-an-ki</w:t>
      </w:r>
      <w:r>
        <w:t xml:space="preserve"> bei Asarhaddon (um 681 v. Chr.; vgl. 2Kön 19,37; Jes 37,38), der ihn „wie früher" aufbauen wollte </w:t>
      </w:r>
      <w:r>
        <w:rPr>
          <w:rStyle w:val="Footnote7ptSmallCaps"/>
        </w:rPr>
        <w:t xml:space="preserve">(Hartmann: </w:t>
      </w:r>
      <w:r>
        <w:t>Der Turmbau zu Babel, S. 79).</w:t>
      </w:r>
    </w:p>
  </w:footnote>
  <w:footnote w:id="184">
    <w:p w:rsidR="00BB7EDA" w:rsidRDefault="007D72B3">
      <w:pPr>
        <w:pStyle w:val="Footnote0"/>
        <w:shd w:val="clear" w:color="auto" w:fill="auto"/>
        <w:tabs>
          <w:tab w:val="left" w:pos="278"/>
        </w:tabs>
        <w:spacing w:line="192" w:lineRule="exact"/>
        <w:ind w:left="320" w:hanging="320"/>
        <w:jc w:val="left"/>
      </w:pPr>
      <w:r>
        <w:rPr>
          <w:rStyle w:val="Footnote7ptSmallCaps"/>
          <w:vertAlign w:val="superscript"/>
        </w:rPr>
        <w:footnoteRef/>
      </w:r>
      <w:r>
        <w:rPr>
          <w:rStyle w:val="Footnote7ptSmallCaps"/>
        </w:rPr>
        <w:tab/>
        <w:t xml:space="preserve">Wiseman: </w:t>
      </w:r>
      <w:r>
        <w:t xml:space="preserve">Babel, S. 147-150; </w:t>
      </w:r>
      <w:r>
        <w:rPr>
          <w:rStyle w:val="Footnote7ptSmallCaps"/>
        </w:rPr>
        <w:t xml:space="preserve">Wiseman: </w:t>
      </w:r>
      <w:r>
        <w:t xml:space="preserve">Babylon, S. 150-153; </w:t>
      </w:r>
      <w:r>
        <w:rPr>
          <w:rStyle w:val="Footnote7ptSmallCaps"/>
        </w:rPr>
        <w:t xml:space="preserve">Hartmann: </w:t>
      </w:r>
      <w:r>
        <w:t>Der Turmbau zu Babel, S. 55-57 und 79.</w:t>
      </w:r>
    </w:p>
  </w:footnote>
  <w:footnote w:id="185">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Dies findet zusätzlich eine Bestätigung in der babylonischen Tradition, die besagt, dass Sargon I. (um 2350 v. Chr.) die von dem Gott Marduk gegründete Stadt Babylon zerstört habe </w:t>
      </w:r>
      <w:r>
        <w:rPr>
          <w:rStyle w:val="Footnote7ptSmallCaps"/>
        </w:rPr>
        <w:t xml:space="preserve">(Wiseman: </w:t>
      </w:r>
      <w:r>
        <w:t xml:space="preserve">Babel, S. </w:t>
      </w:r>
      <w:r>
        <w:rPr>
          <w:rStyle w:val="Footnote7pt"/>
        </w:rPr>
        <w:t>147).</w:t>
      </w:r>
    </w:p>
  </w:footnote>
  <w:footnote w:id="186">
    <w:p w:rsidR="00BB7EDA" w:rsidRDefault="007D72B3">
      <w:pPr>
        <w:pStyle w:val="Footnote0"/>
        <w:shd w:val="clear" w:color="auto" w:fill="auto"/>
        <w:tabs>
          <w:tab w:val="left" w:pos="283"/>
        </w:tabs>
        <w:spacing w:line="192" w:lineRule="exact"/>
        <w:ind w:firstLine="0"/>
      </w:pPr>
      <w:r>
        <w:rPr>
          <w:vertAlign w:val="superscript"/>
        </w:rPr>
        <w:footnoteRef/>
      </w:r>
      <w:r>
        <w:tab/>
        <w:t>2Kön 18,13; Jes 37,37.</w:t>
      </w:r>
    </w:p>
  </w:footnote>
  <w:footnote w:id="187">
    <w:p w:rsidR="00BB7EDA" w:rsidRDefault="007D72B3">
      <w:pPr>
        <w:pStyle w:val="Footnote0"/>
        <w:shd w:val="clear" w:color="auto" w:fill="auto"/>
        <w:tabs>
          <w:tab w:val="left" w:pos="288"/>
        </w:tabs>
        <w:spacing w:line="192" w:lineRule="exact"/>
        <w:ind w:firstLine="0"/>
      </w:pPr>
      <w:r>
        <w:rPr>
          <w:vertAlign w:val="superscript"/>
        </w:rPr>
        <w:footnoteRef/>
      </w:r>
      <w:r>
        <w:tab/>
        <w:t>Dan 1,1; 4,28-30.</w:t>
      </w:r>
    </w:p>
  </w:footnote>
  <w:footnote w:id="188">
    <w:p w:rsidR="00BB7EDA" w:rsidRDefault="007D72B3">
      <w:pPr>
        <w:pStyle w:val="Footnote0"/>
        <w:shd w:val="clear" w:color="auto" w:fill="auto"/>
        <w:tabs>
          <w:tab w:val="left" w:pos="278"/>
        </w:tabs>
        <w:spacing w:line="192" w:lineRule="exact"/>
        <w:ind w:left="340"/>
        <w:jc w:val="left"/>
      </w:pPr>
      <w:r>
        <w:rPr>
          <w:vertAlign w:val="superscript"/>
        </w:rPr>
        <w:footnoteRef/>
      </w:r>
      <w:r>
        <w:tab/>
        <w:t>L</w:t>
      </w:r>
      <w:r>
        <w:t xml:space="preserve">ouvre, AO 6555. Fotografische Wiedergabe, Text und Übersetzung s.: </w:t>
      </w:r>
      <w:r>
        <w:rPr>
          <w:rStyle w:val="Footnote7ptSmallCaps"/>
        </w:rPr>
        <w:t xml:space="preserve">Par- rot: </w:t>
      </w:r>
      <w:r>
        <w:t xml:space="preserve">La Tour de Babel, S. 12-13; </w:t>
      </w:r>
      <w:r>
        <w:rPr>
          <w:rStyle w:val="Footnote7ptSmallCaps"/>
        </w:rPr>
        <w:t xml:space="preserve">Wiseman: </w:t>
      </w:r>
      <w:r>
        <w:t>Babylon, S. 151.</w:t>
      </w:r>
    </w:p>
  </w:footnote>
  <w:footnote w:id="189">
    <w:p w:rsidR="00BB7EDA" w:rsidRDefault="007D72B3">
      <w:pPr>
        <w:pStyle w:val="Footnote0"/>
        <w:shd w:val="clear" w:color="auto" w:fill="auto"/>
        <w:tabs>
          <w:tab w:val="left" w:pos="283"/>
        </w:tabs>
        <w:spacing w:line="192" w:lineRule="exact"/>
        <w:ind w:left="340"/>
      </w:pPr>
      <w:r>
        <w:rPr>
          <w:vertAlign w:val="superscript"/>
        </w:rPr>
        <w:footnoteRef/>
      </w:r>
      <w:r>
        <w:tab/>
        <w:t xml:space="preserve">Der Text der Keilschrifttafel ist bei der Beschreibung des sechsten Stockwerks beschädigt, doch kann er in Analogie zu den </w:t>
      </w:r>
      <w:r>
        <w:t>anderen Zahlen mühelos ergänzt werden.</w:t>
      </w:r>
    </w:p>
  </w:footnote>
  <w:footnote w:id="190">
    <w:p w:rsidR="00BB7EDA" w:rsidRPr="007D72B3" w:rsidRDefault="007D72B3">
      <w:pPr>
        <w:pStyle w:val="Footnote0"/>
        <w:shd w:val="clear" w:color="auto" w:fill="auto"/>
        <w:tabs>
          <w:tab w:val="left" w:pos="288"/>
        </w:tabs>
        <w:ind w:left="320" w:hanging="320"/>
        <w:rPr>
          <w:lang w:val="en-US"/>
        </w:rPr>
      </w:pPr>
      <w:r>
        <w:rPr>
          <w:rStyle w:val="Footnote7ptSmallCaps"/>
          <w:vertAlign w:val="superscript"/>
        </w:rPr>
        <w:footnoteRef/>
      </w:r>
      <w:r>
        <w:rPr>
          <w:rStyle w:val="Footnote7ptSmallCaps"/>
        </w:rPr>
        <w:tab/>
        <w:t xml:space="preserve">Gesenius/Meyer/Donner: </w:t>
      </w:r>
      <w:r>
        <w:t xml:space="preserve">Hebräisches und aramäisches Handwörterbuch über das Alte Testament, S. 122; </w:t>
      </w:r>
      <w:r>
        <w:rPr>
          <w:rStyle w:val="Footnote7ptSmallCaps"/>
        </w:rPr>
        <w:t xml:space="preserve">Vangemeren: </w:t>
      </w:r>
      <w:r>
        <w:t xml:space="preserve">New International Dictionary of Old Testament Theology &amp; Exegesis, Bd. </w:t>
      </w:r>
      <w:r w:rsidRPr="007D72B3">
        <w:rPr>
          <w:lang w:val="en-US"/>
        </w:rPr>
        <w:t>IV, S. 430.</w:t>
      </w:r>
    </w:p>
  </w:footnote>
  <w:footnote w:id="191">
    <w:p w:rsidR="00BB7EDA" w:rsidRPr="007D72B3" w:rsidRDefault="007D72B3">
      <w:pPr>
        <w:pStyle w:val="Footnote0"/>
        <w:shd w:val="clear" w:color="auto" w:fill="auto"/>
        <w:tabs>
          <w:tab w:val="left" w:pos="288"/>
        </w:tabs>
        <w:ind w:left="320" w:hanging="320"/>
        <w:jc w:val="left"/>
        <w:rPr>
          <w:lang w:val="en-US"/>
        </w:rPr>
      </w:pPr>
      <w:r>
        <w:rPr>
          <w:rStyle w:val="Footnote7ptSmallCaps"/>
          <w:vertAlign w:val="superscript"/>
        </w:rPr>
        <w:footnoteRef/>
      </w:r>
      <w:r w:rsidRPr="007D72B3">
        <w:rPr>
          <w:rStyle w:val="Footnote7ptSmallCaps"/>
          <w:lang w:val="en-US"/>
        </w:rPr>
        <w:tab/>
        <w:t>Boiterweck/Ringgren</w:t>
      </w:r>
      <w:r w:rsidRPr="007D72B3">
        <w:rPr>
          <w:rStyle w:val="Footnote7ptSmallCaps"/>
          <w:lang w:val="en-US"/>
        </w:rPr>
        <w:t xml:space="preserve">: </w:t>
      </w:r>
      <w:r w:rsidRPr="007D72B3">
        <w:rPr>
          <w:lang w:val="en-US"/>
        </w:rPr>
        <w:t>Theological Dictionary of the Old Testament, Bd. I, S. 466-467.</w:t>
      </w:r>
    </w:p>
  </w:footnote>
  <w:footnote w:id="192">
    <w:p w:rsidR="00BB7EDA" w:rsidRDefault="007D72B3">
      <w:pPr>
        <w:pStyle w:val="Footnote0"/>
        <w:shd w:val="clear" w:color="auto" w:fill="auto"/>
        <w:tabs>
          <w:tab w:val="left" w:pos="288"/>
        </w:tabs>
        <w:ind w:left="320" w:hanging="320"/>
        <w:jc w:val="left"/>
      </w:pPr>
      <w:r>
        <w:rPr>
          <w:vertAlign w:val="superscript"/>
        </w:rPr>
        <w:footnoteRef/>
      </w:r>
      <w:r w:rsidRPr="007D72B3">
        <w:rPr>
          <w:lang w:val="en-US"/>
        </w:rPr>
        <w:tab/>
        <w:t xml:space="preserve">Dies entspricht der sumerischen Bezeichnung </w:t>
      </w:r>
      <w:r w:rsidRPr="007D72B3">
        <w:rPr>
          <w:rStyle w:val="Footnote75ptItalic"/>
          <w:lang w:val="en-US"/>
        </w:rPr>
        <w:t>kn-dingir-ra</w:t>
      </w:r>
      <w:r w:rsidRPr="007D72B3">
        <w:rPr>
          <w:lang w:val="en-US"/>
        </w:rPr>
        <w:t xml:space="preserve"> </w:t>
      </w:r>
      <w:r w:rsidRPr="007D72B3">
        <w:rPr>
          <w:rStyle w:val="Footnote7ptSmallCaps"/>
          <w:lang w:val="en-US"/>
        </w:rPr>
        <w:t xml:space="preserve">(Botterweck /Ring- gren: </w:t>
      </w:r>
      <w:r w:rsidRPr="007D72B3">
        <w:rPr>
          <w:lang w:val="en-US"/>
        </w:rPr>
        <w:t xml:space="preserve">Theological Dictionary of the Old Testament, Bd. </w:t>
      </w:r>
      <w:r>
        <w:t>I, S. 466.)</w:t>
      </w:r>
    </w:p>
  </w:footnote>
  <w:footnote w:id="193">
    <w:p w:rsidR="00BB7EDA" w:rsidRDefault="007D72B3">
      <w:pPr>
        <w:pStyle w:val="Footnote0"/>
        <w:shd w:val="clear" w:color="auto" w:fill="auto"/>
        <w:tabs>
          <w:tab w:val="left" w:pos="288"/>
        </w:tabs>
        <w:ind w:left="320" w:hanging="320"/>
        <w:jc w:val="left"/>
      </w:pPr>
      <w:r>
        <w:rPr>
          <w:rStyle w:val="Footnote7ptSmallCaps"/>
          <w:vertAlign w:val="superscript"/>
        </w:rPr>
        <w:footnoteRef/>
      </w:r>
      <w:r>
        <w:rPr>
          <w:rStyle w:val="Footnote7ptSmallCaps"/>
        </w:rPr>
        <w:tab/>
        <w:t xml:space="preserve">Köhler/Baumgartner: </w:t>
      </w:r>
      <w:r>
        <w:t>Hebräisches und aramäis</w:t>
      </w:r>
      <w:r>
        <w:t>ches Lexikon zum Alten Testament, Bd. I, S. 103.</w:t>
      </w:r>
    </w:p>
  </w:footnote>
  <w:footnote w:id="194">
    <w:p w:rsidR="00BB7EDA" w:rsidRDefault="007D72B3">
      <w:pPr>
        <w:pStyle w:val="Footnote0"/>
        <w:shd w:val="clear" w:color="auto" w:fill="auto"/>
        <w:tabs>
          <w:tab w:val="left" w:pos="283"/>
        </w:tabs>
        <w:ind w:left="320" w:hanging="320"/>
        <w:jc w:val="left"/>
      </w:pPr>
      <w:r>
        <w:rPr>
          <w:rStyle w:val="Footnote7ptSmallCaps"/>
          <w:vertAlign w:val="superscript"/>
        </w:rPr>
        <w:footnoteRef/>
      </w:r>
      <w:r>
        <w:rPr>
          <w:rStyle w:val="Footnote7ptSmallCaps"/>
        </w:rPr>
        <w:tab/>
        <w:t xml:space="preserve">Gesenius/Meyer/Donner: </w:t>
      </w:r>
      <w:r>
        <w:t>Hebräisches und aramäisches Handwörterbuch über das Alte Testament, S. 122.</w:t>
      </w:r>
    </w:p>
  </w:footnote>
  <w:footnote w:id="195">
    <w:p w:rsidR="00BB7EDA" w:rsidRDefault="007D72B3">
      <w:pPr>
        <w:pStyle w:val="Footnote0"/>
        <w:shd w:val="clear" w:color="auto" w:fill="auto"/>
        <w:tabs>
          <w:tab w:val="left" w:pos="278"/>
        </w:tabs>
        <w:spacing w:line="192" w:lineRule="exact"/>
        <w:ind w:left="340"/>
        <w:jc w:val="left"/>
      </w:pPr>
      <w:r>
        <w:rPr>
          <w:vertAlign w:val="superscript"/>
        </w:rPr>
        <w:footnoteRef/>
      </w:r>
      <w:r>
        <w:tab/>
        <w:t xml:space="preserve">Im griechischen Text des NT findet sich das Wort </w:t>
      </w:r>
      <w:r>
        <w:rPr>
          <w:rStyle w:val="Footnote75ptItalic"/>
        </w:rPr>
        <w:t>babylön</w:t>
      </w:r>
      <w:r>
        <w:t xml:space="preserve"> an folgenden Stellen: Mat 1,11.12.17; Apg 7,43; IPet 5,13; Off 14,8; 16,19; 17,5; 18,2.10.21.</w:t>
      </w:r>
    </w:p>
  </w:footnote>
  <w:footnote w:id="196">
    <w:p w:rsidR="00BB7EDA" w:rsidRDefault="007D72B3">
      <w:pPr>
        <w:pStyle w:val="Footnote0"/>
        <w:shd w:val="clear" w:color="auto" w:fill="auto"/>
        <w:tabs>
          <w:tab w:val="left" w:pos="283"/>
        </w:tabs>
        <w:spacing w:line="192" w:lineRule="exact"/>
        <w:ind w:firstLine="0"/>
      </w:pPr>
      <w:r>
        <w:rPr>
          <w:vertAlign w:val="superscript"/>
        </w:rPr>
        <w:footnoteRef/>
      </w:r>
      <w:r>
        <w:tab/>
        <w:t xml:space="preserve">Hebräische Aussprache </w:t>
      </w:r>
      <w:r>
        <w:rPr>
          <w:rStyle w:val="Footnote75ptItalic"/>
        </w:rPr>
        <w:t>balal (&lt; balala).</w:t>
      </w:r>
    </w:p>
  </w:footnote>
  <w:footnote w:id="197">
    <w:p w:rsidR="00BB7EDA" w:rsidRDefault="007D72B3">
      <w:pPr>
        <w:pStyle w:val="Footnote0"/>
        <w:shd w:val="clear" w:color="auto" w:fill="auto"/>
        <w:tabs>
          <w:tab w:val="left" w:pos="283"/>
        </w:tabs>
        <w:spacing w:line="192" w:lineRule="exact"/>
        <w:ind w:firstLine="0"/>
      </w:pPr>
      <w:r>
        <w:rPr>
          <w:rStyle w:val="Footnote75ptItalic"/>
          <w:vertAlign w:val="superscript"/>
        </w:rPr>
        <w:footnoteRef/>
      </w:r>
      <w:r>
        <w:rPr>
          <w:rStyle w:val="Footnote75ptItalic"/>
        </w:rPr>
        <w:tab/>
        <w:t>=</w:t>
      </w:r>
      <w:r>
        <w:t xml:space="preserve"> hebr. „Verwirrung".</w:t>
      </w:r>
    </w:p>
  </w:footnote>
  <w:footnote w:id="198">
    <w:p w:rsidR="00BB7EDA" w:rsidRDefault="007D72B3">
      <w:pPr>
        <w:pStyle w:val="Footnote0"/>
        <w:shd w:val="clear" w:color="auto" w:fill="auto"/>
        <w:tabs>
          <w:tab w:val="left" w:pos="278"/>
        </w:tabs>
        <w:spacing w:line="192" w:lineRule="exact"/>
        <w:ind w:firstLine="0"/>
      </w:pPr>
      <w:r>
        <w:rPr>
          <w:vertAlign w:val="superscript"/>
        </w:rPr>
        <w:footnoteRef/>
      </w:r>
      <w:r>
        <w:tab/>
        <w:t xml:space="preserve">Vgl. z.B. </w:t>
      </w:r>
      <w:r>
        <w:rPr>
          <w:rStyle w:val="Footnote7ptSmallCaps"/>
        </w:rPr>
        <w:t xml:space="preserve">Parrot: </w:t>
      </w:r>
      <w:r>
        <w:t>La Tour de Babel, S. 9.</w:t>
      </w:r>
    </w:p>
  </w:footnote>
  <w:footnote w:id="199">
    <w:p w:rsidR="00BB7EDA" w:rsidRDefault="007D72B3">
      <w:pPr>
        <w:pStyle w:val="Footnote0"/>
        <w:shd w:val="clear" w:color="auto" w:fill="auto"/>
        <w:tabs>
          <w:tab w:val="left" w:pos="283"/>
        </w:tabs>
        <w:spacing w:line="192" w:lineRule="exact"/>
        <w:ind w:left="340"/>
      </w:pPr>
      <w:r>
        <w:rPr>
          <w:vertAlign w:val="superscript"/>
        </w:rPr>
        <w:footnoteRef/>
      </w:r>
      <w:r>
        <w:tab/>
        <w:t xml:space="preserve">Die Wurzel </w:t>
      </w:r>
      <w:r>
        <w:rPr>
          <w:rStyle w:val="Footnote75ptItalic"/>
        </w:rPr>
        <w:t>bll</w:t>
      </w:r>
      <w:r>
        <w:t xml:space="preserve"> findet sich in verschiedenen semit</w:t>
      </w:r>
      <w:r>
        <w:t xml:space="preserve">ischen Sprachen </w:t>
      </w:r>
      <w:r>
        <w:rPr>
          <w:rStyle w:val="Footnote7ptSmallCaps"/>
        </w:rPr>
        <w:t xml:space="preserve">(Gesenius/ Meyer/Donner: </w:t>
      </w:r>
      <w:r>
        <w:t>Hebräisches und aramäisches Handwörterbuch über das Alte Testament, Bd. I, S. 153).</w:t>
      </w:r>
    </w:p>
    <w:p w:rsidR="00BB7EDA" w:rsidRDefault="007D72B3">
      <w:pPr>
        <w:pStyle w:val="Footnote0"/>
        <w:shd w:val="clear" w:color="auto" w:fill="auto"/>
        <w:spacing w:line="192" w:lineRule="exact"/>
        <w:ind w:left="340" w:firstLine="0"/>
      </w:pPr>
      <w:r>
        <w:t xml:space="preserve">Nachfolgend eine Reihe von Beispielen: akkadisch: </w:t>
      </w:r>
      <w:r>
        <w:rPr>
          <w:rStyle w:val="Footnote75ptItalic"/>
        </w:rPr>
        <w:t>balclu</w:t>
      </w:r>
      <w:r>
        <w:t xml:space="preserve"> („besprengen", „vermischen"), punisch: </w:t>
      </w:r>
      <w:r>
        <w:rPr>
          <w:rStyle w:val="Footnote75ptItalic"/>
        </w:rPr>
        <w:t>bll</w:t>
      </w:r>
      <w:r>
        <w:t xml:space="preserve"> („vermischtes Opfer"</w:t>
      </w:r>
      <w:r>
        <w:t xml:space="preserve">), arabisch: </w:t>
      </w:r>
      <w:r>
        <w:rPr>
          <w:rStyle w:val="Footnote75ptItalic"/>
        </w:rPr>
        <w:t>balla</w:t>
      </w:r>
      <w:r>
        <w:t xml:space="preserve"> („be-</w:t>
      </w:r>
    </w:p>
  </w:footnote>
  <w:footnote w:id="200">
    <w:p w:rsidR="00BB7EDA" w:rsidRDefault="007D72B3">
      <w:pPr>
        <w:pStyle w:val="Footnote0"/>
        <w:shd w:val="clear" w:color="auto" w:fill="auto"/>
        <w:tabs>
          <w:tab w:val="left" w:pos="293"/>
        </w:tabs>
        <w:spacing w:line="192" w:lineRule="exact"/>
        <w:ind w:left="340"/>
      </w:pPr>
      <w:r>
        <w:rPr>
          <w:vertAlign w:val="superscript"/>
        </w:rPr>
        <w:footnoteRef/>
      </w:r>
      <w:r>
        <w:tab/>
        <w:t xml:space="preserve">Dies steht diametral im Gegensatz zur Meinung, dass alle heutigen Sprachen </w:t>
      </w:r>
      <w:r>
        <w:rPr>
          <w:rStyle w:val="Footnote75ptItalic"/>
        </w:rPr>
        <w:t>monopliyletisch</w:t>
      </w:r>
      <w:r>
        <w:t xml:space="preserve"> auf </w:t>
      </w:r>
      <w:r>
        <w:rPr>
          <w:rStyle w:val="Footnote75ptItalic"/>
        </w:rPr>
        <w:t>eine</w:t>
      </w:r>
      <w:r>
        <w:t xml:space="preserve"> Ursprache zurückgeführt werden könnten (vgl. oben unter 3.1.7).</w:t>
      </w:r>
    </w:p>
  </w:footnote>
  <w:footnote w:id="201">
    <w:p w:rsidR="00BB7EDA" w:rsidRDefault="007D72B3">
      <w:pPr>
        <w:pStyle w:val="Footnote0"/>
        <w:shd w:val="clear" w:color="auto" w:fill="auto"/>
        <w:tabs>
          <w:tab w:val="left" w:pos="293"/>
        </w:tabs>
        <w:spacing w:line="192" w:lineRule="exact"/>
        <w:ind w:left="340"/>
      </w:pPr>
      <w:r>
        <w:rPr>
          <w:vertAlign w:val="superscript"/>
        </w:rPr>
        <w:footnoteRef/>
      </w:r>
      <w:r>
        <w:tab/>
        <w:t>In diesem Zusammenhang drängt sich eine frappante Parallele zur</w:t>
      </w:r>
      <w:r>
        <w:t xml:space="preserve"> Biologie auf. Während Evolutiontheoretiker die Tiere aller Stämme auf </w:t>
      </w:r>
      <w:r>
        <w:rPr>
          <w:rStyle w:val="Footnote75ptItalic"/>
        </w:rPr>
        <w:t>eine</w:t>
      </w:r>
      <w:r>
        <w:t xml:space="preserve"> Urform zurückführen wollen, leiten schöpfungstheoretisch orientierte Biologen die zahlreichen heutigen Arten auf eine Vielzahl von „Grundtypen" zurück, die aber bei weitem nicht mi</w:t>
      </w:r>
      <w:r>
        <w:t>t den Tierstämmen zusammenfallen. Die Zahl der „Grundtypen" ist aber deutlich geringer als die Zahl der heute als „biologi</w:t>
      </w:r>
      <w:r>
        <w:softHyphen/>
        <w:t xml:space="preserve">sche Arten" definierten Tierarten, (vgl. dazu </w:t>
      </w:r>
      <w:r>
        <w:rPr>
          <w:rStyle w:val="Footnote7ptSmallCaps"/>
        </w:rPr>
        <w:t xml:space="preserve">Scherer: </w:t>
      </w:r>
      <w:r>
        <w:t xml:space="preserve">Typen des Lebens.) Während das evolutionstheoretische Modell als </w:t>
      </w:r>
      <w:r>
        <w:rPr>
          <w:rStyle w:val="Footnote75ptItalic"/>
        </w:rPr>
        <w:t>monopliyletis</w:t>
      </w:r>
      <w:r>
        <w:rPr>
          <w:rStyle w:val="Footnote75ptItalic"/>
        </w:rPr>
        <w:t>ch</w:t>
      </w:r>
      <w:r>
        <w:t xml:space="preserve"> bezeichnet werden kann, lässt sich das schöpfungstheoretische indessen als </w:t>
      </w:r>
      <w:r>
        <w:rPr>
          <w:rStyle w:val="Footnote75ptItalic"/>
        </w:rPr>
        <w:t xml:space="preserve">polyphytetisch </w:t>
      </w:r>
      <w:r>
        <w:t>charakterisieren. Der Gedanke des polyphyletischen Ursprungs der Lebewe</w:t>
      </w:r>
      <w:r>
        <w:softHyphen/>
        <w:t>sen steht im Einklang mit der im Schöpfungsbericht der Genesis lOmal vorkommenden Bemerkung</w:t>
      </w:r>
      <w:r>
        <w:t>, dass die Lebewesen „nach ihren Arten" er</w:t>
      </w:r>
      <w:r>
        <w:softHyphen/>
        <w:t xml:space="preserve">schaffen worden sind (vgl. die philologische Untersuchung des Begriffs „nach ihren Arten" in: </w:t>
      </w:r>
      <w:r>
        <w:rPr>
          <w:rStyle w:val="Footnote7ptSmallCaps"/>
        </w:rPr>
        <w:t xml:space="preserve">Ouweneel: </w:t>
      </w:r>
      <w:r>
        <w:t xml:space="preserve">Gedanken zum Schöpfungsbericht, S. 139-146). Zum Grundtypenmodell in der Schöpfungsforschung vgl.: </w:t>
      </w:r>
      <w:r>
        <w:rPr>
          <w:rStyle w:val="Footnote7ptSmallCaps"/>
        </w:rPr>
        <w:t>Junker/Sch</w:t>
      </w:r>
      <w:r>
        <w:rPr>
          <w:rStyle w:val="Footnote7ptSmallCaps"/>
        </w:rPr>
        <w:t xml:space="preserve">erer: </w:t>
      </w:r>
      <w:r>
        <w:t xml:space="preserve">Evolution - ein kritisches Lehrbuch, S. 27-56; </w:t>
      </w:r>
      <w:r>
        <w:rPr>
          <w:rStyle w:val="Footnote7ptSmallCaps"/>
        </w:rPr>
        <w:t xml:space="preserve">Junker: </w:t>
      </w:r>
      <w:r>
        <w:t>Wie das Zebra seine Streifen bekam.</w:t>
      </w:r>
    </w:p>
  </w:footnote>
  <w:footnote w:id="202">
    <w:p w:rsidR="00BB7EDA" w:rsidRDefault="007D72B3">
      <w:pPr>
        <w:pStyle w:val="Footnote0"/>
        <w:shd w:val="clear" w:color="auto" w:fill="auto"/>
        <w:spacing w:line="160" w:lineRule="exact"/>
        <w:ind w:firstLine="0"/>
        <w:jc w:val="left"/>
      </w:pPr>
      <w:r>
        <w:rPr>
          <w:rStyle w:val="Footnote7pt"/>
          <w:vertAlign w:val="superscript"/>
        </w:rPr>
        <w:footnoteRef/>
      </w:r>
      <w:r>
        <w:rPr>
          <w:rStyle w:val="Footnote7pt"/>
        </w:rPr>
        <w:t xml:space="preserve"> Vgl. dazu </w:t>
      </w:r>
      <w:r>
        <w:t xml:space="preserve">ausführlich </w:t>
      </w:r>
      <w:r>
        <w:rPr>
          <w:rStyle w:val="Footnote7pt"/>
        </w:rPr>
        <w:t xml:space="preserve">z.B.: </w:t>
      </w:r>
      <w:r>
        <w:rPr>
          <w:rStyle w:val="Footnote7ptSmallCaps"/>
        </w:rPr>
        <w:t xml:space="preserve">Kedar: </w:t>
      </w:r>
      <w:r>
        <w:t>Biblische Semantik.</w:t>
      </w:r>
    </w:p>
  </w:footnote>
  <w:footnote w:id="203">
    <w:p w:rsidR="00BB7EDA" w:rsidRDefault="007D72B3">
      <w:pPr>
        <w:pStyle w:val="Footnote40"/>
        <w:shd w:val="clear" w:color="auto" w:fill="auto"/>
        <w:tabs>
          <w:tab w:val="left" w:pos="283"/>
        </w:tabs>
        <w:spacing w:line="160" w:lineRule="exact"/>
      </w:pPr>
      <w:r>
        <w:rPr>
          <w:vertAlign w:val="superscript"/>
        </w:rPr>
        <w:footnoteRef/>
      </w:r>
      <w:r>
        <w:tab/>
        <w:t>D.h. mit einer typisch französischen Wendung.</w:t>
      </w:r>
    </w:p>
  </w:footnote>
  <w:footnote w:id="204">
    <w:p w:rsidR="00BB7EDA" w:rsidRDefault="007D72B3">
      <w:pPr>
        <w:pStyle w:val="Footnote0"/>
        <w:shd w:val="clear" w:color="auto" w:fill="auto"/>
        <w:tabs>
          <w:tab w:val="left" w:pos="278"/>
        </w:tabs>
        <w:spacing w:line="160" w:lineRule="exact"/>
        <w:ind w:firstLine="0"/>
      </w:pPr>
      <w:r>
        <w:rPr>
          <w:vertAlign w:val="superscript"/>
        </w:rPr>
        <w:footnoteRef/>
      </w:r>
      <w:r>
        <w:tab/>
        <w:t xml:space="preserve">Zitiert nach: </w:t>
      </w:r>
      <w:r>
        <w:rPr>
          <w:rStyle w:val="Footnote7ptSmallCaps"/>
        </w:rPr>
        <w:t xml:space="preserve">Zimmer: </w:t>
      </w:r>
      <w:r>
        <w:rPr>
          <w:rStyle w:val="FootnoteSmallCaps"/>
        </w:rPr>
        <w:t xml:space="preserve">So </w:t>
      </w:r>
      <w:r>
        <w:t xml:space="preserve">kommt der Mensch zur </w:t>
      </w:r>
      <w:r>
        <w:t>Sprache, S. 134-135.</w:t>
      </w:r>
    </w:p>
  </w:footnote>
  <w:footnote w:id="205">
    <w:p w:rsidR="00BB7EDA" w:rsidRDefault="007D72B3">
      <w:pPr>
        <w:pStyle w:val="Footnote0"/>
        <w:shd w:val="clear" w:color="auto" w:fill="auto"/>
        <w:tabs>
          <w:tab w:val="left" w:pos="283"/>
        </w:tabs>
        <w:spacing w:line="192" w:lineRule="exact"/>
        <w:ind w:left="320" w:hanging="320"/>
      </w:pPr>
      <w:r>
        <w:rPr>
          <w:vertAlign w:val="superscript"/>
        </w:rPr>
        <w:footnoteRef/>
      </w:r>
      <w:r>
        <w:tab/>
        <w:t xml:space="preserve">Ich habe früher schon darauf hingewiesen, dass die Begriffe „Tiefen-" und „Oberflächenstruktur" im Sinne des früheren </w:t>
      </w:r>
      <w:r>
        <w:rPr>
          <w:rStyle w:val="Footnote7ptSmallCaps"/>
        </w:rPr>
        <w:t xml:space="preserve">Chomsky </w:t>
      </w:r>
      <w:r>
        <w:t>veraltet sind. Wenn ich diese Ausdrücke nun dennoch weiter verwende, so lediglich in ganz vorsichtiger Weis</w:t>
      </w:r>
      <w:r>
        <w:t>e mit den bereits gemachten Einschränkungen und Modifi</w:t>
      </w:r>
      <w:r>
        <w:softHyphen/>
        <w:t>kationen grundsätzlicher Art.</w:t>
      </w:r>
    </w:p>
  </w:footnote>
  <w:footnote w:id="206">
    <w:p w:rsidR="00BB7EDA" w:rsidRDefault="007D72B3">
      <w:pPr>
        <w:pStyle w:val="Footnote0"/>
        <w:shd w:val="clear" w:color="auto" w:fill="auto"/>
        <w:tabs>
          <w:tab w:val="left" w:pos="288"/>
        </w:tabs>
        <w:spacing w:line="192" w:lineRule="exact"/>
        <w:ind w:firstLine="0"/>
      </w:pPr>
      <w:r>
        <w:rPr>
          <w:vertAlign w:val="superscript"/>
        </w:rPr>
        <w:footnoteRef/>
      </w:r>
      <w:r>
        <w:tab/>
        <w:t xml:space="preserve">Die gräzisierte Form lautet </w:t>
      </w:r>
      <w:r>
        <w:rPr>
          <w:rStyle w:val="Footnote75ptItalic"/>
        </w:rPr>
        <w:t>Seth.</w:t>
      </w:r>
    </w:p>
  </w:footnote>
  <w:footnote w:id="207">
    <w:p w:rsidR="00BB7EDA" w:rsidRDefault="007D72B3">
      <w:pPr>
        <w:pStyle w:val="Footnote0"/>
        <w:shd w:val="clear" w:color="auto" w:fill="auto"/>
        <w:tabs>
          <w:tab w:val="left" w:pos="293"/>
        </w:tabs>
        <w:spacing w:line="192" w:lineRule="exact"/>
        <w:ind w:left="320" w:hanging="320"/>
      </w:pPr>
      <w:r>
        <w:rPr>
          <w:vertAlign w:val="superscript"/>
        </w:rPr>
        <w:footnoteRef/>
      </w:r>
      <w:r>
        <w:tab/>
        <w:t>Unter dem Begriff „hohle Wurzeln" versteht man in den semitischen Spra</w:t>
      </w:r>
      <w:r>
        <w:softHyphen/>
        <w:t>chen Wortwurzeln, die im Gegensatz zum Üblichen nicht aus drei</w:t>
      </w:r>
      <w:r>
        <w:t>, sondern aus zwei Konsonanten bestehen. Zwischen die zwei Konsonanten wird aber ein Waw bzw. ein Jod eingeschoben. Auf diese Weise werden diese zweira- dikaligen Wortwurzeln den dreiradikaligen angeglichen.</w:t>
      </w:r>
    </w:p>
  </w:footnote>
  <w:footnote w:id="208">
    <w:p w:rsidR="00BB7EDA" w:rsidRDefault="007D72B3">
      <w:pPr>
        <w:pStyle w:val="Footnote0"/>
        <w:shd w:val="clear" w:color="auto" w:fill="auto"/>
        <w:tabs>
          <w:tab w:val="left" w:pos="293"/>
        </w:tabs>
        <w:spacing w:line="160" w:lineRule="exact"/>
        <w:ind w:firstLine="0"/>
      </w:pPr>
      <w:r>
        <w:rPr>
          <w:vertAlign w:val="superscript"/>
        </w:rPr>
        <w:footnoteRef/>
      </w:r>
      <w:r>
        <w:tab/>
        <w:t xml:space="preserve">Das Wort „Perser" (= </w:t>
      </w:r>
      <w:r>
        <w:rPr>
          <w:rStyle w:val="Footnote75ptItalic"/>
        </w:rPr>
        <w:t>paras)</w:t>
      </w:r>
      <w:r>
        <w:t xml:space="preserve"> klingt an das aram</w:t>
      </w:r>
      <w:r>
        <w:t>äische Wort „Halbmine" (=</w:t>
      </w:r>
    </w:p>
  </w:footnote>
  <w:footnote w:id="209">
    <w:p w:rsidR="00BB7EDA" w:rsidRDefault="007D72B3">
      <w:pPr>
        <w:pStyle w:val="Footnote0"/>
        <w:shd w:val="clear" w:color="auto" w:fill="auto"/>
        <w:tabs>
          <w:tab w:val="left" w:pos="283"/>
        </w:tabs>
        <w:ind w:left="320" w:hanging="320"/>
        <w:jc w:val="left"/>
      </w:pPr>
      <w:r>
        <w:rPr>
          <w:vertAlign w:val="superscript"/>
        </w:rPr>
        <w:footnoteRef/>
      </w:r>
      <w:r>
        <w:tab/>
      </w:r>
      <w:r>
        <w:rPr>
          <w:rStyle w:val="Footnote75ptItalic"/>
        </w:rPr>
        <w:t>kudur</w:t>
      </w:r>
      <w:r>
        <w:t xml:space="preserve"> ist das elamitische Wort für „Sklave"; </w:t>
      </w:r>
      <w:r>
        <w:rPr>
          <w:rStyle w:val="Footnote75ptItalic"/>
        </w:rPr>
        <w:t>lagamar</w:t>
      </w:r>
      <w:r>
        <w:t xml:space="preserve"> war eine Hauptgöttin im Pantheon der Elamiter </w:t>
      </w:r>
      <w:r>
        <w:rPr>
          <w:rStyle w:val="Footnote7ptSmallCaps"/>
        </w:rPr>
        <w:t xml:space="preserve">(Price: </w:t>
      </w:r>
      <w:r>
        <w:t xml:space="preserve">The Stones cry out, S. </w:t>
      </w:r>
      <w:r>
        <w:rPr>
          <w:rStyle w:val="Footnote7pt"/>
        </w:rPr>
        <w:t>101).</w:t>
      </w:r>
    </w:p>
  </w:footnote>
  <w:footnote w:id="210">
    <w:p w:rsidR="00BB7EDA" w:rsidRPr="007D72B3" w:rsidRDefault="007D72B3">
      <w:pPr>
        <w:pStyle w:val="Footnote0"/>
        <w:shd w:val="clear" w:color="auto" w:fill="auto"/>
        <w:tabs>
          <w:tab w:val="left" w:pos="278"/>
        </w:tabs>
        <w:ind w:firstLine="0"/>
        <w:rPr>
          <w:lang w:val="en-US"/>
        </w:rPr>
      </w:pPr>
      <w:r>
        <w:footnoteRef/>
      </w:r>
      <w:r w:rsidRPr="007D72B3">
        <w:rPr>
          <w:lang w:val="en-US"/>
        </w:rPr>
        <w:tab/>
        <w:t>p</w:t>
      </w:r>
      <w:r w:rsidRPr="007D72B3">
        <w:rPr>
          <w:vertAlign w:val="subscript"/>
          <w:lang w:val="en-US"/>
        </w:rPr>
        <w:t>R]CE:</w:t>
      </w:r>
      <w:r w:rsidRPr="007D72B3">
        <w:rPr>
          <w:lang w:val="en-US"/>
        </w:rPr>
        <w:t xml:space="preserve"> </w:t>
      </w:r>
      <w:r w:rsidRPr="007D72B3">
        <w:rPr>
          <w:rStyle w:val="FootnoteCandara6pt"/>
          <w:lang w:val="en-US"/>
        </w:rPr>
        <w:t>7</w:t>
      </w:r>
      <w:r w:rsidRPr="007D72B3">
        <w:rPr>
          <w:lang w:val="en-US"/>
        </w:rPr>
        <w:t>p</w:t>
      </w:r>
      <w:r w:rsidRPr="007D72B3">
        <w:rPr>
          <w:vertAlign w:val="subscript"/>
          <w:lang w:val="en-US"/>
        </w:rPr>
        <w:t>e</w:t>
      </w:r>
      <w:r w:rsidRPr="007D72B3">
        <w:rPr>
          <w:lang w:val="en-US"/>
        </w:rPr>
        <w:t xml:space="preserve"> stones cry out, S. 101.</w:t>
      </w:r>
    </w:p>
  </w:footnote>
  <w:footnote w:id="211">
    <w:p w:rsidR="00BB7EDA" w:rsidRDefault="007D72B3">
      <w:pPr>
        <w:pStyle w:val="Footnote0"/>
        <w:shd w:val="clear" w:color="auto" w:fill="auto"/>
        <w:tabs>
          <w:tab w:val="left" w:pos="283"/>
        </w:tabs>
        <w:ind w:firstLine="0"/>
      </w:pPr>
      <w:r>
        <w:rPr>
          <w:rStyle w:val="Footnote7ptSmallCaps"/>
          <w:vertAlign w:val="superscript"/>
        </w:rPr>
        <w:footnoteRef/>
      </w:r>
      <w:r>
        <w:rPr>
          <w:rStyle w:val="Footnote7ptSmallCaps"/>
        </w:rPr>
        <w:tab/>
        <w:t xml:space="preserve">Archer: </w:t>
      </w:r>
      <w:r>
        <w:t>Einleitung in das Alte Testament, Bd. I, S.</w:t>
      </w:r>
    </w:p>
  </w:footnote>
  <w:footnote w:id="212">
    <w:p w:rsidR="00BB7EDA" w:rsidRDefault="007D72B3">
      <w:pPr>
        <w:pStyle w:val="Footnote0"/>
        <w:shd w:val="clear" w:color="auto" w:fill="auto"/>
        <w:tabs>
          <w:tab w:val="left" w:pos="288"/>
        </w:tabs>
        <w:ind w:left="300" w:hanging="300"/>
      </w:pPr>
      <w:r>
        <w:rPr>
          <w:vertAlign w:val="superscript"/>
        </w:rPr>
        <w:footnoteRef/>
      </w:r>
      <w:r>
        <w:tab/>
        <w:t xml:space="preserve">Eine solche ganz spezielle Ausnahme stellt der aramäische Name </w:t>
      </w:r>
      <w:r>
        <w:rPr>
          <w:rStyle w:val="Footnote75ptItalic"/>
        </w:rPr>
        <w:t>kepluis</w:t>
      </w:r>
      <w:r>
        <w:t xml:space="preserve"> dar, der im NT parallel zur griechischen Übersetzung </w:t>
      </w:r>
      <w:r>
        <w:rPr>
          <w:rStyle w:val="Footnote75ptItalic"/>
        </w:rPr>
        <w:t>petros</w:t>
      </w:r>
      <w:r>
        <w:t xml:space="preserve"> verwendet wird (vgl. Joh 1,42; Mat 16,18).</w:t>
      </w:r>
    </w:p>
  </w:footnote>
  <w:footnote w:id="213">
    <w:p w:rsidR="00BB7EDA" w:rsidRDefault="007D72B3">
      <w:pPr>
        <w:pStyle w:val="Footnote0"/>
        <w:shd w:val="clear" w:color="auto" w:fill="auto"/>
        <w:tabs>
          <w:tab w:val="left" w:pos="288"/>
        </w:tabs>
        <w:ind w:left="320" w:hanging="320"/>
      </w:pPr>
      <w:r>
        <w:rPr>
          <w:vertAlign w:val="superscript"/>
        </w:rPr>
        <w:footnoteRef/>
      </w:r>
      <w:r>
        <w:tab/>
        <w:t xml:space="preserve">Das hebräische Wort </w:t>
      </w:r>
      <w:r>
        <w:rPr>
          <w:rStyle w:val="Footnote75ptItalic"/>
        </w:rPr>
        <w:t>'ijim</w:t>
      </w:r>
      <w:r>
        <w:t xml:space="preserve"> bezeichnet im AT insbesondere die Inseln und Küstenlä</w:t>
      </w:r>
      <w:r>
        <w:t xml:space="preserve">nder des Mittelmeeres </w:t>
      </w:r>
      <w:r>
        <w:rPr>
          <w:rStyle w:val="Footnote7ptSmallCaps"/>
        </w:rPr>
        <w:t xml:space="preserve">(Block: </w:t>
      </w:r>
      <w:r>
        <w:t xml:space="preserve">Nations/Nationality, S. </w:t>
      </w:r>
      <w:r>
        <w:rPr>
          <w:rStyle w:val="Footnote7pt"/>
        </w:rPr>
        <w:t xml:space="preserve">967), </w:t>
      </w:r>
      <w:r>
        <w:t>hier ist es ein Hinweis auf das japhetitische Europa.</w:t>
      </w:r>
    </w:p>
  </w:footnote>
  <w:footnote w:id="214">
    <w:p w:rsidR="00BB7EDA" w:rsidRDefault="007D72B3">
      <w:pPr>
        <w:pStyle w:val="Footnote0"/>
        <w:shd w:val="clear" w:color="auto" w:fill="auto"/>
        <w:tabs>
          <w:tab w:val="left" w:pos="278"/>
        </w:tabs>
        <w:ind w:left="320" w:hanging="320"/>
      </w:pPr>
      <w:r>
        <w:rPr>
          <w:vertAlign w:val="superscript"/>
        </w:rPr>
        <w:footnoteRef/>
      </w:r>
      <w:r>
        <w:tab/>
        <w:t xml:space="preserve">Hebr. </w:t>
      </w:r>
      <w:r>
        <w:rPr>
          <w:rStyle w:val="Footnote75ptItalic"/>
        </w:rPr>
        <w:t>goi</w:t>
      </w:r>
      <w:r>
        <w:t xml:space="preserve"> (pl. </w:t>
      </w:r>
      <w:r>
        <w:rPr>
          <w:rStyle w:val="Footnote75ptItalic"/>
        </w:rPr>
        <w:t>gojim)</w:t>
      </w:r>
      <w:r>
        <w:t xml:space="preserve"> = eine politische Gemeinschaft. Dieses selbe Wort im Plural ist in den nachfolgenden Zitaten aus Gen 10 immer mit „Nat</w:t>
      </w:r>
      <w:r>
        <w:t xml:space="preserve">ionen" übersetzt worden (vgl. </w:t>
      </w:r>
      <w:r>
        <w:rPr>
          <w:rStyle w:val="Footnote7ptSmallCaps"/>
        </w:rPr>
        <w:t xml:space="preserve">Block: </w:t>
      </w:r>
      <w:r>
        <w:t xml:space="preserve">Nations/Nationality, S. </w:t>
      </w:r>
      <w:r>
        <w:rPr>
          <w:rStyle w:val="Footnote7pt"/>
        </w:rPr>
        <w:t>971.</w:t>
      </w:r>
    </w:p>
  </w:footnote>
  <w:footnote w:id="215">
    <w:p w:rsidR="00BB7EDA" w:rsidRDefault="007D72B3">
      <w:pPr>
        <w:pStyle w:val="Footnote0"/>
        <w:shd w:val="clear" w:color="auto" w:fill="auto"/>
        <w:tabs>
          <w:tab w:val="left" w:pos="278"/>
        </w:tabs>
        <w:ind w:firstLine="0"/>
      </w:pPr>
      <w:r>
        <w:rPr>
          <w:rStyle w:val="Footnote10pt1"/>
          <w:vertAlign w:val="superscript"/>
        </w:rPr>
        <w:footnoteRef/>
      </w:r>
      <w:r>
        <w:rPr>
          <w:rStyle w:val="Footnote7ptSmallCapsSpacing0pt0"/>
        </w:rPr>
        <w:tab/>
        <w:t xml:space="preserve">Junker/Scherer: </w:t>
      </w:r>
      <w:r>
        <w:t xml:space="preserve">Entstehung und Geschichte der Lebewesen, </w:t>
      </w:r>
      <w:r>
        <w:rPr>
          <w:rStyle w:val="Footnote7ptSpacing0pt"/>
        </w:rPr>
        <w:t xml:space="preserve">S. </w:t>
      </w:r>
      <w:r>
        <w:t>200-201.</w:t>
      </w:r>
    </w:p>
  </w:footnote>
  <w:footnote w:id="216">
    <w:p w:rsidR="00BB7EDA" w:rsidRDefault="007D72B3">
      <w:pPr>
        <w:pStyle w:val="Footnote0"/>
        <w:shd w:val="clear" w:color="auto" w:fill="auto"/>
        <w:tabs>
          <w:tab w:val="left" w:pos="283"/>
        </w:tabs>
        <w:ind w:left="320" w:hanging="320"/>
        <w:jc w:val="left"/>
      </w:pPr>
      <w:r>
        <w:rPr>
          <w:vertAlign w:val="superscript"/>
        </w:rPr>
        <w:footnoteRef/>
      </w:r>
      <w:r>
        <w:tab/>
        <w:t xml:space="preserve">Vgl. </w:t>
      </w:r>
      <w:r>
        <w:rPr>
          <w:rStyle w:val="Footnote7ptSmallCaps"/>
        </w:rPr>
        <w:t xml:space="preserve">Cavalli-Sforza: </w:t>
      </w:r>
      <w:r>
        <w:t>Gene, Völker und Sprachen, S. 173. Für weitere Beispie</w:t>
      </w:r>
      <w:r>
        <w:softHyphen/>
        <w:t>le vgl. S. 170-175.</w:t>
      </w:r>
    </w:p>
  </w:footnote>
  <w:footnote w:id="217">
    <w:p w:rsidR="00BB7EDA" w:rsidRDefault="007D72B3">
      <w:pPr>
        <w:pStyle w:val="Footnote0"/>
        <w:shd w:val="clear" w:color="auto" w:fill="auto"/>
        <w:tabs>
          <w:tab w:val="left" w:pos="278"/>
        </w:tabs>
        <w:ind w:left="320" w:hanging="320"/>
        <w:jc w:val="left"/>
      </w:pPr>
      <w:r>
        <w:rPr>
          <w:rStyle w:val="Footnote7ptSmallCaps"/>
          <w:vertAlign w:val="superscript"/>
        </w:rPr>
        <w:footnoteRef/>
      </w:r>
      <w:r>
        <w:rPr>
          <w:rStyle w:val="Footnote7ptSmallCaps"/>
        </w:rPr>
        <w:tab/>
        <w:t xml:space="preserve">Stutz: </w:t>
      </w:r>
      <w:r>
        <w:t>Die Millione</w:t>
      </w:r>
      <w:r>
        <w:t xml:space="preserve">n fehlen, Argumente für eine junge Erde, S. </w:t>
      </w:r>
      <w:r>
        <w:rPr>
          <w:rStyle w:val="Footnote7pt"/>
        </w:rPr>
        <w:t xml:space="preserve">76-78; vgl. </w:t>
      </w:r>
      <w:r>
        <w:t xml:space="preserve">ferner: </w:t>
      </w:r>
      <w:r>
        <w:rPr>
          <w:rStyle w:val="Footnote7ptSmallCaps"/>
        </w:rPr>
        <w:t xml:space="preserve">Scherer: </w:t>
      </w:r>
      <w:r>
        <w:t>Die Suche nach Eden, S. 170-172.</w:t>
      </w:r>
    </w:p>
  </w:footnote>
  <w:footnote w:id="218">
    <w:p w:rsidR="00BB7EDA" w:rsidRDefault="007D72B3">
      <w:pPr>
        <w:pStyle w:val="Footnote0"/>
        <w:shd w:val="clear" w:color="auto" w:fill="auto"/>
        <w:tabs>
          <w:tab w:val="left" w:pos="288"/>
        </w:tabs>
        <w:ind w:firstLine="0"/>
      </w:pPr>
      <w:r>
        <w:rPr>
          <w:vertAlign w:val="superscript"/>
        </w:rPr>
        <w:footnoteRef/>
      </w:r>
      <w:r>
        <w:tab/>
        <w:t>Vgl. Gen 2.</w:t>
      </w:r>
    </w:p>
  </w:footnote>
  <w:footnote w:id="219">
    <w:p w:rsidR="00BB7EDA" w:rsidRDefault="007D72B3">
      <w:pPr>
        <w:pStyle w:val="Footnote0"/>
        <w:shd w:val="clear" w:color="auto" w:fill="auto"/>
        <w:tabs>
          <w:tab w:val="left" w:pos="288"/>
        </w:tabs>
        <w:ind w:firstLine="0"/>
      </w:pPr>
      <w:r>
        <w:rPr>
          <w:vertAlign w:val="superscript"/>
        </w:rPr>
        <w:footnoteRef/>
      </w:r>
      <w:r>
        <w:tab/>
        <w:t>Vgl. Gen 11,1.</w:t>
      </w:r>
    </w:p>
  </w:footnote>
  <w:footnote w:id="220">
    <w:p w:rsidR="00BB7EDA" w:rsidRDefault="007D72B3">
      <w:pPr>
        <w:pStyle w:val="Footnote0"/>
        <w:shd w:val="clear" w:color="auto" w:fill="auto"/>
        <w:tabs>
          <w:tab w:val="left" w:pos="288"/>
        </w:tabs>
        <w:ind w:firstLine="0"/>
      </w:pPr>
      <w:r>
        <w:rPr>
          <w:vertAlign w:val="superscript"/>
        </w:rPr>
        <w:footnoteRef/>
      </w:r>
      <w:r>
        <w:tab/>
        <w:t>Vgl. Gen 11,9.</w:t>
      </w:r>
    </w:p>
  </w:footnote>
  <w:footnote w:id="221">
    <w:p w:rsidR="00BB7EDA" w:rsidRDefault="007D72B3">
      <w:pPr>
        <w:pStyle w:val="Footnote0"/>
        <w:shd w:val="clear" w:color="auto" w:fill="auto"/>
        <w:tabs>
          <w:tab w:val="left" w:pos="288"/>
        </w:tabs>
        <w:ind w:left="340"/>
        <w:jc w:val="left"/>
      </w:pPr>
      <w:r>
        <w:rPr>
          <w:rStyle w:val="Footnote7pt"/>
        </w:rPr>
        <w:footnoteRef/>
      </w:r>
      <w:r>
        <w:rPr>
          <w:rStyle w:val="Footnote7pt"/>
        </w:rPr>
        <w:tab/>
        <w:t xml:space="preserve">Vgl. </w:t>
      </w:r>
      <w:r>
        <w:t xml:space="preserve">den ins Englische übersetzte Text </w:t>
      </w:r>
      <w:r>
        <w:rPr>
          <w:rStyle w:val="Footnote7pt"/>
        </w:rPr>
        <w:t xml:space="preserve">in: </w:t>
      </w:r>
      <w:r>
        <w:rPr>
          <w:rStyle w:val="Footnote7ptSmallCaps"/>
        </w:rPr>
        <w:t xml:space="preserve">Hamilton: </w:t>
      </w:r>
      <w:r>
        <w:t>The Book of Genesis, Chapters 1-17, S. 358.</w:t>
      </w:r>
    </w:p>
  </w:footnote>
  <w:footnote w:id="222">
    <w:p w:rsidR="00BB7EDA" w:rsidRDefault="007D72B3">
      <w:pPr>
        <w:pStyle w:val="Footnote0"/>
        <w:shd w:val="clear" w:color="auto" w:fill="auto"/>
        <w:tabs>
          <w:tab w:val="left" w:pos="288"/>
        </w:tabs>
        <w:ind w:left="340"/>
        <w:jc w:val="left"/>
      </w:pPr>
      <w:r>
        <w:rPr>
          <w:vertAlign w:val="superscript"/>
        </w:rPr>
        <w:footnoteRef/>
      </w:r>
      <w:r>
        <w:tab/>
      </w:r>
      <w:r>
        <w:t>Die zu den folgenden Traditionen in den Fußnoten vermerkten b'blischen Parallelstellen-Verweise stammen jeweils von RL.</w:t>
      </w:r>
    </w:p>
  </w:footnote>
  <w:footnote w:id="223">
    <w:p w:rsidR="00BB7EDA" w:rsidRDefault="007D72B3">
      <w:pPr>
        <w:pStyle w:val="Footnote0"/>
        <w:shd w:val="clear" w:color="auto" w:fill="auto"/>
        <w:tabs>
          <w:tab w:val="left" w:pos="283"/>
        </w:tabs>
        <w:ind w:firstLine="0"/>
      </w:pPr>
      <w:r>
        <w:rPr>
          <w:rStyle w:val="Footnote7ptSmallCaps"/>
          <w:vertAlign w:val="superscript"/>
        </w:rPr>
        <w:footnoteRef/>
      </w:r>
      <w:r>
        <w:rPr>
          <w:rStyle w:val="Footnote7ptSmallCaps"/>
        </w:rPr>
        <w:tab/>
        <w:t xml:space="preserve">Westermann: </w:t>
      </w:r>
      <w:r>
        <w:t>Genesis, Kapitel 1-11, S. 740.</w:t>
      </w:r>
    </w:p>
  </w:footnote>
  <w:footnote w:id="224">
    <w:p w:rsidR="00BB7EDA" w:rsidRDefault="007D72B3">
      <w:pPr>
        <w:pStyle w:val="Footnote0"/>
        <w:shd w:val="clear" w:color="auto" w:fill="auto"/>
        <w:tabs>
          <w:tab w:val="left" w:pos="283"/>
        </w:tabs>
        <w:ind w:left="320" w:hanging="320"/>
        <w:jc w:val="left"/>
      </w:pPr>
      <w:r>
        <w:rPr>
          <w:rStyle w:val="Footnote7ptSmallCaps"/>
          <w:vertAlign w:val="superscript"/>
        </w:rPr>
        <w:footnoteRef/>
      </w:r>
      <w:r>
        <w:rPr>
          <w:rStyle w:val="Footnote7ptSmallCaps"/>
        </w:rPr>
        <w:tab/>
        <w:t xml:space="preserve">Hartmann: </w:t>
      </w:r>
      <w:r>
        <w:t>Der Turmbau zu Babel, Mythos oder Wirklichkeit? Turmbausa</w:t>
      </w:r>
      <w:r>
        <w:softHyphen/>
        <w:t>gen im Vergleich.</w:t>
      </w:r>
    </w:p>
  </w:footnote>
  <w:footnote w:id="225">
    <w:p w:rsidR="00BB7EDA" w:rsidRDefault="007D72B3">
      <w:pPr>
        <w:pStyle w:val="Footnote0"/>
        <w:shd w:val="clear" w:color="auto" w:fill="auto"/>
        <w:ind w:left="340"/>
        <w:jc w:val="left"/>
      </w:pPr>
      <w:r>
        <w:rPr>
          <w:vertAlign w:val="superscript"/>
        </w:rPr>
        <w:t>2/2</w:t>
      </w:r>
      <w:r>
        <w:t xml:space="preserve"> Englischer Text des Gilgamesch-Epos: </w:t>
      </w:r>
      <w:r>
        <w:rPr>
          <w:rStyle w:val="Footnote7ptSmallCaps"/>
        </w:rPr>
        <w:t xml:space="preserve">Pritchard: </w:t>
      </w:r>
      <w:r>
        <w:t>Ancient Near Eastem Texts Relating to the Old Testament, S. 72-99.</w:t>
      </w:r>
    </w:p>
  </w:footnote>
  <w:footnote w:id="226">
    <w:p w:rsidR="00BB7EDA" w:rsidRPr="007D72B3" w:rsidRDefault="007D72B3">
      <w:pPr>
        <w:pStyle w:val="Footnote0"/>
        <w:shd w:val="clear" w:color="auto" w:fill="auto"/>
        <w:tabs>
          <w:tab w:val="left" w:pos="293"/>
        </w:tabs>
        <w:spacing w:line="192" w:lineRule="exact"/>
        <w:ind w:left="320" w:hanging="320"/>
        <w:rPr>
          <w:lang w:val="en-US"/>
        </w:rPr>
      </w:pPr>
      <w:r>
        <w:rPr>
          <w:vertAlign w:val="superscript"/>
        </w:rPr>
        <w:footnoteRef/>
      </w:r>
      <w:r>
        <w:tab/>
        <w:t xml:space="preserve">Der von </w:t>
      </w:r>
      <w:r>
        <w:rPr>
          <w:rStyle w:val="Footnote7ptSmallCaps"/>
        </w:rPr>
        <w:t xml:space="preserve">Layard </w:t>
      </w:r>
      <w:r>
        <w:t>entdeckte Text ist nicht vollständig. Doch es kamen in der Folge noch mehr Fragmente ans Licht, sodass es heute möglich ist</w:t>
      </w:r>
      <w:r>
        <w:t>, aus verschiedenen Bruchstücken, einen umfassenden Text zusammenzusetzen. Die bis heute bekannten Fragmente stammen aus ganz verschiedenen Zeiten zwischen 1750 und 612 v. Chr. Die ältesten Texte haben deutlich gemacht, dass das Gilgamesch-Epos ein sehr ho</w:t>
      </w:r>
      <w:r>
        <w:t xml:space="preserve">hes Alter hat. Vielleicht ist es sogar noch deutlich älter als das ins 18. </w:t>
      </w:r>
      <w:r w:rsidRPr="007D72B3">
        <w:rPr>
          <w:lang w:val="en-US"/>
        </w:rPr>
        <w:t xml:space="preserve">Jh. v. Chr. datierte Fragment </w:t>
      </w:r>
      <w:r w:rsidRPr="007D72B3">
        <w:rPr>
          <w:rStyle w:val="Footnote7ptSmallCaps"/>
          <w:lang w:val="en-US"/>
        </w:rPr>
        <w:t xml:space="preserve">(Price: </w:t>
      </w:r>
      <w:r w:rsidRPr="007D72B3">
        <w:rPr>
          <w:lang w:val="en-US"/>
        </w:rPr>
        <w:t>The Stones crv out, S. 63).</w:t>
      </w:r>
    </w:p>
  </w:footnote>
  <w:footnote w:id="227">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Vgl. </w:t>
      </w:r>
      <w:r>
        <w:rPr>
          <w:rStyle w:val="Footnote7ptSmallCaps"/>
        </w:rPr>
        <w:t xml:space="preserve">z.B.Riem: </w:t>
      </w:r>
      <w:r>
        <w:t>Die Sintflut in Sage und Wissenschaft (Zusammentragung von 268 Sintflutberichten, 35 zusätzliche N</w:t>
      </w:r>
      <w:r>
        <w:t xml:space="preserve">achweise, 21 Regenbogen-Sagen); </w:t>
      </w:r>
      <w:r>
        <w:rPr>
          <w:rStyle w:val="Footnote7ptSmallCaps"/>
        </w:rPr>
        <w:t xml:space="preserve">Andree: </w:t>
      </w:r>
      <w:r>
        <w:t xml:space="preserve">Die Flutsagen ethnographisch betrachtet (Sammlung von etwa 100 Sintfluterzählungen); </w:t>
      </w:r>
      <w:r>
        <w:rPr>
          <w:rStyle w:val="Footnote7ptSmallCaps"/>
        </w:rPr>
        <w:t xml:space="preserve">Lüken: </w:t>
      </w:r>
      <w:r>
        <w:t>Die Traditionen des Menschengeschlechts, 1. Aufl 1856 und 2. Aufl. 1869.</w:t>
      </w:r>
    </w:p>
  </w:footnote>
  <w:footnote w:id="228">
    <w:p w:rsidR="00BB7EDA" w:rsidRDefault="007D72B3">
      <w:pPr>
        <w:pStyle w:val="Footnote0"/>
        <w:shd w:val="clear" w:color="auto" w:fill="auto"/>
        <w:tabs>
          <w:tab w:val="left" w:pos="283"/>
        </w:tabs>
        <w:spacing w:line="192" w:lineRule="exact"/>
        <w:ind w:left="320" w:hanging="320"/>
      </w:pPr>
      <w:r>
        <w:rPr>
          <w:vertAlign w:val="superscript"/>
        </w:rPr>
        <w:footnoteRef/>
      </w:r>
      <w:r>
        <w:tab/>
        <w:t xml:space="preserve">Vgl. </w:t>
      </w:r>
      <w:r>
        <w:rPr>
          <w:rStyle w:val="Footnote7ptSmallCaps"/>
        </w:rPr>
        <w:t xml:space="preserve">La Haye/Morris: </w:t>
      </w:r>
      <w:r>
        <w:t xml:space="preserve">The Ark on Ararat, S. </w:t>
      </w:r>
      <w:r>
        <w:t>231-241 (umfangreiche Liste von Fluterzählungen: S.233-236; statistische Auswertung eines Vergleichs von solchen Erzählungen mit dem biblischen Bericht: S. 237; ausführliche Litera</w:t>
      </w:r>
      <w:r>
        <w:softHyphen/>
        <w:t xml:space="preserve">tur- und Quellenhinweise: S. 241); </w:t>
      </w:r>
      <w:r>
        <w:rPr>
          <w:rStyle w:val="Footnote7ptSmallCaps"/>
        </w:rPr>
        <w:t xml:space="preserve">Whitcomb/Morris: </w:t>
      </w:r>
      <w:r>
        <w:t>Die Sintflut, S. 82-88;</w:t>
      </w:r>
      <w:r>
        <w:t xml:space="preserve"> </w:t>
      </w:r>
      <w:r>
        <w:rPr>
          <w:rStyle w:val="Footnote7ptSmallCaps"/>
        </w:rPr>
        <w:t xml:space="preserve">Hartmann: </w:t>
      </w:r>
      <w:r>
        <w:t>Der Turmbau zu Babel, S. 80-93 (Quellen- und Literaturhinweise: S. 93).</w:t>
      </w:r>
    </w:p>
  </w:footnote>
  <w:footnote w:id="229">
    <w:p w:rsidR="00BB7EDA" w:rsidRDefault="007D72B3">
      <w:pPr>
        <w:pStyle w:val="Footnote0"/>
        <w:shd w:val="clear" w:color="auto" w:fill="auto"/>
        <w:spacing w:line="192" w:lineRule="exact"/>
        <w:ind w:left="300" w:hanging="300"/>
      </w:pPr>
      <w:r>
        <w:rPr>
          <w:vertAlign w:val="superscript"/>
        </w:rPr>
        <w:t>275</w:t>
      </w:r>
      <w:r>
        <w:t xml:space="preserve"> Der Begriff „Indizien" wird nach „Duden" wie folgt definiert: „Umstand, dessen Vorhandensein mit großer Wahrscheinlichkeit auf einen bestimmten Sachverhalt schließen läs</w:t>
      </w:r>
      <w:r>
        <w:t>st" (Duden, Fremdwörterbuch, S. 321).</w:t>
      </w:r>
    </w:p>
  </w:footnote>
  <w:footnote w:id="230">
    <w:p w:rsidR="00BB7EDA" w:rsidRDefault="007D72B3">
      <w:pPr>
        <w:pStyle w:val="Footnote0"/>
        <w:shd w:val="clear" w:color="auto" w:fill="auto"/>
        <w:spacing w:line="192" w:lineRule="exact"/>
        <w:ind w:left="340"/>
      </w:pPr>
      <w:r>
        <w:rPr>
          <w:vertAlign w:val="superscript"/>
        </w:rPr>
        <w:footnoteRef/>
      </w:r>
      <w:r>
        <w:t xml:space="preserve"> Wertvolles Material dazu findet sich </w:t>
      </w:r>
      <w:r>
        <w:rPr>
          <w:rStyle w:val="Footnote7pt"/>
        </w:rPr>
        <w:t xml:space="preserve">z.B. </w:t>
      </w:r>
      <w:r>
        <w:t xml:space="preserve">in: </w:t>
      </w:r>
      <w:r>
        <w:rPr>
          <w:rStyle w:val="Footnote7ptSmallCaps"/>
        </w:rPr>
        <w:t xml:space="preserve">Lüken: </w:t>
      </w:r>
      <w:r>
        <w:t xml:space="preserve">Die Traditionen des Menschengeschlechts, </w:t>
      </w:r>
      <w:r>
        <w:rPr>
          <w:rStyle w:val="Footnote7pt"/>
        </w:rPr>
        <w:t xml:space="preserve">1. </w:t>
      </w:r>
      <w:r>
        <w:t xml:space="preserve">Aufl. </w:t>
      </w:r>
      <w:r>
        <w:rPr>
          <w:rStyle w:val="Footnote7pt"/>
        </w:rPr>
        <w:t xml:space="preserve">1856 </w:t>
      </w:r>
      <w:r>
        <w:t xml:space="preserve">und </w:t>
      </w:r>
      <w:r>
        <w:rPr>
          <w:rStyle w:val="Footnote7pt"/>
        </w:rPr>
        <w:t xml:space="preserve">2. </w:t>
      </w:r>
      <w:r>
        <w:t xml:space="preserve">Aufl. </w:t>
      </w:r>
      <w:r>
        <w:rPr>
          <w:rStyle w:val="Footnote7ptSmallCaps"/>
        </w:rPr>
        <w:t xml:space="preserve">1869; Richardson: </w:t>
      </w:r>
      <w:r>
        <w:t xml:space="preserve">Ewigkeit in ihren Herzen; </w:t>
      </w:r>
      <w:r>
        <w:rPr>
          <w:rStyle w:val="Footnote7ptSmallCaps"/>
        </w:rPr>
        <w:t xml:space="preserve">Kang/Nelson: </w:t>
      </w:r>
      <w:r>
        <w:t xml:space="preserve">Erinnerungen an die Genesis, Die Chinesen und die biblische Urgeschichte; </w:t>
      </w:r>
      <w:r>
        <w:rPr>
          <w:rStyle w:val="Footnote7ptSmallCaps"/>
        </w:rPr>
        <w:t xml:space="preserve">Sproul: </w:t>
      </w:r>
      <w:r>
        <w:t xml:space="preserve">Schöpfungsmythen der östlichen Welt; </w:t>
      </w:r>
      <w:r>
        <w:rPr>
          <w:rStyle w:val="Footnote7ptSmallCaps"/>
        </w:rPr>
        <w:t xml:space="preserve">Sproul: </w:t>
      </w:r>
      <w:r>
        <w:t xml:space="preserve">Schöpfungsmythen der westlichen Welt; </w:t>
      </w:r>
      <w:r>
        <w:rPr>
          <w:rStyle w:val="Footnote7ptSmallCaps"/>
        </w:rPr>
        <w:t xml:space="preserve">Baumann: </w:t>
      </w:r>
      <w:r>
        <w:t xml:space="preserve">Schöpfung und Urzeit in: Mythos der afrikanischen Völker; </w:t>
      </w:r>
      <w:r>
        <w:rPr>
          <w:rStyle w:val="Footnote7ptSmallCaps"/>
        </w:rPr>
        <w:t xml:space="preserve">Schirrmacher: </w:t>
      </w:r>
      <w:r>
        <w:t>Urzeitmy</w:t>
      </w:r>
      <w:r>
        <w:softHyphen/>
        <w:t>t</w:t>
      </w:r>
      <w:r>
        <w:t>hen der afrikanischen Völker.</w:t>
      </w:r>
    </w:p>
  </w:footnote>
  <w:footnote w:id="231">
    <w:p w:rsidR="00BB7EDA" w:rsidRDefault="007D72B3">
      <w:pPr>
        <w:pStyle w:val="Footnote30"/>
        <w:shd w:val="clear" w:color="auto" w:fill="auto"/>
        <w:tabs>
          <w:tab w:val="left" w:pos="283"/>
        </w:tabs>
        <w:spacing w:line="187" w:lineRule="exact"/>
        <w:jc w:val="both"/>
      </w:pPr>
      <w:r>
        <w:rPr>
          <w:rStyle w:val="Footnote3SmallCaps"/>
          <w:vertAlign w:val="superscript"/>
        </w:rPr>
        <w:footnoteRef/>
      </w:r>
      <w:r>
        <w:rPr>
          <w:rStyle w:val="Footnote3SmallCaps"/>
        </w:rPr>
        <w:tab/>
        <w:t xml:space="preserve">Whitcomb/Morris: </w:t>
      </w:r>
      <w:r>
        <w:rPr>
          <w:rStyle w:val="Footnote38pt"/>
        </w:rPr>
        <w:t xml:space="preserve">Die Sintflut, S. </w:t>
      </w:r>
      <w:r>
        <w:t>87.</w:t>
      </w:r>
    </w:p>
  </w:footnote>
  <w:footnote w:id="232">
    <w:p w:rsidR="00BB7EDA" w:rsidRDefault="007D72B3">
      <w:pPr>
        <w:pStyle w:val="Footnote0"/>
        <w:shd w:val="clear" w:color="auto" w:fill="auto"/>
        <w:tabs>
          <w:tab w:val="left" w:pos="283"/>
        </w:tabs>
        <w:ind w:firstLine="0"/>
      </w:pPr>
      <w:r>
        <w:rPr>
          <w:vertAlign w:val="superscript"/>
        </w:rPr>
        <w:footnoteRef/>
      </w:r>
      <w:r>
        <w:tab/>
        <w:t>Vgl. Gen 7,24.</w:t>
      </w:r>
    </w:p>
  </w:footnote>
  <w:footnote w:id="233">
    <w:p w:rsidR="00BB7EDA" w:rsidRDefault="007D72B3">
      <w:pPr>
        <w:pStyle w:val="Footnote0"/>
        <w:shd w:val="clear" w:color="auto" w:fill="auto"/>
        <w:tabs>
          <w:tab w:val="left" w:pos="283"/>
        </w:tabs>
        <w:ind w:firstLine="0"/>
      </w:pPr>
      <w:r>
        <w:rPr>
          <w:vertAlign w:val="superscript"/>
        </w:rPr>
        <w:footnoteRef/>
      </w:r>
      <w:r>
        <w:tab/>
        <w:t>Vgl. Gen 8,3.</w:t>
      </w:r>
    </w:p>
  </w:footnote>
  <w:footnote w:id="234">
    <w:p w:rsidR="00BB7EDA" w:rsidRDefault="007D72B3">
      <w:pPr>
        <w:pStyle w:val="Footnote0"/>
        <w:shd w:val="clear" w:color="auto" w:fill="auto"/>
        <w:tabs>
          <w:tab w:val="left" w:pos="283"/>
        </w:tabs>
        <w:ind w:firstLine="0"/>
      </w:pPr>
      <w:r>
        <w:rPr>
          <w:vertAlign w:val="superscript"/>
        </w:rPr>
        <w:footnoteRef/>
      </w:r>
      <w:r>
        <w:tab/>
        <w:t>Vgl. Gen 8,14.</w:t>
      </w:r>
    </w:p>
  </w:footnote>
  <w:footnote w:id="235">
    <w:p w:rsidR="00BB7EDA" w:rsidRDefault="007D72B3">
      <w:pPr>
        <w:pStyle w:val="Footnote0"/>
        <w:shd w:val="clear" w:color="auto" w:fill="auto"/>
        <w:tabs>
          <w:tab w:val="left" w:pos="283"/>
        </w:tabs>
        <w:spacing w:line="192" w:lineRule="exact"/>
        <w:ind w:firstLine="0"/>
      </w:pPr>
      <w:r>
        <w:rPr>
          <w:vertAlign w:val="superscript"/>
        </w:rPr>
        <w:footnoteRef/>
      </w:r>
      <w:r>
        <w:tab/>
        <w:t>Vgl. Gen 7,13.</w:t>
      </w:r>
    </w:p>
  </w:footnote>
  <w:footnote w:id="236">
    <w:p w:rsidR="00BB7EDA" w:rsidRDefault="007D72B3">
      <w:pPr>
        <w:pStyle w:val="Footnote0"/>
        <w:shd w:val="clear" w:color="auto" w:fill="auto"/>
        <w:tabs>
          <w:tab w:val="left" w:pos="288"/>
        </w:tabs>
        <w:spacing w:line="192" w:lineRule="exact"/>
        <w:ind w:firstLine="0"/>
      </w:pPr>
      <w:r>
        <w:rPr>
          <w:vertAlign w:val="superscript"/>
        </w:rPr>
        <w:footnoteRef/>
      </w:r>
      <w:r>
        <w:tab/>
        <w:t>Vgl. Gen 11,9.</w:t>
      </w:r>
    </w:p>
  </w:footnote>
  <w:footnote w:id="237">
    <w:p w:rsidR="00BB7EDA" w:rsidRDefault="007D72B3">
      <w:pPr>
        <w:pStyle w:val="Footnote0"/>
        <w:shd w:val="clear" w:color="auto" w:fill="auto"/>
        <w:tabs>
          <w:tab w:val="left" w:pos="283"/>
        </w:tabs>
        <w:spacing w:line="192" w:lineRule="exact"/>
        <w:ind w:firstLine="0"/>
      </w:pPr>
      <w:r>
        <w:rPr>
          <w:rStyle w:val="Footnote75ptItalic"/>
          <w:vertAlign w:val="superscript"/>
        </w:rPr>
        <w:footnoteRef/>
      </w:r>
      <w:r>
        <w:tab/>
        <w:t>Vgl. Gen 11,9.</w:t>
      </w:r>
    </w:p>
  </w:footnote>
  <w:footnote w:id="238">
    <w:p w:rsidR="00BB7EDA" w:rsidRDefault="007D72B3">
      <w:pPr>
        <w:pStyle w:val="Footnote0"/>
        <w:shd w:val="clear" w:color="auto" w:fill="auto"/>
        <w:tabs>
          <w:tab w:val="left" w:pos="288"/>
        </w:tabs>
        <w:spacing w:line="192" w:lineRule="exact"/>
        <w:ind w:firstLine="0"/>
      </w:pPr>
      <w:r>
        <w:rPr>
          <w:rStyle w:val="Footnote75ptItalic"/>
          <w:vertAlign w:val="superscript"/>
        </w:rPr>
        <w:footnoteRef/>
      </w:r>
      <w:r>
        <w:tab/>
        <w:t>Vgl. Gen 11,1.</w:t>
      </w:r>
    </w:p>
  </w:footnote>
  <w:footnote w:id="239">
    <w:p w:rsidR="00BB7EDA" w:rsidRDefault="007D72B3">
      <w:pPr>
        <w:pStyle w:val="Footnote0"/>
        <w:shd w:val="clear" w:color="auto" w:fill="auto"/>
        <w:tabs>
          <w:tab w:val="left" w:pos="283"/>
        </w:tabs>
        <w:spacing w:line="192" w:lineRule="exact"/>
        <w:ind w:firstLine="0"/>
      </w:pPr>
      <w:r>
        <w:rPr>
          <w:rStyle w:val="Footnote75ptItalic"/>
          <w:vertAlign w:val="superscript"/>
        </w:rPr>
        <w:footnoteRef/>
      </w:r>
      <w:r>
        <w:tab/>
        <w:t>Vgl. Gen 10.</w:t>
      </w:r>
    </w:p>
  </w:footnote>
  <w:footnote w:id="240">
    <w:p w:rsidR="00BB7EDA" w:rsidRDefault="007D72B3">
      <w:pPr>
        <w:pStyle w:val="Footnote0"/>
        <w:shd w:val="clear" w:color="auto" w:fill="auto"/>
        <w:spacing w:line="192" w:lineRule="exact"/>
        <w:ind w:firstLine="0"/>
        <w:jc w:val="left"/>
      </w:pPr>
      <w:r>
        <w:t>’’</w:t>
      </w:r>
      <w:r>
        <w:rPr>
          <w:vertAlign w:val="superscript"/>
        </w:rPr>
        <w:t>87</w:t>
      </w:r>
      <w:r>
        <w:t xml:space="preserve"> Vgl. Gen 11,1-9.</w:t>
      </w:r>
    </w:p>
  </w:footnote>
  <w:footnote w:id="241">
    <w:p w:rsidR="00BB7EDA" w:rsidRDefault="007D72B3">
      <w:pPr>
        <w:pStyle w:val="Footnote0"/>
        <w:shd w:val="clear" w:color="auto" w:fill="auto"/>
        <w:tabs>
          <w:tab w:val="left" w:pos="288"/>
        </w:tabs>
        <w:spacing w:line="192" w:lineRule="exact"/>
        <w:ind w:firstLine="0"/>
      </w:pPr>
      <w:r>
        <w:rPr>
          <w:rStyle w:val="Footnote7ptSmallCaps"/>
          <w:vertAlign w:val="superscript"/>
        </w:rPr>
        <w:footnoteRef/>
      </w:r>
      <w:r>
        <w:rPr>
          <w:rStyle w:val="Footnote7ptSmallCaps"/>
        </w:rPr>
        <w:tab/>
        <w:t xml:space="preserve">Riem: </w:t>
      </w:r>
      <w:r>
        <w:t xml:space="preserve">Die Sintflut in Sage </w:t>
      </w:r>
      <w:r>
        <w:t>und Wissenschaft, S. 90-91.</w:t>
      </w:r>
    </w:p>
  </w:footnote>
  <w:footnote w:id="242">
    <w:p w:rsidR="00BB7EDA" w:rsidRDefault="007D72B3">
      <w:pPr>
        <w:pStyle w:val="Footnote0"/>
        <w:shd w:val="clear" w:color="auto" w:fill="auto"/>
        <w:tabs>
          <w:tab w:val="left" w:pos="283"/>
        </w:tabs>
        <w:ind w:firstLine="0"/>
      </w:pPr>
      <w:r>
        <w:rPr>
          <w:vertAlign w:val="superscript"/>
        </w:rPr>
        <w:footnoteRef/>
      </w:r>
      <w:r>
        <w:tab/>
        <w:t>Vgl. Gen 8,11.</w:t>
      </w:r>
    </w:p>
  </w:footnote>
  <w:footnote w:id="243">
    <w:p w:rsidR="00BB7EDA" w:rsidRDefault="007D72B3">
      <w:pPr>
        <w:pStyle w:val="Footnote0"/>
        <w:shd w:val="clear" w:color="auto" w:fill="auto"/>
        <w:tabs>
          <w:tab w:val="left" w:pos="288"/>
        </w:tabs>
        <w:ind w:firstLine="0"/>
      </w:pPr>
      <w:r>
        <w:rPr>
          <w:vertAlign w:val="superscript"/>
        </w:rPr>
        <w:footnoteRef/>
      </w:r>
      <w:r>
        <w:tab/>
        <w:t>Vgl. Gen 6,4.</w:t>
      </w:r>
    </w:p>
  </w:footnote>
  <w:footnote w:id="244">
    <w:p w:rsidR="00BB7EDA" w:rsidRDefault="007D72B3">
      <w:pPr>
        <w:pStyle w:val="Footnote0"/>
        <w:shd w:val="clear" w:color="auto" w:fill="auto"/>
        <w:tabs>
          <w:tab w:val="left" w:pos="283"/>
        </w:tabs>
        <w:ind w:firstLine="0"/>
      </w:pPr>
      <w:r>
        <w:rPr>
          <w:vertAlign w:val="superscript"/>
        </w:rPr>
        <w:footnoteRef/>
      </w:r>
      <w:r>
        <w:tab/>
        <w:t>Vgl. Gen. 11,3-5. Vgl. Zikkurat = „Bergspitze", ein pyramidischer Turm.</w:t>
      </w:r>
    </w:p>
  </w:footnote>
  <w:footnote w:id="245">
    <w:p w:rsidR="00BB7EDA" w:rsidRDefault="007D72B3">
      <w:pPr>
        <w:pStyle w:val="Footnote0"/>
        <w:shd w:val="clear" w:color="auto" w:fill="auto"/>
        <w:tabs>
          <w:tab w:val="left" w:pos="288"/>
        </w:tabs>
        <w:ind w:firstLine="0"/>
      </w:pPr>
      <w:r>
        <w:rPr>
          <w:vertAlign w:val="superscript"/>
        </w:rPr>
        <w:footnoteRef/>
      </w:r>
      <w:r>
        <w:tab/>
        <w:t>Vgl. Gen 11,3.</w:t>
      </w:r>
    </w:p>
  </w:footnote>
  <w:footnote w:id="246">
    <w:p w:rsidR="00BB7EDA" w:rsidRDefault="007D72B3">
      <w:pPr>
        <w:pStyle w:val="Footnote0"/>
        <w:shd w:val="clear" w:color="auto" w:fill="auto"/>
        <w:tabs>
          <w:tab w:val="left" w:pos="288"/>
        </w:tabs>
        <w:ind w:firstLine="0"/>
      </w:pPr>
      <w:r>
        <w:rPr>
          <w:vertAlign w:val="superscript"/>
        </w:rPr>
        <w:footnoteRef/>
      </w:r>
      <w:r>
        <w:tab/>
        <w:t>Vgl. Gen 11,5.</w:t>
      </w:r>
    </w:p>
  </w:footnote>
  <w:footnote w:id="247">
    <w:p w:rsidR="00BB7EDA" w:rsidRDefault="007D72B3">
      <w:pPr>
        <w:pStyle w:val="Footnote0"/>
        <w:shd w:val="clear" w:color="auto" w:fill="auto"/>
        <w:tabs>
          <w:tab w:val="left" w:pos="288"/>
        </w:tabs>
        <w:ind w:firstLine="0"/>
      </w:pPr>
      <w:r>
        <w:rPr>
          <w:vertAlign w:val="superscript"/>
        </w:rPr>
        <w:footnoteRef/>
      </w:r>
      <w:r>
        <w:tab/>
        <w:t>Vgl. Gen 11,4.</w:t>
      </w:r>
    </w:p>
  </w:footnote>
  <w:footnote w:id="248">
    <w:p w:rsidR="00BB7EDA" w:rsidRDefault="007D72B3">
      <w:pPr>
        <w:pStyle w:val="Footnote0"/>
        <w:shd w:val="clear" w:color="auto" w:fill="auto"/>
        <w:tabs>
          <w:tab w:val="left" w:pos="283"/>
        </w:tabs>
        <w:spacing w:line="192" w:lineRule="exact"/>
        <w:ind w:firstLine="0"/>
      </w:pPr>
      <w:r>
        <w:rPr>
          <w:vertAlign w:val="superscript"/>
        </w:rPr>
        <w:footnoteRef/>
      </w:r>
      <w:r>
        <w:tab/>
        <w:t>Vgl. Gen 11,8.</w:t>
      </w:r>
    </w:p>
  </w:footnote>
  <w:footnote w:id="249">
    <w:p w:rsidR="00BB7EDA" w:rsidRDefault="007D72B3">
      <w:pPr>
        <w:pStyle w:val="Footnote0"/>
        <w:shd w:val="clear" w:color="auto" w:fill="auto"/>
        <w:tabs>
          <w:tab w:val="left" w:pos="288"/>
        </w:tabs>
        <w:spacing w:line="192" w:lineRule="exact"/>
        <w:ind w:left="320" w:hanging="320"/>
      </w:pPr>
      <w:r>
        <w:rPr>
          <w:rStyle w:val="Footnote10pt1"/>
          <w:vertAlign w:val="superscript"/>
        </w:rPr>
        <w:footnoteRef/>
      </w:r>
      <w:r>
        <w:rPr>
          <w:rStyle w:val="Footnote7ptSmallCapsSpacing0pt0"/>
        </w:rPr>
        <w:tab/>
        <w:t xml:space="preserve">Lüken: </w:t>
      </w:r>
      <w:r>
        <w:t xml:space="preserve">Die Traditionen des Menschengeschlechts, 2. Aufl. 1869, S. 319-320. Heinrich </w:t>
      </w:r>
      <w:r>
        <w:rPr>
          <w:rStyle w:val="Footnote7ptSmallCapsSpacing0pt0"/>
        </w:rPr>
        <w:t xml:space="preserve">Lüken </w:t>
      </w:r>
      <w:r>
        <w:t>war stets bemüht, die Quellen seiner gesammelten Traditio</w:t>
      </w:r>
      <w:r>
        <w:softHyphen/>
        <w:t>nen genau anzugeben.</w:t>
      </w:r>
    </w:p>
  </w:footnote>
  <w:footnote w:id="250">
    <w:p w:rsidR="00BB7EDA" w:rsidRDefault="007D72B3">
      <w:pPr>
        <w:pStyle w:val="Footnote0"/>
        <w:shd w:val="clear" w:color="auto" w:fill="auto"/>
        <w:tabs>
          <w:tab w:val="left" w:pos="283"/>
        </w:tabs>
        <w:spacing w:line="192" w:lineRule="exact"/>
        <w:ind w:firstLine="0"/>
      </w:pPr>
      <w:r>
        <w:rPr>
          <w:vertAlign w:val="superscript"/>
        </w:rPr>
        <w:footnoteRef/>
      </w:r>
      <w:r>
        <w:tab/>
        <w:t>Vgl. Gen 11,3-5.</w:t>
      </w:r>
    </w:p>
  </w:footnote>
  <w:footnote w:id="251">
    <w:p w:rsidR="00BB7EDA" w:rsidRDefault="007D72B3">
      <w:pPr>
        <w:pStyle w:val="Footnote0"/>
        <w:shd w:val="clear" w:color="auto" w:fill="auto"/>
        <w:tabs>
          <w:tab w:val="left" w:pos="283"/>
        </w:tabs>
        <w:spacing w:line="192" w:lineRule="exact"/>
        <w:ind w:firstLine="0"/>
      </w:pPr>
      <w:r>
        <w:rPr>
          <w:vertAlign w:val="superscript"/>
        </w:rPr>
        <w:footnoteRef/>
      </w:r>
      <w:r>
        <w:tab/>
        <w:t>Vgl. Gen 6,14-16.</w:t>
      </w:r>
    </w:p>
  </w:footnote>
  <w:footnote w:id="252">
    <w:p w:rsidR="00BB7EDA" w:rsidRDefault="007D72B3">
      <w:pPr>
        <w:pStyle w:val="Footnote0"/>
        <w:shd w:val="clear" w:color="auto" w:fill="auto"/>
        <w:tabs>
          <w:tab w:val="left" w:pos="283"/>
        </w:tabs>
        <w:spacing w:line="192" w:lineRule="exact"/>
        <w:ind w:firstLine="0"/>
      </w:pPr>
      <w:r>
        <w:rPr>
          <w:vertAlign w:val="superscript"/>
        </w:rPr>
        <w:footnoteRef/>
      </w:r>
      <w:r>
        <w:tab/>
        <w:t>Vgl. Gen 11,4.</w:t>
      </w:r>
    </w:p>
  </w:footnote>
  <w:footnote w:id="253">
    <w:p w:rsidR="00BB7EDA" w:rsidRDefault="007D72B3">
      <w:pPr>
        <w:pStyle w:val="Footnote0"/>
        <w:shd w:val="clear" w:color="auto" w:fill="auto"/>
        <w:tabs>
          <w:tab w:val="left" w:pos="283"/>
        </w:tabs>
        <w:spacing w:line="192" w:lineRule="exact"/>
        <w:ind w:firstLine="0"/>
      </w:pPr>
      <w:r>
        <w:rPr>
          <w:vertAlign w:val="superscript"/>
        </w:rPr>
        <w:footnoteRef/>
      </w:r>
      <w:r>
        <w:tab/>
        <w:t>Vgl. Gen 10,32; 11,8.</w:t>
      </w:r>
    </w:p>
  </w:footnote>
  <w:footnote w:id="254">
    <w:p w:rsidR="00BB7EDA" w:rsidRDefault="007D72B3">
      <w:pPr>
        <w:pStyle w:val="Footnote0"/>
        <w:shd w:val="clear" w:color="auto" w:fill="auto"/>
        <w:tabs>
          <w:tab w:val="left" w:pos="278"/>
        </w:tabs>
        <w:spacing w:line="192" w:lineRule="exact"/>
        <w:ind w:firstLine="0"/>
      </w:pPr>
      <w:r>
        <w:rPr>
          <w:vertAlign w:val="superscript"/>
        </w:rPr>
        <w:footnoteRef/>
      </w:r>
      <w:r>
        <w:tab/>
        <w:t xml:space="preserve">Vgl. Gen </w:t>
      </w:r>
      <w:r>
        <w:t>11,9.</w:t>
      </w:r>
    </w:p>
  </w:footnote>
  <w:footnote w:id="255">
    <w:p w:rsidR="00BB7EDA" w:rsidRDefault="007D72B3">
      <w:pPr>
        <w:pStyle w:val="Footnote0"/>
        <w:shd w:val="clear" w:color="auto" w:fill="auto"/>
        <w:tabs>
          <w:tab w:val="left" w:pos="288"/>
        </w:tabs>
        <w:spacing w:line="192" w:lineRule="exact"/>
        <w:ind w:firstLine="0"/>
      </w:pPr>
      <w:r>
        <w:rPr>
          <w:rStyle w:val="Footnote10pt1"/>
          <w:vertAlign w:val="superscript"/>
        </w:rPr>
        <w:footnoteRef/>
      </w:r>
      <w:r>
        <w:rPr>
          <w:rStyle w:val="Footnote7ptSmallCapsSpacing0pt0"/>
        </w:rPr>
        <w:tab/>
        <w:t xml:space="preserve">Lüken: </w:t>
      </w:r>
      <w:r>
        <w:t>Die Traditionen des Menschengeschlechts, 2. Aufl. 1869, S. 320.</w:t>
      </w:r>
    </w:p>
  </w:footnote>
  <w:footnote w:id="256">
    <w:p w:rsidR="00BB7EDA" w:rsidRDefault="007D72B3">
      <w:pPr>
        <w:pStyle w:val="Footnote0"/>
        <w:shd w:val="clear" w:color="auto" w:fill="auto"/>
        <w:tabs>
          <w:tab w:val="left" w:pos="288"/>
        </w:tabs>
        <w:spacing w:line="192" w:lineRule="exact"/>
        <w:ind w:left="320" w:hanging="320"/>
      </w:pPr>
      <w:r>
        <w:rPr>
          <w:vertAlign w:val="superscript"/>
        </w:rPr>
        <w:footnoteRef/>
      </w:r>
      <w:r>
        <w:tab/>
        <w:t>Vgl. Gen 2,23; 4,23-24; 5,29. Unter synonymem Parallelismus versteht man die poetische Technik, bei der das in einer ersten Zeile Ausgedrückte in der folgenden mit anderen Wor</w:t>
      </w:r>
      <w:r>
        <w:t>ten wiederholt wird.</w:t>
      </w:r>
    </w:p>
  </w:footnote>
  <w:footnote w:id="257">
    <w:p w:rsidR="00BB7EDA" w:rsidRDefault="007D72B3">
      <w:pPr>
        <w:pStyle w:val="Footnote0"/>
        <w:shd w:val="clear" w:color="auto" w:fill="auto"/>
        <w:tabs>
          <w:tab w:val="left" w:pos="298"/>
        </w:tabs>
        <w:spacing w:line="192" w:lineRule="exact"/>
        <w:ind w:left="320" w:hanging="320"/>
        <w:jc w:val="left"/>
      </w:pPr>
      <w:r>
        <w:rPr>
          <w:vertAlign w:val="superscript"/>
        </w:rPr>
        <w:footnoteRef/>
      </w:r>
      <w:r>
        <w:tab/>
        <w:t>Die folgenden Anmerkungen zum Text der Miao-Turmbau-Erzählung stam</w:t>
      </w:r>
      <w:r>
        <w:softHyphen/>
        <w:t>men von RL.</w:t>
      </w:r>
    </w:p>
  </w:footnote>
  <w:footnote w:id="258">
    <w:p w:rsidR="00BB7EDA" w:rsidRDefault="007D72B3">
      <w:pPr>
        <w:pStyle w:val="Footnote0"/>
        <w:shd w:val="clear" w:color="auto" w:fill="auto"/>
        <w:tabs>
          <w:tab w:val="left" w:pos="288"/>
        </w:tabs>
        <w:spacing w:line="192" w:lineRule="exact"/>
        <w:ind w:firstLine="0"/>
      </w:pPr>
      <w:r>
        <w:rPr>
          <w:vertAlign w:val="superscript"/>
        </w:rPr>
        <w:footnoteRef/>
      </w:r>
      <w:r>
        <w:tab/>
        <w:t>Vgl. Gen 10,6: Ham, Kusch und Mizraim.</w:t>
      </w:r>
    </w:p>
  </w:footnote>
  <w:footnote w:id="259">
    <w:p w:rsidR="00BB7EDA" w:rsidRDefault="007D72B3">
      <w:pPr>
        <w:pStyle w:val="Footnote0"/>
        <w:shd w:val="clear" w:color="auto" w:fill="auto"/>
        <w:tabs>
          <w:tab w:val="left" w:pos="288"/>
        </w:tabs>
        <w:spacing w:line="192" w:lineRule="exact"/>
        <w:ind w:firstLine="0"/>
      </w:pPr>
      <w:r>
        <w:rPr>
          <w:vertAlign w:val="superscript"/>
        </w:rPr>
        <w:footnoteRef/>
      </w:r>
      <w:r>
        <w:tab/>
        <w:t>Vgl. Genl.0,22: Sehern, Elam und Assur.</w:t>
      </w:r>
    </w:p>
  </w:footnote>
  <w:footnote w:id="260">
    <w:p w:rsidR="00BB7EDA" w:rsidRDefault="007D72B3">
      <w:pPr>
        <w:pStyle w:val="Footnote0"/>
        <w:shd w:val="clear" w:color="auto" w:fill="auto"/>
        <w:tabs>
          <w:tab w:val="left" w:pos="288"/>
        </w:tabs>
        <w:spacing w:line="192" w:lineRule="exact"/>
        <w:ind w:firstLine="0"/>
      </w:pPr>
      <w:r>
        <w:rPr>
          <w:vertAlign w:val="superscript"/>
        </w:rPr>
        <w:footnoteRef/>
      </w:r>
      <w:r>
        <w:tab/>
        <w:t>Vgl. Gen 10,32.</w:t>
      </w:r>
    </w:p>
  </w:footnote>
  <w:footnote w:id="261">
    <w:p w:rsidR="00BB7EDA" w:rsidRDefault="007D72B3">
      <w:pPr>
        <w:pStyle w:val="Footnote0"/>
        <w:shd w:val="clear" w:color="auto" w:fill="auto"/>
        <w:tabs>
          <w:tab w:val="left" w:pos="293"/>
        </w:tabs>
        <w:spacing w:line="192" w:lineRule="exact"/>
        <w:ind w:firstLine="0"/>
      </w:pPr>
      <w:r>
        <w:rPr>
          <w:vertAlign w:val="superscript"/>
        </w:rPr>
        <w:footnoteRef/>
      </w:r>
      <w:r>
        <w:tab/>
        <w:t>Vgl. Gen 11,1.</w:t>
      </w:r>
    </w:p>
  </w:footnote>
  <w:footnote w:id="262">
    <w:p w:rsidR="00BB7EDA" w:rsidRDefault="007D72B3">
      <w:pPr>
        <w:pStyle w:val="Footnote0"/>
        <w:shd w:val="clear" w:color="auto" w:fill="auto"/>
        <w:tabs>
          <w:tab w:val="left" w:pos="293"/>
        </w:tabs>
        <w:spacing w:line="192" w:lineRule="exact"/>
        <w:ind w:firstLine="0"/>
      </w:pPr>
      <w:r>
        <w:rPr>
          <w:vertAlign w:val="superscript"/>
        </w:rPr>
        <w:footnoteRef/>
      </w:r>
      <w:r>
        <w:tab/>
        <w:t>Vgl. Gen 11,3-5.</w:t>
      </w:r>
    </w:p>
  </w:footnote>
  <w:footnote w:id="263">
    <w:p w:rsidR="00BB7EDA" w:rsidRDefault="007D72B3">
      <w:pPr>
        <w:pStyle w:val="Footnote0"/>
        <w:shd w:val="clear" w:color="auto" w:fill="auto"/>
        <w:tabs>
          <w:tab w:val="left" w:pos="293"/>
        </w:tabs>
        <w:spacing w:line="192" w:lineRule="exact"/>
        <w:ind w:firstLine="0"/>
      </w:pPr>
      <w:r>
        <w:rPr>
          <w:vertAlign w:val="superscript"/>
        </w:rPr>
        <w:footnoteRef/>
      </w:r>
      <w:r>
        <w:tab/>
        <w:t>Vgl. Gen 11,4.</w:t>
      </w:r>
    </w:p>
  </w:footnote>
  <w:footnote w:id="264">
    <w:p w:rsidR="00BB7EDA" w:rsidRDefault="007D72B3">
      <w:pPr>
        <w:pStyle w:val="Footnote0"/>
        <w:shd w:val="clear" w:color="auto" w:fill="auto"/>
        <w:tabs>
          <w:tab w:val="left" w:pos="288"/>
        </w:tabs>
        <w:spacing w:line="192" w:lineRule="exact"/>
        <w:ind w:firstLine="0"/>
      </w:pPr>
      <w:r>
        <w:rPr>
          <w:vertAlign w:val="superscript"/>
        </w:rPr>
        <w:footnoteRef/>
      </w:r>
      <w:r>
        <w:tab/>
        <w:t>Vgl. Gen 11,3-5.</w:t>
      </w:r>
    </w:p>
  </w:footnote>
  <w:footnote w:id="265">
    <w:p w:rsidR="00BB7EDA" w:rsidRDefault="007D72B3">
      <w:pPr>
        <w:pStyle w:val="Footnote0"/>
        <w:shd w:val="clear" w:color="auto" w:fill="auto"/>
        <w:tabs>
          <w:tab w:val="left" w:pos="288"/>
        </w:tabs>
        <w:spacing w:line="192" w:lineRule="exact"/>
        <w:ind w:firstLine="0"/>
      </w:pPr>
      <w:r>
        <w:rPr>
          <w:vertAlign w:val="superscript"/>
        </w:rPr>
        <w:footnoteRef/>
      </w:r>
      <w:r>
        <w:tab/>
        <w:t>Vgl. Gen 11,4.</w:t>
      </w:r>
    </w:p>
  </w:footnote>
  <w:footnote w:id="266">
    <w:p w:rsidR="00BB7EDA" w:rsidRDefault="007D72B3">
      <w:pPr>
        <w:pStyle w:val="Footnote0"/>
        <w:shd w:val="clear" w:color="auto" w:fill="auto"/>
        <w:tabs>
          <w:tab w:val="left" w:pos="288"/>
        </w:tabs>
        <w:spacing w:line="192" w:lineRule="exact"/>
        <w:ind w:firstLine="0"/>
      </w:pPr>
      <w:r>
        <w:rPr>
          <w:vertAlign w:val="superscript"/>
        </w:rPr>
        <w:footnoteRef/>
      </w:r>
      <w:r>
        <w:tab/>
        <w:t>Vgl. Gen 11,4.</w:t>
      </w:r>
    </w:p>
  </w:footnote>
  <w:footnote w:id="267">
    <w:p w:rsidR="00BB7EDA" w:rsidRDefault="007D72B3">
      <w:pPr>
        <w:pStyle w:val="Footnote0"/>
        <w:shd w:val="clear" w:color="auto" w:fill="auto"/>
        <w:tabs>
          <w:tab w:val="left" w:pos="293"/>
        </w:tabs>
        <w:spacing w:line="192" w:lineRule="exact"/>
        <w:ind w:firstLine="0"/>
      </w:pPr>
      <w:r>
        <w:rPr>
          <w:vertAlign w:val="superscript"/>
        </w:rPr>
        <w:footnoteRef/>
      </w:r>
      <w:r>
        <w:tab/>
        <w:t>Vgl. Gen 10,32; 11,9.</w:t>
      </w:r>
    </w:p>
    <w:p w:rsidR="00BB7EDA" w:rsidRDefault="007D72B3">
      <w:pPr>
        <w:pStyle w:val="Footnote0"/>
        <w:shd w:val="clear" w:color="auto" w:fill="auto"/>
        <w:spacing w:line="192" w:lineRule="exact"/>
        <w:ind w:left="80" w:firstLine="0"/>
        <w:jc w:val="center"/>
      </w:pPr>
      <w:r>
        <w:rPr>
          <w:rStyle w:val="Footnote7ptSmallCaps"/>
        </w:rPr>
        <w:t xml:space="preserve">Luken: </w:t>
      </w:r>
      <w:r>
        <w:t>Die Traditionen des Menschengeschlechts, 2. Aufl. 1869, S. 322.</w:t>
      </w:r>
    </w:p>
  </w:footnote>
  <w:footnote w:id="268">
    <w:p w:rsidR="00BB7EDA" w:rsidRDefault="007D72B3">
      <w:pPr>
        <w:pStyle w:val="Footnote0"/>
        <w:shd w:val="clear" w:color="auto" w:fill="auto"/>
        <w:tabs>
          <w:tab w:val="left" w:pos="288"/>
        </w:tabs>
        <w:spacing w:line="192" w:lineRule="exact"/>
        <w:ind w:firstLine="0"/>
      </w:pPr>
      <w:r>
        <w:rPr>
          <w:vertAlign w:val="superscript"/>
        </w:rPr>
        <w:footnoteRef/>
      </w:r>
      <w:r>
        <w:tab/>
        <w:t>Vgl. Gen 11,4.</w:t>
      </w:r>
    </w:p>
  </w:footnote>
  <w:footnote w:id="269">
    <w:p w:rsidR="00BB7EDA" w:rsidRDefault="007D72B3">
      <w:pPr>
        <w:pStyle w:val="Footnote0"/>
        <w:shd w:val="clear" w:color="auto" w:fill="auto"/>
        <w:tabs>
          <w:tab w:val="left" w:pos="293"/>
        </w:tabs>
        <w:spacing w:line="192" w:lineRule="exact"/>
        <w:ind w:firstLine="0"/>
      </w:pPr>
      <w:r>
        <w:rPr>
          <w:vertAlign w:val="superscript"/>
        </w:rPr>
        <w:footnoteRef/>
      </w:r>
      <w:r>
        <w:tab/>
        <w:t>Vgl. Gen 11,8-9.</w:t>
      </w:r>
    </w:p>
  </w:footnote>
  <w:footnote w:id="270">
    <w:p w:rsidR="00BB7EDA" w:rsidRDefault="007D72B3">
      <w:pPr>
        <w:pStyle w:val="Footnote0"/>
        <w:shd w:val="clear" w:color="auto" w:fill="auto"/>
        <w:tabs>
          <w:tab w:val="left" w:pos="288"/>
        </w:tabs>
        <w:spacing w:line="192" w:lineRule="exact"/>
        <w:ind w:firstLine="0"/>
      </w:pPr>
      <w:r>
        <w:rPr>
          <w:vertAlign w:val="superscript"/>
        </w:rPr>
        <w:footnoteRef/>
      </w:r>
      <w:r>
        <w:tab/>
        <w:t>Vgl. Gen 11,9.</w:t>
      </w:r>
    </w:p>
  </w:footnote>
  <w:footnote w:id="271">
    <w:p w:rsidR="00BB7EDA" w:rsidRDefault="007D72B3">
      <w:pPr>
        <w:pStyle w:val="Footnote0"/>
        <w:shd w:val="clear" w:color="auto" w:fill="auto"/>
        <w:tabs>
          <w:tab w:val="left" w:pos="288"/>
        </w:tabs>
        <w:spacing w:line="192" w:lineRule="exact"/>
        <w:ind w:firstLine="0"/>
      </w:pPr>
      <w:r>
        <w:rPr>
          <w:vertAlign w:val="superscript"/>
        </w:rPr>
        <w:footnoteRef/>
      </w:r>
      <w:r>
        <w:tab/>
        <w:t>Vgl. Gen 11,1.</w:t>
      </w:r>
    </w:p>
  </w:footnote>
  <w:footnote w:id="272">
    <w:p w:rsidR="00BB7EDA" w:rsidRDefault="007D72B3">
      <w:pPr>
        <w:pStyle w:val="Footnote0"/>
        <w:shd w:val="clear" w:color="auto" w:fill="auto"/>
        <w:tabs>
          <w:tab w:val="left" w:pos="293"/>
        </w:tabs>
        <w:spacing w:line="192" w:lineRule="exact"/>
        <w:ind w:left="340"/>
        <w:jc w:val="left"/>
      </w:pPr>
      <w:r>
        <w:rPr>
          <w:rStyle w:val="Footnote7ptSmallCaps"/>
          <w:vertAlign w:val="superscript"/>
        </w:rPr>
        <w:footnoteRef/>
      </w:r>
      <w:r>
        <w:rPr>
          <w:rStyle w:val="Footnote7ptSmallCaps"/>
        </w:rPr>
        <w:tab/>
        <w:t xml:space="preserve">Baumann: </w:t>
      </w:r>
      <w:r>
        <w:t xml:space="preserve">Schöpfung und Urzeit des </w:t>
      </w:r>
      <w:r>
        <w:t>Menschen im Mythos der afrikanischen Völker, S. 258.</w:t>
      </w:r>
    </w:p>
  </w:footnote>
  <w:footnote w:id="273">
    <w:p w:rsidR="00BB7EDA" w:rsidRDefault="007D72B3">
      <w:pPr>
        <w:pStyle w:val="Footnote0"/>
        <w:shd w:val="clear" w:color="auto" w:fill="auto"/>
        <w:tabs>
          <w:tab w:val="left" w:pos="278"/>
        </w:tabs>
        <w:spacing w:line="192" w:lineRule="exact"/>
        <w:ind w:left="300" w:hanging="300"/>
        <w:jc w:val="left"/>
      </w:pPr>
      <w:r>
        <w:rPr>
          <w:vertAlign w:val="superscript"/>
        </w:rPr>
        <w:footnoteRef/>
      </w:r>
      <w:r>
        <w:tab/>
        <w:t xml:space="preserve">Vgl. </w:t>
      </w:r>
      <w:r>
        <w:rPr>
          <w:rStyle w:val="Footnote7ptSmallCapsSpacing0pt0"/>
        </w:rPr>
        <w:t xml:space="preserve">Junker/Schkrer: </w:t>
      </w:r>
      <w:r>
        <w:rPr>
          <w:rStyle w:val="FootnoteSmallCaps"/>
        </w:rPr>
        <w:t>Ey</w:t>
      </w:r>
      <w:r>
        <w:t xml:space="preserve"> olution - Ein kritisches Lehrbuch, S. 11-20 (Grundla</w:t>
      </w:r>
      <w:r>
        <w:softHyphen/>
        <w:t>gen aus der Wissenschafts- und Erkenntnistheorie).</w:t>
      </w:r>
    </w:p>
  </w:footnote>
  <w:footnote w:id="274">
    <w:p w:rsidR="00BB7EDA" w:rsidRDefault="007D72B3">
      <w:pPr>
        <w:pStyle w:val="Footnote0"/>
        <w:shd w:val="clear" w:color="auto" w:fill="auto"/>
        <w:tabs>
          <w:tab w:val="left" w:pos="293"/>
        </w:tabs>
        <w:ind w:left="320" w:hanging="320"/>
        <w:jc w:val="left"/>
      </w:pPr>
      <w:r>
        <w:rPr>
          <w:vertAlign w:val="superscript"/>
        </w:rPr>
        <w:footnoteRef/>
      </w:r>
      <w:r>
        <w:tab/>
        <w:t xml:space="preserve">Vgl. als Beispiel innerhalb der hebräischen Sprachwissenschaft: </w:t>
      </w:r>
      <w:r>
        <w:rPr>
          <w:rStyle w:val="Footnote7ptSmallCapsSpacing0pt0"/>
        </w:rPr>
        <w:t>Peters:</w:t>
      </w:r>
      <w:r>
        <w:rPr>
          <w:rStyle w:val="Footnote7ptSmallCapsSpacing0pt0"/>
        </w:rPr>
        <w:t xml:space="preserve"> </w:t>
      </w:r>
      <w:r>
        <w:t>Zum Vokalismus des Hebräischen in vorexilischer Zeit, S. 1.</w:t>
      </w:r>
    </w:p>
    <w:p w:rsidR="00BB7EDA" w:rsidRDefault="007D72B3">
      <w:pPr>
        <w:pStyle w:val="Footnote0"/>
        <w:shd w:val="clear" w:color="auto" w:fill="auto"/>
        <w:ind w:left="320" w:firstLine="0"/>
      </w:pPr>
      <w:r>
        <w:t>Natürlich gibt es auf der anderen Seite bei Rekonstruktionen auch Anerken</w:t>
      </w:r>
      <w:r>
        <w:softHyphen/>
        <w:t>nung verlangenden Erfolg zu verbuchen. Ich verweise hierbei z.B. auf die durch die Entdeckung des Hethitischen nachträgli</w:t>
      </w:r>
      <w:r>
        <w:t>ch bestätigten Vermutun</w:t>
      </w:r>
      <w:r>
        <w:softHyphen/>
        <w:t xml:space="preserve">gen von </w:t>
      </w:r>
      <w:r>
        <w:rPr>
          <w:rStyle w:val="Footnote7ptSmallCaps"/>
        </w:rPr>
        <w:t xml:space="preserve">de Saussure </w:t>
      </w:r>
      <w:r>
        <w:t>im Zusammenhang mit dem indogermanischen Lautsy</w:t>
      </w:r>
      <w:r>
        <w:softHyphen/>
        <w:t xml:space="preserve">stem (vgl. </w:t>
      </w:r>
      <w:r>
        <w:rPr>
          <w:rStyle w:val="Footnote7ptSmallCaps"/>
        </w:rPr>
        <w:t xml:space="preserve">Bälde </w:t>
      </w:r>
      <w:r>
        <w:t>Indo-European Languages, S. 44-45.)</w:t>
      </w:r>
    </w:p>
  </w:footnote>
  <w:footnote w:id="275">
    <w:p w:rsidR="00BB7EDA" w:rsidRDefault="007D72B3">
      <w:pPr>
        <w:pStyle w:val="Footnote0"/>
        <w:shd w:val="clear" w:color="auto" w:fill="auto"/>
        <w:tabs>
          <w:tab w:val="left" w:pos="288"/>
        </w:tabs>
        <w:ind w:left="320" w:hanging="320"/>
        <w:jc w:val="left"/>
      </w:pPr>
      <w:r>
        <w:rPr>
          <w:vertAlign w:val="superscript"/>
        </w:rPr>
        <w:footnoteRef/>
      </w:r>
      <w:r>
        <w:tab/>
        <w:t xml:space="preserve">Vgl. </w:t>
      </w:r>
      <w:r>
        <w:rPr>
          <w:rStyle w:val="Footnote7ptSmallCapsSpacing0pt"/>
        </w:rPr>
        <w:t xml:space="preserve">Jungraithmayr: </w:t>
      </w:r>
      <w:r>
        <w:t>Was ist „primitiv"? Zum Stand der Sprachgeschichtsfor</w:t>
      </w:r>
      <w:r>
        <w:softHyphen/>
        <w:t>schung in Afrika, S. 190.</w:t>
      </w:r>
    </w:p>
  </w:footnote>
  <w:footnote w:id="276">
    <w:p w:rsidR="00BB7EDA" w:rsidRDefault="007D72B3">
      <w:pPr>
        <w:pStyle w:val="Footnote0"/>
        <w:shd w:val="clear" w:color="auto" w:fill="auto"/>
        <w:tabs>
          <w:tab w:val="left" w:pos="288"/>
        </w:tabs>
        <w:ind w:left="300" w:hanging="300"/>
      </w:pPr>
      <w:r>
        <w:rPr>
          <w:rStyle w:val="Footnote7pt"/>
          <w:vertAlign w:val="superscript"/>
        </w:rPr>
        <w:footnoteRef/>
      </w:r>
      <w:r>
        <w:rPr>
          <w:rStyle w:val="Footnote7ptSmallCapsSpacing0pt"/>
        </w:rPr>
        <w:tab/>
      </w:r>
      <w:r>
        <w:rPr>
          <w:rStyle w:val="Footnote7ptSmallCapsSpacing0pt"/>
        </w:rPr>
        <w:t xml:space="preserve">Adelung: </w:t>
      </w:r>
      <w:r>
        <w:t xml:space="preserve">Mithridates oder allgemeine Sprachenkunde, S. XXIV; zitiert nach: </w:t>
      </w:r>
      <w:r>
        <w:rPr>
          <w:rStyle w:val="Footnote7ptSmallCapsSpacing0pt"/>
        </w:rPr>
        <w:t xml:space="preserve">Jungraithmayr: </w:t>
      </w:r>
      <w:r>
        <w:t>Was ist „primitiv"? Zum Stand der Sprachgeschichtsfor</w:t>
      </w:r>
      <w:r>
        <w:softHyphen/>
        <w:t>schung in Afrika, S. 190.</w:t>
      </w:r>
    </w:p>
  </w:footnote>
  <w:footnote w:id="277">
    <w:p w:rsidR="00BB7EDA" w:rsidRDefault="007D72B3">
      <w:pPr>
        <w:pStyle w:val="Footnote0"/>
        <w:shd w:val="clear" w:color="auto" w:fill="auto"/>
        <w:tabs>
          <w:tab w:val="left" w:pos="283"/>
        </w:tabs>
        <w:spacing w:line="192" w:lineRule="exact"/>
        <w:ind w:left="320" w:hanging="320"/>
      </w:pPr>
      <w:r>
        <w:rPr>
          <w:rStyle w:val="Footnote7ptSmallCaps"/>
          <w:vertAlign w:val="superscript"/>
        </w:rPr>
        <w:footnoteRef/>
      </w:r>
      <w:r>
        <w:rPr>
          <w:rStyle w:val="Footnote7ptSmallCaps"/>
        </w:rPr>
        <w:tab/>
        <w:t xml:space="preserve">Schleicher: </w:t>
      </w:r>
      <w:r>
        <w:t xml:space="preserve">Die Darwinsche Theorie und die Sprachwissenschaft, S. </w:t>
      </w:r>
      <w:r>
        <w:rPr>
          <w:rStyle w:val="Footnote7pt"/>
        </w:rPr>
        <w:t xml:space="preserve">7; </w:t>
      </w:r>
      <w:r>
        <w:t xml:space="preserve">zitiert nach: </w:t>
      </w:r>
      <w:r>
        <w:rPr>
          <w:rStyle w:val="Footnote7ptSmallCaps"/>
        </w:rPr>
        <w:t>J</w:t>
      </w:r>
      <w:r>
        <w:rPr>
          <w:rStyle w:val="Footnote7ptSmallCaps"/>
        </w:rPr>
        <w:t xml:space="preserve">ungraithmayr: </w:t>
      </w:r>
      <w:r>
        <w:t>Was ist „primitiv"? Zum Stand der Sprachgeschichts</w:t>
      </w:r>
      <w:r>
        <w:softHyphen/>
        <w:t>forschung in Afrika, S. 190.</w:t>
      </w:r>
    </w:p>
  </w:footnote>
  <w:footnote w:id="278">
    <w:p w:rsidR="00BB7EDA" w:rsidRDefault="007D72B3">
      <w:pPr>
        <w:pStyle w:val="Footnote0"/>
        <w:shd w:val="clear" w:color="auto" w:fill="auto"/>
        <w:tabs>
          <w:tab w:val="left" w:pos="283"/>
        </w:tabs>
        <w:spacing w:line="192" w:lineRule="exact"/>
        <w:ind w:left="320" w:hanging="320"/>
      </w:pPr>
      <w:r>
        <w:rPr>
          <w:rStyle w:val="Footnote7ptSmallCaps"/>
          <w:vertAlign w:val="superscript"/>
        </w:rPr>
        <w:footnoteRef/>
      </w:r>
      <w:r>
        <w:rPr>
          <w:rStyle w:val="Footnote7ptSmallCaps"/>
        </w:rPr>
        <w:tab/>
        <w:t xml:space="preserve">Schleicher: </w:t>
      </w:r>
      <w:r>
        <w:t xml:space="preserve">Die Darwinsche Theorie und die Sprachwissenschaft, S. 11; zitiert nach: </w:t>
      </w:r>
      <w:r>
        <w:rPr>
          <w:rStyle w:val="Footnote7ptSmallCaps"/>
        </w:rPr>
        <w:t xml:space="preserve">Jungraithmayr: </w:t>
      </w:r>
      <w:r>
        <w:t>Was ist „primitiv"? Zum Stand der Sprachge</w:t>
      </w:r>
      <w:r>
        <w:softHyphen/>
        <w:t xml:space="preserve">schichtsforschung </w:t>
      </w:r>
      <w:r>
        <w:t>in Afrika, S. 190.</w:t>
      </w:r>
    </w:p>
  </w:footnote>
  <w:footnote w:id="279">
    <w:p w:rsidR="00BB7EDA" w:rsidRDefault="007D72B3">
      <w:pPr>
        <w:pStyle w:val="Footnote0"/>
        <w:shd w:val="clear" w:color="auto" w:fill="auto"/>
        <w:tabs>
          <w:tab w:val="left" w:pos="283"/>
        </w:tabs>
        <w:spacing w:line="192" w:lineRule="exact"/>
        <w:ind w:left="320" w:hanging="320"/>
      </w:pPr>
      <w:r>
        <w:rPr>
          <w:rStyle w:val="Footnote7ptSmallCaps"/>
          <w:vertAlign w:val="superscript"/>
        </w:rPr>
        <w:footnoteRef/>
      </w:r>
      <w:r>
        <w:rPr>
          <w:rStyle w:val="Footnote7ptSmallCaps"/>
        </w:rPr>
        <w:tab/>
        <w:t xml:space="preserve">Schleicher: </w:t>
      </w:r>
      <w:r>
        <w:t xml:space="preserve">Die Darwinsche Theorie und die Sprachwissenschaft, S. </w:t>
      </w:r>
      <w:r>
        <w:rPr>
          <w:rStyle w:val="Footnote7pt"/>
        </w:rPr>
        <w:t xml:space="preserve">22; </w:t>
      </w:r>
      <w:r>
        <w:t xml:space="preserve">zitiert nach: </w:t>
      </w:r>
      <w:r>
        <w:rPr>
          <w:rStyle w:val="Footnote7ptSmallCaps"/>
        </w:rPr>
        <w:t xml:space="preserve">Jungraithmayr: </w:t>
      </w:r>
      <w:r>
        <w:t>Was ist „primitiv"? Zum Stand der Sprachge</w:t>
      </w:r>
      <w:r>
        <w:softHyphen/>
        <w:t>schichtsforschung in Afrika, S. 190.</w:t>
      </w:r>
    </w:p>
  </w:footnote>
  <w:footnote w:id="280">
    <w:p w:rsidR="00BB7EDA" w:rsidRDefault="007D72B3">
      <w:pPr>
        <w:pStyle w:val="Footnote0"/>
        <w:shd w:val="clear" w:color="auto" w:fill="auto"/>
        <w:tabs>
          <w:tab w:val="left" w:pos="293"/>
        </w:tabs>
        <w:ind w:left="320" w:hanging="320"/>
      </w:pPr>
      <w:r>
        <w:rPr>
          <w:vertAlign w:val="superscript"/>
        </w:rPr>
        <w:footnoteRef/>
      </w:r>
      <w:r>
        <w:tab/>
        <w:t>Beispiele als Beleg für diese Aussage: Die Schöpfungsw</w:t>
      </w:r>
      <w:r>
        <w:t>oche in Gen 1 besteht aus 7 Tagen. 7 Mal wird in Verbindung mit Gottes Schöpfungswerken das Prädikat „gut" verwendet, beim siebten Mal sogar verstärkt in der Wendung „sehr gut" (Gen 1,4.10.12.19.21.25.31).</w:t>
      </w:r>
    </w:p>
  </w:footnote>
  <w:footnote w:id="281">
    <w:p w:rsidR="00BB7EDA" w:rsidRDefault="007D72B3">
      <w:pPr>
        <w:pStyle w:val="Footnote0"/>
        <w:shd w:val="clear" w:color="auto" w:fill="auto"/>
        <w:tabs>
          <w:tab w:val="left" w:pos="283"/>
        </w:tabs>
        <w:ind w:firstLine="0"/>
      </w:pPr>
      <w:r>
        <w:rPr>
          <w:rStyle w:val="Footnote7ptSmallCaps"/>
          <w:vertAlign w:val="superscript"/>
        </w:rPr>
        <w:footnoteRef/>
      </w:r>
      <w:r>
        <w:rPr>
          <w:rStyle w:val="Footnote7ptSmallCaps"/>
        </w:rPr>
        <w:tab/>
        <w:t xml:space="preserve">Ouweneel: </w:t>
      </w:r>
      <w:r>
        <w:t>Die Offenbarung, S. 260.</w:t>
      </w:r>
    </w:p>
  </w:footnote>
  <w:footnote w:id="282">
    <w:p w:rsidR="00BB7EDA" w:rsidRDefault="007D72B3">
      <w:pPr>
        <w:pStyle w:val="Footnote0"/>
        <w:shd w:val="clear" w:color="auto" w:fill="auto"/>
        <w:tabs>
          <w:tab w:val="left" w:pos="293"/>
        </w:tabs>
        <w:ind w:left="320" w:hanging="320"/>
      </w:pPr>
      <w:r>
        <w:rPr>
          <w:vertAlign w:val="superscript"/>
        </w:rPr>
        <w:footnoteRef/>
      </w:r>
      <w:r>
        <w:tab/>
        <w:t>Der Fluch ü</w:t>
      </w:r>
      <w:r>
        <w:t>ber die Tierwelt im Allgemeinen kommt in Gen 3,14a nur durch eine genaue Übersetzung zum Ausdruck. Hier die Übersetzung unter Be</w:t>
      </w:r>
      <w:r>
        <w:softHyphen/>
        <w:t xml:space="preserve">rücksichtigung der komparativischen Bedeutung des Ausdrucks </w:t>
      </w:r>
      <w:r>
        <w:rPr>
          <w:rStyle w:val="Footnote75ptItalic"/>
        </w:rPr>
        <w:t>‘arur min</w:t>
      </w:r>
    </w:p>
  </w:footnote>
  <w:footnote w:id="283">
    <w:p w:rsidR="00BB7EDA" w:rsidRDefault="007D72B3">
      <w:pPr>
        <w:pStyle w:val="Footnote0"/>
        <w:shd w:val="clear" w:color="auto" w:fill="auto"/>
        <w:tabs>
          <w:tab w:val="left" w:pos="288"/>
        </w:tabs>
        <w:ind w:left="320" w:hanging="320"/>
      </w:pPr>
      <w:r>
        <w:rPr>
          <w:rStyle w:val="Footnote7pt"/>
          <w:vertAlign w:val="superscript"/>
        </w:rPr>
        <w:footnoteRef/>
      </w:r>
      <w:r>
        <w:rPr>
          <w:rStyle w:val="Footnote7ptSmallCapsSpacing0pt"/>
        </w:rPr>
        <w:tab/>
        <w:t xml:space="preserve">Adelung: </w:t>
      </w:r>
      <w:r>
        <w:t xml:space="preserve">Mithridates oder allgemeine Sprachenkunde, S. </w:t>
      </w:r>
      <w:r>
        <w:t>XXIV-XXIV; zi</w:t>
      </w:r>
      <w:r>
        <w:softHyphen/>
        <w:t xml:space="preserve">tiert nach: </w:t>
      </w:r>
      <w:r>
        <w:rPr>
          <w:rStyle w:val="Footnote7ptSmallCapsSpacing0pt"/>
        </w:rPr>
        <w:t xml:space="preserve">Jungraithmayr: </w:t>
      </w:r>
      <w:r>
        <w:t>Was ist „primitiv"? Zum Stand der Sprachge</w:t>
      </w:r>
      <w:r>
        <w:softHyphen/>
        <w:t>schichtsforschung in Afrika, S. 190.</w:t>
      </w:r>
    </w:p>
  </w:footnote>
  <w:footnote w:id="284">
    <w:p w:rsidR="00BB7EDA" w:rsidRDefault="007D72B3">
      <w:pPr>
        <w:pStyle w:val="Footnote0"/>
        <w:shd w:val="clear" w:color="auto" w:fill="auto"/>
        <w:tabs>
          <w:tab w:val="left" w:pos="283"/>
        </w:tabs>
        <w:ind w:left="320" w:hanging="320"/>
      </w:pPr>
      <w:r>
        <w:rPr>
          <w:rStyle w:val="Footnote7pt"/>
          <w:vertAlign w:val="superscript"/>
        </w:rPr>
        <w:footnoteRef/>
      </w:r>
      <w:r>
        <w:rPr>
          <w:rStyle w:val="Footnote7ptSmallCapsSpacing0pt"/>
        </w:rPr>
        <w:tab/>
        <w:t xml:space="preserve">Steinthal: </w:t>
      </w:r>
      <w:r>
        <w:t>Die Mande-Neger-Sprachen - psychologisch und phonetisch be</w:t>
      </w:r>
      <w:r>
        <w:softHyphen/>
        <w:t xml:space="preserve">trachtet, Berlin 1867, S. VI-VII; zitiert nach </w:t>
      </w:r>
      <w:r>
        <w:rPr>
          <w:rStyle w:val="Footnote7ptSmallCapsSpacing0pt"/>
        </w:rPr>
        <w:t xml:space="preserve">Jungraithmayr: </w:t>
      </w:r>
      <w:r>
        <w:t>Was ist „primi</w:t>
      </w:r>
      <w:r>
        <w:softHyphen/>
        <w:t>tiv"? Zum Stand der Sprachgeschichtsforschung in Afrika, S. 187.</w:t>
      </w:r>
    </w:p>
  </w:footnote>
  <w:footnote w:id="285">
    <w:p w:rsidR="00BB7EDA" w:rsidRDefault="007D72B3">
      <w:pPr>
        <w:pStyle w:val="Footnote0"/>
        <w:shd w:val="clear" w:color="auto" w:fill="auto"/>
        <w:tabs>
          <w:tab w:val="left" w:pos="293"/>
        </w:tabs>
        <w:spacing w:line="160" w:lineRule="exact"/>
        <w:ind w:firstLine="0"/>
      </w:pPr>
      <w:r>
        <w:rPr>
          <w:vertAlign w:val="superscript"/>
        </w:rPr>
        <w:footnoteRef/>
      </w:r>
      <w:r>
        <w:tab/>
        <w:t>Vgl. 2.2 1.2</w:t>
      </w:r>
    </w:p>
  </w:footnote>
  <w:footnote w:id="286">
    <w:p w:rsidR="00BB7EDA" w:rsidRDefault="007D72B3">
      <w:pPr>
        <w:pStyle w:val="Footnote0"/>
        <w:shd w:val="clear" w:color="auto" w:fill="auto"/>
        <w:tabs>
          <w:tab w:val="left" w:pos="293"/>
        </w:tabs>
        <w:spacing w:line="160" w:lineRule="exact"/>
        <w:ind w:firstLine="0"/>
      </w:pPr>
      <w:r>
        <w:rPr>
          <w:vertAlign w:val="superscript"/>
        </w:rPr>
        <w:footnoteRef/>
      </w:r>
      <w:r>
        <w:tab/>
        <w:t>Ps 102,25-27.</w:t>
      </w:r>
    </w:p>
  </w:footnote>
  <w:footnote w:id="287">
    <w:p w:rsidR="00BB7EDA" w:rsidRDefault="007D72B3">
      <w:pPr>
        <w:pStyle w:val="Footnote0"/>
        <w:shd w:val="clear" w:color="auto" w:fill="auto"/>
        <w:tabs>
          <w:tab w:val="left" w:pos="293"/>
        </w:tabs>
        <w:spacing w:line="192" w:lineRule="exact"/>
        <w:ind w:left="320" w:hanging="320"/>
      </w:pPr>
      <w:r>
        <w:rPr>
          <w:vertAlign w:val="superscript"/>
        </w:rPr>
        <w:footnoteRef/>
      </w:r>
      <w:r>
        <w:tab/>
        <w:t xml:space="preserve">Vgl. dazu ferner noch Kol 2,21-22: „(21) Berühre nicht, koste nicht, betaste nicht! (22) </w:t>
      </w:r>
      <w:r>
        <w:rPr>
          <w:rStyle w:val="Footnote75ptItalic"/>
        </w:rPr>
        <w:t xml:space="preserve">(Dinge, welche alle zur Zerstörung durch den Gebrauch bestimmt sind) </w:t>
      </w:r>
      <w:r>
        <w:t>nach den Geboten und Lehren der Menschen..."</w:t>
      </w:r>
    </w:p>
  </w:footnote>
  <w:footnote w:id="288">
    <w:p w:rsidR="00BB7EDA" w:rsidRDefault="007D72B3">
      <w:pPr>
        <w:pStyle w:val="Footnote0"/>
        <w:shd w:val="clear" w:color="auto" w:fill="auto"/>
        <w:tabs>
          <w:tab w:val="left" w:pos="293"/>
        </w:tabs>
        <w:spacing w:line="192" w:lineRule="exact"/>
        <w:ind w:left="320" w:hanging="320"/>
      </w:pPr>
      <w:r>
        <w:footnoteRef/>
      </w:r>
      <w:r>
        <w:tab/>
        <w:t xml:space="preserve">wie </w:t>
      </w:r>
      <w:r>
        <w:rPr>
          <w:vertAlign w:val="subscript"/>
        </w:rPr>
        <w:t>sc</w:t>
      </w:r>
      <w:r>
        <w:t>hon oben breiter ausgeführt, verwende ich hier die in der Archäologie im allgemeinen verwendeten Daten, ohne damit den Anschein zu wec</w:t>
      </w:r>
      <w:r>
        <w:t>ken, als sei ich der Meinung, dass in der Chronologie der Frühgeschichte bereits das letzte Wort gesprochen sei. Auf diesem Gebiet gibt es noch sehr viel zu tun, und es ist daher zu erwarten, dass in Zukunft noch einige Datierungskor</w:t>
      </w:r>
      <w:r>
        <w:softHyphen/>
        <w:t>rekturen stattfinden w</w:t>
      </w:r>
      <w:r>
        <w:t>erden.</w:t>
      </w:r>
    </w:p>
  </w:footnote>
  <w:footnote w:id="289">
    <w:p w:rsidR="00BB7EDA" w:rsidRDefault="007D72B3">
      <w:pPr>
        <w:pStyle w:val="Footnote0"/>
        <w:shd w:val="clear" w:color="auto" w:fill="auto"/>
        <w:tabs>
          <w:tab w:val="left" w:pos="293"/>
        </w:tabs>
        <w:spacing w:line="192" w:lineRule="exact"/>
        <w:ind w:left="320" w:hanging="320"/>
      </w:pPr>
      <w:r>
        <w:rPr>
          <w:vertAlign w:val="superscript"/>
        </w:rPr>
        <w:footnoteRef/>
      </w:r>
      <w:r>
        <w:tab/>
        <w:t xml:space="preserve">Zum Sumerischen vgl.: </w:t>
      </w:r>
      <w:r>
        <w:rPr>
          <w:rStyle w:val="Footnote7ptSmallCaps"/>
        </w:rPr>
        <w:t xml:space="preserve">Gelb: </w:t>
      </w:r>
      <w:r>
        <w:t xml:space="preserve">Sumerian Language; </w:t>
      </w:r>
      <w:r>
        <w:rPr>
          <w:rStyle w:val="Footnote7ptSmallCaps"/>
        </w:rPr>
        <w:t xml:space="preserve">Falkenstein: </w:t>
      </w:r>
      <w:r>
        <w:t>Das Sumeri</w:t>
      </w:r>
      <w:r>
        <w:softHyphen/>
        <w:t xml:space="preserve">sche, </w:t>
      </w:r>
      <w:r>
        <w:rPr>
          <w:rStyle w:val="Footnote7ptSmallCaps"/>
        </w:rPr>
        <w:t xml:space="preserve">Poebel: </w:t>
      </w:r>
      <w:r>
        <w:t xml:space="preserve">Grundzüge der sumerischen Grammatik; </w:t>
      </w:r>
      <w:r>
        <w:rPr>
          <w:rStyle w:val="Footnote7ptSmallCaps"/>
        </w:rPr>
        <w:t xml:space="preserve">Delitzsch: </w:t>
      </w:r>
      <w:r>
        <w:t>Kleine sumerische Sprachlehre.</w:t>
      </w:r>
    </w:p>
  </w:footnote>
  <w:footnote w:id="290">
    <w:p w:rsidR="00BB7EDA" w:rsidRDefault="007D72B3">
      <w:pPr>
        <w:pStyle w:val="Footnote0"/>
        <w:shd w:val="clear" w:color="auto" w:fill="auto"/>
        <w:tabs>
          <w:tab w:val="left" w:pos="288"/>
        </w:tabs>
        <w:ind w:firstLine="0"/>
      </w:pPr>
      <w:r>
        <w:rPr>
          <w:vertAlign w:val="superscript"/>
        </w:rPr>
        <w:footnoteRef/>
      </w:r>
      <w:r>
        <w:tab/>
        <w:t xml:space="preserve">Zur Geschichte der Entzifferung keilinschriftlicher Texte: </w:t>
      </w:r>
      <w:r>
        <w:rPr>
          <w:rStyle w:val="Footnote7ptSmallCaps"/>
        </w:rPr>
        <w:t xml:space="preserve">Millard: </w:t>
      </w:r>
      <w:r>
        <w:t>Schätze</w:t>
      </w:r>
    </w:p>
  </w:footnote>
  <w:footnote w:id="291">
    <w:p w:rsidR="00BB7EDA" w:rsidRPr="007D72B3" w:rsidRDefault="007D72B3">
      <w:pPr>
        <w:pStyle w:val="Footnote0"/>
        <w:shd w:val="clear" w:color="auto" w:fill="auto"/>
        <w:ind w:left="320" w:firstLine="0"/>
        <w:rPr>
          <w:lang w:val="en-US"/>
        </w:rPr>
      </w:pPr>
      <w:r w:rsidRPr="007D72B3">
        <w:rPr>
          <w:lang w:val="en-US"/>
        </w:rPr>
        <w:t>aus b</w:t>
      </w:r>
      <w:r w:rsidRPr="007D72B3">
        <w:rPr>
          <w:lang w:val="en-US"/>
        </w:rPr>
        <w:t xml:space="preserve">iblischer Zeit, S. </w:t>
      </w:r>
      <w:r w:rsidRPr="007D72B3">
        <w:rPr>
          <w:rStyle w:val="Footnote7ptSmallCaps"/>
          <w:lang w:val="en-US"/>
        </w:rPr>
        <w:t xml:space="preserve">28-31; McCarter: </w:t>
      </w:r>
      <w:r w:rsidRPr="007D72B3">
        <w:rPr>
          <w:lang w:val="en-US"/>
        </w:rPr>
        <w:t>Ancient Inscriptions, Voices of the Biblical World, S. 6-7.</w:t>
      </w:r>
    </w:p>
  </w:footnote>
  <w:footnote w:id="292">
    <w:p w:rsidR="00BB7EDA" w:rsidRDefault="007D72B3">
      <w:pPr>
        <w:pStyle w:val="Footnote0"/>
        <w:shd w:val="clear" w:color="auto" w:fill="auto"/>
        <w:tabs>
          <w:tab w:val="left" w:pos="283"/>
        </w:tabs>
        <w:ind w:firstLine="0"/>
      </w:pPr>
      <w:r>
        <w:rPr>
          <w:vertAlign w:val="superscript"/>
        </w:rPr>
        <w:footnoteRef/>
      </w:r>
      <w:r>
        <w:tab/>
        <w:t>Es handelt sich urn den m Hagg 1,1 und Sach 1,1 erwähnten Herrscher.</w:t>
      </w:r>
    </w:p>
    <w:p w:rsidR="00BB7EDA" w:rsidRDefault="007D72B3">
      <w:pPr>
        <w:pStyle w:val="Footnote0"/>
        <w:shd w:val="clear" w:color="auto" w:fill="auto"/>
        <w:ind w:firstLine="0"/>
      </w:pPr>
      <w:r>
        <w:rPr>
          <w:vertAlign w:val="superscript"/>
        </w:rPr>
        <w:t>363</w:t>
      </w:r>
      <w:r>
        <w:t xml:space="preserve"> D.h. in Umschrift.</w:t>
      </w:r>
    </w:p>
  </w:footnote>
  <w:footnote w:id="293">
    <w:p w:rsidR="00BB7EDA" w:rsidRDefault="007D72B3">
      <w:pPr>
        <w:pStyle w:val="Footnote0"/>
        <w:shd w:val="clear" w:color="auto" w:fill="auto"/>
        <w:tabs>
          <w:tab w:val="left" w:pos="288"/>
        </w:tabs>
        <w:ind w:left="320" w:hanging="320"/>
        <w:jc w:val="left"/>
      </w:pPr>
      <w:r>
        <w:rPr>
          <w:vertAlign w:val="superscript"/>
        </w:rPr>
        <w:footnoteRef/>
      </w:r>
      <w:r>
        <w:tab/>
        <w:t xml:space="preserve">Im folgenden ist die Umschrift gegenüber der Standardform etwas </w:t>
      </w:r>
      <w:r>
        <w:t>verein</w:t>
      </w:r>
      <w:r>
        <w:softHyphen/>
        <w:t>facht worden.</w:t>
      </w:r>
    </w:p>
  </w:footnote>
  <w:footnote w:id="294">
    <w:p w:rsidR="00BB7EDA" w:rsidRDefault="007D72B3">
      <w:pPr>
        <w:pStyle w:val="Footnote0"/>
        <w:shd w:val="clear" w:color="auto" w:fill="auto"/>
        <w:tabs>
          <w:tab w:val="left" w:pos="293"/>
        </w:tabs>
        <w:ind w:firstLine="0"/>
      </w:pPr>
      <w:r>
        <w:rPr>
          <w:vertAlign w:val="superscript"/>
        </w:rPr>
        <w:footnoteRef/>
      </w:r>
      <w:r>
        <w:tab/>
        <w:t>D.h. Verdoppelung.</w:t>
      </w:r>
    </w:p>
  </w:footnote>
  <w:footnote w:id="295">
    <w:p w:rsidR="00BB7EDA" w:rsidRDefault="007D72B3">
      <w:pPr>
        <w:pStyle w:val="Footnote0"/>
        <w:shd w:val="clear" w:color="auto" w:fill="auto"/>
        <w:tabs>
          <w:tab w:val="left" w:pos="288"/>
        </w:tabs>
        <w:ind w:left="320" w:hanging="320"/>
      </w:pPr>
      <w:r>
        <w:rPr>
          <w:vertAlign w:val="superscript"/>
        </w:rPr>
        <w:footnoteRef/>
      </w:r>
      <w:r>
        <w:tab/>
        <w:t xml:space="preserve">Zum Akkadischen: </w:t>
      </w:r>
      <w:r>
        <w:rPr>
          <w:rStyle w:val="Footnote7ptSmallCaps"/>
        </w:rPr>
        <w:t xml:space="preserve">von Soden: </w:t>
      </w:r>
      <w:r>
        <w:t xml:space="preserve">Grundriss der akkadischen Grammatik; </w:t>
      </w:r>
      <w:r>
        <w:rPr>
          <w:rStyle w:val="Footnote7ptSmallCaps"/>
        </w:rPr>
        <w:t>Riem</w:t>
      </w:r>
      <w:r>
        <w:rPr>
          <w:rStyle w:val="Footnote7ptSmallCaps"/>
        </w:rPr>
        <w:softHyphen/>
        <w:t xml:space="preserve">schneider: </w:t>
      </w:r>
      <w:r>
        <w:t xml:space="preserve">Lehrbuch des Akkadischen; </w:t>
      </w:r>
      <w:r>
        <w:rPr>
          <w:rStyle w:val="Footnote7ptSmallCaps"/>
        </w:rPr>
        <w:t xml:space="preserve">von Siebenthal: </w:t>
      </w:r>
      <w:r>
        <w:t>Kleine Einführung ins Akkadische.</w:t>
      </w:r>
    </w:p>
  </w:footnote>
  <w:footnote w:id="296">
    <w:p w:rsidR="00BB7EDA" w:rsidRDefault="007D72B3">
      <w:pPr>
        <w:pStyle w:val="Footnote0"/>
        <w:shd w:val="clear" w:color="auto" w:fill="auto"/>
        <w:tabs>
          <w:tab w:val="left" w:pos="293"/>
        </w:tabs>
        <w:spacing w:line="192" w:lineRule="exact"/>
        <w:ind w:firstLine="0"/>
      </w:pPr>
      <w:r>
        <w:rPr>
          <w:vertAlign w:val="superscript"/>
        </w:rPr>
        <w:footnoteRef/>
      </w:r>
      <w:r>
        <w:tab/>
        <w:t xml:space="preserve">Diese Sprachstufe wird als </w:t>
      </w:r>
      <w:r>
        <w:rPr>
          <w:rStyle w:val="Footnote75ptItalic"/>
        </w:rPr>
        <w:t>klassisches Akkadisch</w:t>
      </w:r>
      <w:r>
        <w:t xml:space="preserve"> bezeichnet.</w:t>
      </w:r>
    </w:p>
  </w:footnote>
  <w:footnote w:id="297">
    <w:p w:rsidR="00BB7EDA" w:rsidRDefault="007D72B3">
      <w:pPr>
        <w:pStyle w:val="Footnote0"/>
        <w:shd w:val="clear" w:color="auto" w:fill="auto"/>
        <w:tabs>
          <w:tab w:val="left" w:pos="293"/>
        </w:tabs>
        <w:spacing w:line="192" w:lineRule="exact"/>
        <w:ind w:firstLine="0"/>
      </w:pPr>
      <w:r>
        <w:rPr>
          <w:vertAlign w:val="superscript"/>
        </w:rPr>
        <w:footnoteRef/>
      </w:r>
      <w:r>
        <w:tab/>
        <w:t>Diese Sprachstufe ist nur durch wenige Inschriften belegt.</w:t>
      </w:r>
    </w:p>
  </w:footnote>
  <w:footnote w:id="298">
    <w:p w:rsidR="00BB7EDA" w:rsidRDefault="007D72B3">
      <w:pPr>
        <w:pStyle w:val="Footnote0"/>
        <w:shd w:val="clear" w:color="auto" w:fill="auto"/>
        <w:tabs>
          <w:tab w:val="left" w:pos="293"/>
        </w:tabs>
        <w:spacing w:line="192" w:lineRule="exact"/>
        <w:ind w:left="360" w:hanging="360"/>
      </w:pPr>
      <w:r>
        <w:rPr>
          <w:vertAlign w:val="superscript"/>
        </w:rPr>
        <w:footnoteRef/>
      </w:r>
      <w:r>
        <w:tab/>
        <w:t>Im Jahr 612 v. Chr. fiel die Hauptstadt Ninive. Dieser Zeitpunkt markiert den Untergang des assyrischen Weltreiches (vgl. die ausführliche Prophezeiung dieses Ereignisses im Buch N</w:t>
      </w:r>
      <w:r>
        <w:t>ahum).</w:t>
      </w:r>
    </w:p>
  </w:footnote>
  <w:footnote w:id="299">
    <w:p w:rsidR="00BB7EDA" w:rsidRDefault="007D72B3">
      <w:pPr>
        <w:pStyle w:val="Footnote0"/>
        <w:shd w:val="clear" w:color="auto" w:fill="auto"/>
        <w:tabs>
          <w:tab w:val="left" w:pos="298"/>
        </w:tabs>
        <w:spacing w:line="192" w:lineRule="exact"/>
        <w:ind w:left="360" w:hanging="360"/>
      </w:pPr>
      <w:r>
        <w:rPr>
          <w:rStyle w:val="Footnote55pt0"/>
        </w:rPr>
        <w:footnoteRef/>
      </w:r>
      <w:r>
        <w:rPr>
          <w:rStyle w:val="Footnote75pt"/>
        </w:rPr>
        <w:tab/>
        <w:t>Qj</w:t>
      </w:r>
      <w:r>
        <w:rPr>
          <w:rStyle w:val="Footnote75pt"/>
          <w:vertAlign w:val="subscript"/>
        </w:rPr>
        <w:t>e</w:t>
      </w:r>
      <w:r>
        <w:rPr>
          <w:rStyle w:val="Footnote75pt"/>
        </w:rPr>
        <w:t xml:space="preserve"> </w:t>
      </w:r>
      <w:r>
        <w:t>nachfolgenden Paradigmata repräsentieren das klassische Akkadisch (altbabylonische Sprachstufe = Grundlage der akkadischen Grammatik). Die Unterschiede zum Altakkadisch sind jedoch äußerst geringfügig und haupt</w:t>
      </w:r>
      <w:r>
        <w:softHyphen/>
        <w:t>sächlich im Bereich des Lautstan</w:t>
      </w:r>
      <w:r>
        <w:t xml:space="preserve">des (z.B. 3. Pers. fern, </w:t>
      </w:r>
      <w:r>
        <w:rPr>
          <w:rStyle w:val="Footnote75ptItalic"/>
        </w:rPr>
        <w:t>ta-prus</w:t>
      </w:r>
      <w:r>
        <w:t xml:space="preserve"> anstatt </w:t>
      </w:r>
      <w:r>
        <w:rPr>
          <w:rStyle w:val="Footnote75ptItalic"/>
        </w:rPr>
        <w:t xml:space="preserve">i-prus). </w:t>
      </w:r>
      <w:r>
        <w:t xml:space="preserve">Vgl. </w:t>
      </w:r>
      <w:r>
        <w:rPr>
          <w:rStyle w:val="Footnote7ptSmallCaps"/>
        </w:rPr>
        <w:t xml:space="preserve">Riemschneider: </w:t>
      </w:r>
      <w:r>
        <w:t>Lehrbuch des Akkadischen, S. 158-163.</w:t>
      </w:r>
    </w:p>
  </w:footnote>
  <w:footnote w:id="300">
    <w:p w:rsidR="00BB7EDA" w:rsidRDefault="007D72B3">
      <w:pPr>
        <w:pStyle w:val="Footnote0"/>
        <w:shd w:val="clear" w:color="auto" w:fill="auto"/>
        <w:tabs>
          <w:tab w:val="left" w:pos="283"/>
        </w:tabs>
        <w:spacing w:line="192" w:lineRule="exact"/>
        <w:ind w:left="320" w:hanging="320"/>
        <w:jc w:val="left"/>
      </w:pPr>
      <w:r>
        <w:rPr>
          <w:vertAlign w:val="superscript"/>
        </w:rPr>
        <w:footnoteRef/>
      </w:r>
      <w:r>
        <w:tab/>
        <w:t xml:space="preserve">Vgl. </w:t>
      </w:r>
      <w:r>
        <w:rPr>
          <w:rStyle w:val="Footnote7ptSmallCaps"/>
        </w:rPr>
        <w:t xml:space="preserve">von Siebenthal: </w:t>
      </w:r>
      <w:r>
        <w:t>Die Mehrdeutigkeit sprachlicher Ausdrücke und Text</w:t>
      </w:r>
      <w:r>
        <w:softHyphen/>
        <w:t>interpretation.</w:t>
      </w:r>
    </w:p>
  </w:footnote>
  <w:footnote w:id="301">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Zum Ägyptischen: </w:t>
      </w:r>
      <w:r>
        <w:rPr>
          <w:rStyle w:val="Footnote7ptSmallCaps"/>
        </w:rPr>
        <w:t xml:space="preserve">Gardiner: </w:t>
      </w:r>
      <w:r>
        <w:t xml:space="preserve">Egyptian Grammar; </w:t>
      </w:r>
      <w:r>
        <w:rPr>
          <w:rStyle w:val="Footnote7ptSmallCaps"/>
        </w:rPr>
        <w:t xml:space="preserve">Albright: </w:t>
      </w:r>
      <w:r>
        <w:t>E</w:t>
      </w:r>
      <w:r>
        <w:t xml:space="preserve">gyptian; </w:t>
      </w:r>
      <w:r>
        <w:rPr>
          <w:rStyle w:val="Footnote7ptSmallCaps"/>
        </w:rPr>
        <w:t xml:space="preserve">Er- man: </w:t>
      </w:r>
      <w:r>
        <w:t xml:space="preserve">Kurzer Abriss der ägyptischen Grammatik: </w:t>
      </w:r>
      <w:r>
        <w:rPr>
          <w:rStyle w:val="Footnote7ptSmallCaps"/>
        </w:rPr>
        <w:t xml:space="preserve">Schenkel: </w:t>
      </w:r>
      <w:r>
        <w:t>Tübinger Einfüh</w:t>
      </w:r>
      <w:r>
        <w:softHyphen/>
        <w:t xml:space="preserve">rung in die klassisch-ägyptische Sprache und Schrift; </w:t>
      </w:r>
      <w:r>
        <w:rPr>
          <w:rStyle w:val="Footnote7ptSmallCaps"/>
        </w:rPr>
        <w:t xml:space="preserve">Gukch: </w:t>
      </w:r>
      <w:r>
        <w:t>Ägyptische Grammatik des Ägyptologischen Instituts der Universität Heidelberg (103 S.)</w:t>
      </w:r>
      <w:r>
        <w:rPr>
          <w:vertAlign w:val="subscript"/>
        </w:rPr>
        <w:t>;</w:t>
      </w:r>
      <w:r>
        <w:t xml:space="preserve"> Stand: Wintersemester </w:t>
      </w:r>
      <w:r>
        <w:t>1986/1987 (unveröffentlicht).</w:t>
      </w:r>
    </w:p>
    <w:p w:rsidR="00BB7EDA" w:rsidRDefault="007D72B3">
      <w:pPr>
        <w:pStyle w:val="Footnote0"/>
        <w:shd w:val="clear" w:color="auto" w:fill="auto"/>
        <w:spacing w:line="192" w:lineRule="exact"/>
        <w:ind w:left="320" w:firstLine="0"/>
      </w:pPr>
      <w:r>
        <w:t xml:space="preserve">Die älteren Standardgrammatiken </w:t>
      </w:r>
      <w:r>
        <w:rPr>
          <w:rStyle w:val="Footnote7ptSmallCaps"/>
        </w:rPr>
        <w:t xml:space="preserve">(Gardiner, Brunner, Erman </w:t>
      </w:r>
      <w:r>
        <w:t xml:space="preserve">etc.) sind alle in manchen Teilen veraltet. Der neuere Stand, aufbauend auf den Arbeiten von </w:t>
      </w:r>
      <w:r>
        <w:rPr>
          <w:rStyle w:val="Footnote7ptSmallCaps"/>
        </w:rPr>
        <w:t xml:space="preserve">Polotsky </w:t>
      </w:r>
      <w:r>
        <w:t xml:space="preserve">findet sich z.B. bei </w:t>
      </w:r>
      <w:r>
        <w:rPr>
          <w:rStyle w:val="Footnote7ptSmallCaps"/>
        </w:rPr>
        <w:t xml:space="preserve">Schenkel </w:t>
      </w:r>
      <w:r>
        <w:t xml:space="preserve">und </w:t>
      </w:r>
      <w:r>
        <w:rPr>
          <w:rStyle w:val="Footnote7ptSmallCaps"/>
        </w:rPr>
        <w:t>Gukch.</w:t>
      </w:r>
    </w:p>
    <w:p w:rsidR="00BB7EDA" w:rsidRDefault="007D72B3">
      <w:pPr>
        <w:pStyle w:val="Footnote0"/>
        <w:shd w:val="clear" w:color="auto" w:fill="auto"/>
        <w:spacing w:line="192" w:lineRule="exact"/>
        <w:ind w:left="320" w:firstLine="0"/>
      </w:pPr>
      <w:r>
        <w:t>Diese Grammatiken gehen a</w:t>
      </w:r>
      <w:r>
        <w:t>llgemein vom Mittelägyptischen aus, das sich allerdings nicht sehr stark von den älteren Sprachstufen unterscheidet.</w:t>
      </w:r>
    </w:p>
  </w:footnote>
  <w:footnote w:id="302">
    <w:p w:rsidR="00BB7EDA" w:rsidRDefault="007D72B3">
      <w:pPr>
        <w:pStyle w:val="Footnote0"/>
        <w:shd w:val="clear" w:color="auto" w:fill="auto"/>
        <w:tabs>
          <w:tab w:val="left" w:pos="288"/>
        </w:tabs>
        <w:spacing w:line="192" w:lineRule="exact"/>
        <w:ind w:firstLine="0"/>
      </w:pPr>
      <w:r>
        <w:rPr>
          <w:vertAlign w:val="superscript"/>
        </w:rPr>
        <w:footnoteRef/>
      </w:r>
      <w:r>
        <w:tab/>
        <w:t xml:space="preserve">Vgl.: </w:t>
      </w:r>
      <w:r>
        <w:rPr>
          <w:rStyle w:val="Footnote7ptSmallCaps"/>
        </w:rPr>
        <w:t xml:space="preserve">Albright: </w:t>
      </w:r>
      <w:r>
        <w:t>Coptic, S. 318.</w:t>
      </w:r>
    </w:p>
  </w:footnote>
  <w:footnote w:id="303">
    <w:p w:rsidR="00BB7EDA" w:rsidRDefault="007D72B3">
      <w:pPr>
        <w:pStyle w:val="Footnote0"/>
        <w:shd w:val="clear" w:color="auto" w:fill="auto"/>
        <w:tabs>
          <w:tab w:val="left" w:pos="288"/>
        </w:tabs>
        <w:spacing w:line="192" w:lineRule="exact"/>
        <w:ind w:left="320" w:hanging="320"/>
      </w:pPr>
      <w:r>
        <w:rPr>
          <w:rStyle w:val="Footnote7ptSmallCaps"/>
          <w:vertAlign w:val="superscript"/>
        </w:rPr>
        <w:footnoteRef/>
      </w:r>
      <w:r>
        <w:rPr>
          <w:rStyle w:val="Footnote7ptSmallCaps"/>
        </w:rPr>
        <w:tab/>
        <w:t xml:space="preserve">Gukch: </w:t>
      </w:r>
      <w:r>
        <w:t>Ägyptische Grammatik des Ägyptologischen Instituts der Universi</w:t>
      </w:r>
      <w:r>
        <w:softHyphen/>
        <w:t xml:space="preserve">tät Heidelberg, S. 1-2; Meyers </w:t>
      </w:r>
      <w:r>
        <w:t>Enzyklopädisches Lexikon: Ägyptische Spra</w:t>
      </w:r>
      <w:r>
        <w:softHyphen/>
        <w:t>che, Bd. 1, S. 501.</w:t>
      </w:r>
    </w:p>
  </w:footnote>
  <w:footnote w:id="304">
    <w:p w:rsidR="00BB7EDA" w:rsidRDefault="007D72B3">
      <w:pPr>
        <w:pStyle w:val="Footnote0"/>
        <w:shd w:val="clear" w:color="auto" w:fill="auto"/>
        <w:tabs>
          <w:tab w:val="left" w:pos="288"/>
        </w:tabs>
        <w:spacing w:line="192" w:lineRule="exact"/>
        <w:ind w:firstLine="0"/>
      </w:pPr>
      <w:r>
        <w:rPr>
          <w:vertAlign w:val="superscript"/>
        </w:rPr>
        <w:footnoteRef/>
      </w:r>
      <w:r>
        <w:tab/>
        <w:t>Aus dieser Periode sind nur kurze, schwer verständliche Inschriften bekannt.</w:t>
      </w:r>
    </w:p>
  </w:footnote>
  <w:footnote w:id="305">
    <w:p w:rsidR="00BB7EDA" w:rsidRDefault="007D72B3">
      <w:pPr>
        <w:pStyle w:val="Footnote0"/>
        <w:shd w:val="clear" w:color="auto" w:fill="auto"/>
        <w:tabs>
          <w:tab w:val="left" w:pos="293"/>
        </w:tabs>
        <w:spacing w:line="192" w:lineRule="exact"/>
        <w:ind w:firstLine="0"/>
      </w:pPr>
      <w:r>
        <w:rPr>
          <w:vertAlign w:val="superscript"/>
        </w:rPr>
        <w:footnoteRef/>
      </w:r>
      <w:r>
        <w:tab/>
        <w:t>Diese Sprachstufe ist bereits durch längere Texte bezeugt.</w:t>
      </w:r>
    </w:p>
  </w:footnote>
  <w:footnote w:id="306">
    <w:p w:rsidR="00BB7EDA" w:rsidRDefault="007D72B3">
      <w:pPr>
        <w:pStyle w:val="Footnote0"/>
        <w:shd w:val="clear" w:color="auto" w:fill="auto"/>
        <w:tabs>
          <w:tab w:val="left" w:pos="298"/>
        </w:tabs>
        <w:spacing w:line="192" w:lineRule="exact"/>
        <w:ind w:left="360" w:hanging="360"/>
      </w:pPr>
      <w:r>
        <w:rPr>
          <w:vertAlign w:val="superscript"/>
        </w:rPr>
        <w:footnoteRef/>
      </w:r>
      <w:r>
        <w:tab/>
        <w:t>Das Idiom dieser Periode liegt sehr nahe bei den ält</w:t>
      </w:r>
      <w:r>
        <w:t xml:space="preserve">esten Sprachstufen. Als </w:t>
      </w:r>
      <w:r>
        <w:rPr>
          <w:rStyle w:val="Footnote75ptItalic"/>
        </w:rPr>
        <w:t>klassische Sprache</w:t>
      </w:r>
      <w:r>
        <w:t xml:space="preserve"> wurde es noch bis in die Ptolemäerzeit hinein verwendet. Es entstand durch ins Altägyptische eingedrungene Vulgarismen. Diese Sprachsiufe bildet die Grundlage der modernen Grammatik.</w:t>
      </w:r>
    </w:p>
  </w:footnote>
  <w:footnote w:id="307">
    <w:p w:rsidR="00BB7EDA" w:rsidRDefault="007D72B3">
      <w:pPr>
        <w:pStyle w:val="Footnote0"/>
        <w:shd w:val="clear" w:color="auto" w:fill="auto"/>
        <w:tabs>
          <w:tab w:val="left" w:pos="288"/>
        </w:tabs>
        <w:spacing w:line="192" w:lineRule="exact"/>
        <w:ind w:left="360" w:hanging="360"/>
        <w:jc w:val="left"/>
      </w:pPr>
      <w:r>
        <w:rPr>
          <w:vertAlign w:val="superscript"/>
        </w:rPr>
        <w:footnoteRef/>
      </w:r>
      <w:r>
        <w:tab/>
        <w:t>In dieser Sprachsiufe kam es</w:t>
      </w:r>
      <w:r>
        <w:t xml:space="preserve"> zu einschneidenden Veränderungen ir. der Syntax.</w:t>
      </w:r>
    </w:p>
  </w:footnote>
  <w:footnote w:id="308">
    <w:p w:rsidR="00BB7EDA" w:rsidRDefault="007D72B3">
      <w:pPr>
        <w:pStyle w:val="Footnote0"/>
        <w:shd w:val="clear" w:color="auto" w:fill="auto"/>
        <w:tabs>
          <w:tab w:val="left" w:pos="293"/>
        </w:tabs>
        <w:spacing w:line="192" w:lineRule="exact"/>
        <w:ind w:firstLine="0"/>
      </w:pPr>
      <w:r>
        <w:rPr>
          <w:rStyle w:val="Footnote7ptSmallCaps"/>
          <w:vertAlign w:val="superscript"/>
        </w:rPr>
        <w:footnoteRef/>
      </w:r>
      <w:r>
        <w:rPr>
          <w:rStyle w:val="Footnote7ptSmallCaps"/>
        </w:rPr>
        <w:tab/>
        <w:t xml:space="preserve">Darwin: </w:t>
      </w:r>
      <w:r>
        <w:t>Leben und Briefe von Charles Darwin, Bd. 1, S. 223-224.</w:t>
      </w:r>
    </w:p>
  </w:footnote>
  <w:footnote w:id="309">
    <w:p w:rsidR="00BB7EDA" w:rsidRDefault="007D72B3">
      <w:pPr>
        <w:pStyle w:val="Footnote0"/>
        <w:shd w:val="clear" w:color="auto" w:fill="auto"/>
        <w:tabs>
          <w:tab w:val="left" w:pos="298"/>
        </w:tabs>
        <w:spacing w:line="192" w:lineRule="exact"/>
        <w:ind w:firstLine="0"/>
      </w:pPr>
      <w:r>
        <w:rPr>
          <w:rStyle w:val="Footnote7ptSmallCaps"/>
          <w:vertAlign w:val="superscript"/>
        </w:rPr>
        <w:footnoteRef/>
      </w:r>
      <w:r>
        <w:rPr>
          <w:rStyle w:val="Footnote7ptSmallCaps"/>
        </w:rPr>
        <w:tab/>
        <w:t xml:space="preserve">Darwin: </w:t>
      </w:r>
      <w:r>
        <w:t>Leben und Briefe von Charles Darwin, Bd.l, S. 235,</w:t>
      </w:r>
    </w:p>
  </w:footnote>
  <w:footnote w:id="310">
    <w:p w:rsidR="00BB7EDA" w:rsidRDefault="007D72B3">
      <w:pPr>
        <w:pStyle w:val="Footnote0"/>
        <w:shd w:val="clear" w:color="auto" w:fill="auto"/>
        <w:tabs>
          <w:tab w:val="left" w:pos="288"/>
        </w:tabs>
        <w:spacing w:line="192" w:lineRule="exact"/>
        <w:ind w:firstLine="0"/>
      </w:pPr>
      <w:r>
        <w:rPr>
          <w:rStyle w:val="Footnote7ptSmallCaps"/>
          <w:vertAlign w:val="superscript"/>
        </w:rPr>
        <w:footnoteRef/>
      </w:r>
      <w:r>
        <w:rPr>
          <w:rStyle w:val="Footnote7ptSmallCaps"/>
        </w:rPr>
        <w:tab/>
        <w:t xml:space="preserve">Glashouwer/Ouweneel: </w:t>
      </w:r>
      <w:r>
        <w:rPr>
          <w:rStyle w:val="FootnoteSmallCaps"/>
        </w:rPr>
        <w:t>So</w:t>
      </w:r>
      <w:r>
        <w:t xml:space="preserve"> entstand die Welt, S. 112.</w:t>
      </w:r>
    </w:p>
  </w:footnote>
  <w:footnote w:id="311">
    <w:p w:rsidR="00BB7EDA" w:rsidRDefault="007D72B3">
      <w:pPr>
        <w:pStyle w:val="Footnote0"/>
        <w:shd w:val="clear" w:color="auto" w:fill="auto"/>
        <w:tabs>
          <w:tab w:val="left" w:pos="288"/>
        </w:tabs>
        <w:spacing w:line="192" w:lineRule="exact"/>
        <w:ind w:firstLine="0"/>
      </w:pPr>
      <w:r>
        <w:rPr>
          <w:rStyle w:val="Footnote7pt"/>
        </w:rPr>
        <w:footnoteRef/>
      </w:r>
      <w:r>
        <w:rPr>
          <w:rStyle w:val="Footnote7pt"/>
        </w:rPr>
        <w:tab/>
      </w:r>
      <w:r>
        <w:t xml:space="preserve">Ygl. </w:t>
      </w:r>
      <w:r>
        <w:rPr>
          <w:rStyle w:val="Footnote7ptSmallCaps"/>
        </w:rPr>
        <w:t xml:space="preserve">Zimmer: </w:t>
      </w:r>
      <w:r>
        <w:rPr>
          <w:rStyle w:val="FootnoteSmallCaps"/>
        </w:rPr>
        <w:t>So</w:t>
      </w:r>
      <w:r>
        <w:t xml:space="preserve"> kommt de</w:t>
      </w:r>
      <w:r>
        <w:t>r Mensch zur Sprache, S. 24-25.</w:t>
      </w:r>
    </w:p>
  </w:footnote>
  <w:footnote w:id="312">
    <w:p w:rsidR="00BB7EDA" w:rsidRDefault="007D72B3">
      <w:pPr>
        <w:pStyle w:val="Footnote0"/>
        <w:shd w:val="clear" w:color="auto" w:fill="auto"/>
        <w:tabs>
          <w:tab w:val="left" w:pos="283"/>
        </w:tabs>
        <w:spacing w:line="192" w:lineRule="exact"/>
        <w:ind w:left="320" w:hanging="320"/>
        <w:jc w:val="left"/>
      </w:pPr>
      <w:r>
        <w:footnoteRef/>
      </w:r>
      <w:r>
        <w:tab/>
        <w:t>von Kind zu Kind kann dies allerdings stark variieren, ohne dass deswegen sogleich an irgend ein Problem in der Entwicklung gedacht werden sollte.</w:t>
      </w:r>
    </w:p>
  </w:footnote>
  <w:footnote w:id="313">
    <w:p w:rsidR="00BB7EDA" w:rsidRDefault="007D72B3">
      <w:pPr>
        <w:pStyle w:val="Footnote0"/>
        <w:shd w:val="clear" w:color="auto" w:fill="auto"/>
        <w:tabs>
          <w:tab w:val="left" w:pos="283"/>
        </w:tabs>
        <w:spacing w:line="160" w:lineRule="exact"/>
        <w:ind w:firstLine="0"/>
      </w:pPr>
      <w:r>
        <w:rPr>
          <w:vertAlign w:val="superscript"/>
        </w:rPr>
        <w:footnoteRef/>
      </w:r>
      <w:r>
        <w:tab/>
        <w:t>Vgl. Mat 28,19-20; Mark 16,15; Luk 24,47-49; Joh 20,21; Apg 1,8</w:t>
      </w:r>
    </w:p>
  </w:footnote>
  <w:footnote w:id="314">
    <w:p w:rsidR="00BB7EDA" w:rsidRDefault="007D72B3">
      <w:pPr>
        <w:pStyle w:val="Footnote0"/>
        <w:shd w:val="clear" w:color="auto" w:fill="auto"/>
        <w:tabs>
          <w:tab w:val="left" w:pos="288"/>
        </w:tabs>
        <w:spacing w:line="192" w:lineRule="exact"/>
        <w:ind w:firstLine="0"/>
      </w:pPr>
      <w:r>
        <w:rPr>
          <w:rStyle w:val="Footnote5ptSmallCaps"/>
        </w:rPr>
        <w:footnoteRef/>
      </w:r>
      <w:r>
        <w:rPr>
          <w:rStyle w:val="Footnote5ptSmallCaps"/>
        </w:rPr>
        <w:tab/>
      </w:r>
      <w:r>
        <w:rPr>
          <w:rStyle w:val="Footnote5ptSmallCaps"/>
        </w:rPr>
        <w:t xml:space="preserve">Covvan: </w:t>
      </w:r>
      <w:r>
        <w:t>Warum dieser Aufwand? S. 7.</w:t>
      </w:r>
    </w:p>
  </w:footnote>
  <w:footnote w:id="315">
    <w:p w:rsidR="00BB7EDA" w:rsidRDefault="007D72B3">
      <w:pPr>
        <w:pStyle w:val="Footnote0"/>
        <w:shd w:val="clear" w:color="auto" w:fill="auto"/>
        <w:tabs>
          <w:tab w:val="left" w:pos="298"/>
        </w:tabs>
        <w:spacing w:line="192" w:lineRule="exact"/>
        <w:ind w:left="320" w:hanging="320"/>
        <w:jc w:val="left"/>
      </w:pPr>
      <w:r>
        <w:rPr>
          <w:rStyle w:val="Footnote5pt"/>
        </w:rPr>
        <w:footnoteRef/>
      </w:r>
      <w:r>
        <w:rPr>
          <w:rStyle w:val="Footnote5pt"/>
        </w:rPr>
        <w:tab/>
        <w:t>pj</w:t>
      </w:r>
      <w:r>
        <w:rPr>
          <w:rStyle w:val="Footnote5pt"/>
          <w:vertAlign w:val="subscript"/>
        </w:rPr>
        <w:t>e</w:t>
      </w:r>
      <w:r>
        <w:rPr>
          <w:rStyle w:val="Footnote5pt"/>
        </w:rPr>
        <w:t xml:space="preserve"> j</w:t>
      </w:r>
      <w:r>
        <w:rPr>
          <w:rStyle w:val="Footnote5pt"/>
          <w:vertAlign w:val="subscript"/>
        </w:rPr>
        <w:t>ewe</w:t>
      </w:r>
      <w:r>
        <w:rPr>
          <w:rStyle w:val="Footnote5pt"/>
        </w:rPr>
        <w:t>ji</w:t>
      </w:r>
      <w:r>
        <w:rPr>
          <w:rStyle w:val="Footnote5pt"/>
          <w:vertAlign w:val="subscript"/>
        </w:rPr>
        <w:t>s</w:t>
      </w:r>
      <w:r>
        <w:rPr>
          <w:rStyle w:val="Footnote5pt"/>
        </w:rPr>
        <w:t xml:space="preserve"> </w:t>
      </w:r>
      <w:r>
        <w:t xml:space="preserve">aktuellen Zahlen können unter folgender Adresse eingesehen werden: </w:t>
      </w:r>
      <w:hyperlink r:id="rId2" w:history="1">
        <w:r w:rsidRPr="007D72B3">
          <w:rPr>
            <w:rStyle w:val="Hyperlink"/>
            <w:lang w:eastAsia="en-US" w:bidi="en-US"/>
          </w:rPr>
          <w:t>www.wydiff.ch</w:t>
        </w:r>
      </w:hyperlink>
    </w:p>
  </w:footnote>
  <w:footnote w:id="316">
    <w:p w:rsidR="00BB7EDA" w:rsidRDefault="007D72B3">
      <w:pPr>
        <w:pStyle w:val="Footnote0"/>
        <w:shd w:val="clear" w:color="auto" w:fill="auto"/>
        <w:tabs>
          <w:tab w:val="left" w:pos="293"/>
        </w:tabs>
        <w:spacing w:line="192" w:lineRule="exact"/>
        <w:ind w:left="320" w:hanging="320"/>
      </w:pPr>
      <w:r>
        <w:rPr>
          <w:vertAlign w:val="superscript"/>
        </w:rPr>
        <w:footnoteRef/>
      </w:r>
      <w:r>
        <w:tab/>
      </w:r>
      <w:r>
        <w:t xml:space="preserve">Anschrift für die Schweiz: Wycliff Bibelübersetzer, Poststrasse 16, CH-2504 Biel. Für Deutschland: Wycliff Bibelübersetzer, Pf 603 45, D-57297 Burbach. Zur Geschichte der </w:t>
      </w:r>
      <w:r>
        <w:rPr>
          <w:rStyle w:val="Footnote7pt"/>
        </w:rPr>
        <w:t xml:space="preserve">Wycliff </w:t>
      </w:r>
      <w:r>
        <w:t xml:space="preserve">Bibelübersetzer vgl: </w:t>
      </w:r>
      <w:r>
        <w:rPr>
          <w:rStyle w:val="Footnote7ptSmallCaps"/>
        </w:rPr>
        <w:t xml:space="preserve">Wali is/Bennett: </w:t>
      </w:r>
      <w:r>
        <w:t>Noch 2.00G Sprachen.</w:t>
      </w:r>
    </w:p>
  </w:footnote>
  <w:footnote w:id="317">
    <w:p w:rsidR="00BB7EDA" w:rsidRDefault="007D72B3">
      <w:pPr>
        <w:pStyle w:val="Footnote0"/>
        <w:shd w:val="clear" w:color="auto" w:fill="auto"/>
        <w:tabs>
          <w:tab w:val="left" w:pos="283"/>
        </w:tabs>
        <w:ind w:left="340"/>
        <w:jc w:val="left"/>
      </w:pPr>
      <w:r>
        <w:rPr>
          <w:vertAlign w:val="superscript"/>
        </w:rPr>
        <w:footnoteRef/>
      </w:r>
      <w:r>
        <w:tab/>
        <w:t>Anschrift in der</w:t>
      </w:r>
      <w:r>
        <w:t xml:space="preserve"> Schweiz: AudioGospel, 1 Chemin de Joux, CH-2316 Les Ponts-de-Martel.</w:t>
      </w:r>
    </w:p>
  </w:footnote>
  <w:footnote w:id="318">
    <w:p w:rsidR="00BB7EDA" w:rsidRDefault="007D72B3">
      <w:pPr>
        <w:pStyle w:val="Footnote0"/>
        <w:shd w:val="clear" w:color="auto" w:fill="auto"/>
        <w:tabs>
          <w:tab w:val="left" w:pos="283"/>
        </w:tabs>
        <w:ind w:firstLine="0"/>
      </w:pPr>
      <w:r>
        <w:rPr>
          <w:vertAlign w:val="superscript"/>
        </w:rPr>
        <w:footnoteRef/>
      </w:r>
      <w:r>
        <w:tab/>
        <w:t>Audio Gospei: Echos von Audio Gospei, S. 1.</w:t>
      </w:r>
    </w:p>
  </w:footnote>
  <w:footnote w:id="319">
    <w:p w:rsidR="00BB7EDA" w:rsidRDefault="007D72B3">
      <w:pPr>
        <w:pStyle w:val="Footnote0"/>
        <w:shd w:val="clear" w:color="auto" w:fill="auto"/>
        <w:tabs>
          <w:tab w:val="left" w:pos="288"/>
        </w:tabs>
        <w:ind w:firstLine="0"/>
      </w:pPr>
      <w:r>
        <w:rPr>
          <w:vertAlign w:val="superscript"/>
        </w:rPr>
        <w:footnoteRef/>
      </w:r>
      <w:r>
        <w:tab/>
        <w:t>Audio Gospel: Echos von Audio Gospel, S. 4.</w:t>
      </w:r>
    </w:p>
  </w:footnote>
  <w:footnote w:id="320">
    <w:p w:rsidR="00BB7EDA" w:rsidRDefault="007D72B3">
      <w:pPr>
        <w:pStyle w:val="Footnote0"/>
        <w:shd w:val="clear" w:color="auto" w:fill="auto"/>
        <w:tabs>
          <w:tab w:val="left" w:pos="288"/>
        </w:tabs>
        <w:spacing w:line="160" w:lineRule="exact"/>
        <w:ind w:firstLine="0"/>
      </w:pPr>
      <w:r>
        <w:rPr>
          <w:rStyle w:val="Footnote7ptSmallCaps"/>
          <w:vertAlign w:val="superscript"/>
        </w:rPr>
        <w:footnoteRef/>
      </w:r>
      <w:r>
        <w:rPr>
          <w:rStyle w:val="Footnote7ptSmallCaps"/>
        </w:rPr>
        <w:tab/>
        <w:t xml:space="preserve">Nida: </w:t>
      </w:r>
      <w:r>
        <w:t>Gott spricht viele Sprachen, S. 16.</w:t>
      </w:r>
    </w:p>
  </w:footnote>
  <w:footnote w:id="321">
    <w:p w:rsidR="00BB7EDA" w:rsidRPr="007D72B3" w:rsidRDefault="007D72B3">
      <w:pPr>
        <w:pStyle w:val="Footnote0"/>
        <w:shd w:val="clear" w:color="auto" w:fill="auto"/>
        <w:tabs>
          <w:tab w:val="left" w:pos="259"/>
        </w:tabs>
        <w:spacing w:line="160" w:lineRule="exact"/>
        <w:ind w:firstLine="0"/>
        <w:rPr>
          <w:lang w:val="en-US"/>
        </w:rPr>
      </w:pPr>
      <w:r>
        <w:rPr>
          <w:rStyle w:val="FootnoteSmallCaps"/>
          <w:vertAlign w:val="superscript"/>
        </w:rPr>
        <w:footnoteRef/>
      </w:r>
      <w:r w:rsidRPr="007D72B3">
        <w:rPr>
          <w:rStyle w:val="FootnoteSmallCaps"/>
          <w:lang w:val="en-US"/>
        </w:rPr>
        <w:tab/>
        <w:t>Nida:</w:t>
      </w:r>
      <w:r w:rsidRPr="007D72B3">
        <w:rPr>
          <w:lang w:val="en-US"/>
        </w:rPr>
        <w:t xml:space="preserve"> Coutumes et Cultures, S. 253-254.</w:t>
      </w:r>
    </w:p>
  </w:footnote>
  <w:footnote w:id="322">
    <w:p w:rsidR="00BB7EDA" w:rsidRDefault="007D72B3">
      <w:pPr>
        <w:pStyle w:val="Footnote0"/>
        <w:shd w:val="clear" w:color="auto" w:fill="auto"/>
        <w:tabs>
          <w:tab w:val="left" w:pos="288"/>
        </w:tabs>
        <w:spacing w:line="192" w:lineRule="exact"/>
        <w:ind w:left="340"/>
        <w:jc w:val="left"/>
      </w:pPr>
      <w:r>
        <w:rPr>
          <w:vertAlign w:val="superscript"/>
        </w:rPr>
        <w:footnoteRef/>
      </w:r>
      <w:r>
        <w:tab/>
        <w:t xml:space="preserve">Nirm. </w:t>
      </w:r>
      <w:r>
        <w:t>Coutumes ei Cultures, S. 25b; Girr: Sprache: Das Mittel zur Darstel</w:t>
      </w:r>
      <w:r>
        <w:softHyphen/>
        <w:t>lung, Übertragung und Speicherung von Information, S. 34.</w:t>
      </w:r>
    </w:p>
  </w:footnote>
  <w:footnote w:id="323">
    <w:p w:rsidR="00BB7EDA" w:rsidRDefault="007D72B3">
      <w:pPr>
        <w:pStyle w:val="Footnote0"/>
        <w:shd w:val="clear" w:color="auto" w:fill="auto"/>
        <w:tabs>
          <w:tab w:val="left" w:pos="293"/>
        </w:tabs>
        <w:ind w:left="320" w:hanging="320"/>
        <w:jc w:val="left"/>
      </w:pPr>
      <w:r>
        <w:rPr>
          <w:vertAlign w:val="superscript"/>
        </w:rPr>
        <w:footnoteRef/>
      </w:r>
      <w:r>
        <w:tab/>
        <w:t>Gin: Sprache: Das Mittel zur Darstellung, Übertragung und Speicherung von Information, S. 34.</w:t>
      </w:r>
    </w:p>
  </w:footnote>
  <w:footnote w:id="324">
    <w:p w:rsidR="00BB7EDA" w:rsidRDefault="007D72B3">
      <w:pPr>
        <w:pStyle w:val="Footnote0"/>
        <w:shd w:val="clear" w:color="auto" w:fill="auto"/>
        <w:tabs>
          <w:tab w:val="left" w:pos="288"/>
        </w:tabs>
        <w:ind w:left="320" w:hanging="320"/>
        <w:jc w:val="left"/>
      </w:pPr>
      <w:r>
        <w:rPr>
          <w:vertAlign w:val="superscript"/>
        </w:rPr>
        <w:footnoteRef/>
      </w:r>
      <w:r>
        <w:tab/>
        <w:t>Girr: Sprache: Das Mittel zur Da</w:t>
      </w:r>
      <w:r>
        <w:t>rstellung, Übertragung und Speicherung von Information, S. 34.</w:t>
      </w:r>
    </w:p>
  </w:footnote>
  <w:footnote w:id="325">
    <w:p w:rsidR="00BB7EDA" w:rsidRDefault="007D72B3">
      <w:pPr>
        <w:pStyle w:val="Footnote0"/>
        <w:shd w:val="clear" w:color="auto" w:fill="auto"/>
        <w:tabs>
          <w:tab w:val="left" w:pos="293"/>
        </w:tabs>
        <w:spacing w:line="192" w:lineRule="exact"/>
        <w:ind w:left="320" w:hanging="320"/>
        <w:jc w:val="left"/>
      </w:pPr>
      <w:r>
        <w:rPr>
          <w:vertAlign w:val="superscript"/>
        </w:rPr>
        <w:footnoteRef/>
      </w:r>
      <w:r>
        <w:tab/>
        <w:t xml:space="preserve">Zu den Bantu-Sprachen im Allgemeinen vgl.: </w:t>
      </w:r>
      <w:r>
        <w:rPr>
          <w:rStyle w:val="Footnote7ptSmallCaps"/>
        </w:rPr>
        <w:t xml:space="preserve">Wald: </w:t>
      </w:r>
      <w:r>
        <w:t>Swahili and the Bantu Languages.</w:t>
      </w:r>
    </w:p>
  </w:footnote>
  <w:footnote w:id="326">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Die grammatische Antwort lautet so: Weil das Verkleinerungs-Suffix </w:t>
      </w:r>
      <w:r>
        <w:rPr>
          <w:rStyle w:val="Footnote75ptItalic"/>
        </w:rPr>
        <w:t xml:space="preserve">-lein </w:t>
      </w:r>
      <w:r>
        <w:t>das Wort zu einem Neutrum macht. D</w:t>
      </w:r>
      <w:r>
        <w:t>amit ist aber immer noch nicht erklärt, weshalb man denn überhaupt eine solche Form verwendet, die ein ausge</w:t>
      </w:r>
      <w:r>
        <w:softHyphen/>
        <w:t>sprochen feminines Wesen mit einem Neutrum bezeichnet.</w:t>
      </w:r>
    </w:p>
  </w:footnote>
  <w:footnote w:id="327">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Im Französischen z.B. ist es gerade umgekehrt: </w:t>
      </w:r>
      <w:r>
        <w:rPr>
          <w:rStyle w:val="Footnote75ptItalic"/>
        </w:rPr>
        <w:t>Le beurre</w:t>
      </w:r>
      <w:r>
        <w:t xml:space="preserve"> isi „männlich" und </w:t>
      </w:r>
      <w:r>
        <w:rPr>
          <w:rStyle w:val="Footnote75ptItalic"/>
        </w:rPr>
        <w:t>la pomme</w:t>
      </w:r>
      <w:r>
        <w:t xml:space="preserve"> „weiblich".</w:t>
      </w:r>
    </w:p>
  </w:footnote>
  <w:footnote w:id="328">
    <w:p w:rsidR="00BB7EDA" w:rsidRPr="007D72B3" w:rsidRDefault="007D72B3">
      <w:pPr>
        <w:pStyle w:val="Footnote0"/>
        <w:shd w:val="clear" w:color="auto" w:fill="auto"/>
        <w:tabs>
          <w:tab w:val="left" w:pos="283"/>
        </w:tabs>
        <w:spacing w:line="192" w:lineRule="exact"/>
        <w:ind w:firstLine="0"/>
        <w:rPr>
          <w:lang w:val="en-US"/>
        </w:rPr>
      </w:pPr>
      <w:r>
        <w:rPr>
          <w:rStyle w:val="Footnote7ptSmallCaps"/>
          <w:vertAlign w:val="superscript"/>
        </w:rPr>
        <w:footnoteRef/>
      </w:r>
      <w:r w:rsidRPr="007D72B3">
        <w:rPr>
          <w:rStyle w:val="Footnote7ptSmallCaps"/>
          <w:lang w:val="en-US"/>
        </w:rPr>
        <w:tab/>
        <w:t xml:space="preserve">Nida: </w:t>
      </w:r>
      <w:r w:rsidRPr="007D72B3">
        <w:rPr>
          <w:lang w:val="en-US"/>
        </w:rPr>
        <w:t>Coutumes et Cultures, S. 255.</w:t>
      </w:r>
    </w:p>
  </w:footnote>
  <w:footnote w:id="329">
    <w:p w:rsidR="00BB7EDA" w:rsidRDefault="007D72B3">
      <w:pPr>
        <w:pStyle w:val="Footnote0"/>
        <w:shd w:val="clear" w:color="auto" w:fill="auto"/>
        <w:tabs>
          <w:tab w:val="left" w:pos="283"/>
        </w:tabs>
        <w:spacing w:line="192" w:lineRule="exact"/>
        <w:ind w:left="320" w:hanging="320"/>
        <w:jc w:val="left"/>
      </w:pPr>
      <w:r>
        <w:rPr>
          <w:vertAlign w:val="superscript"/>
        </w:rPr>
        <w:footnoteRef/>
      </w:r>
      <w:r>
        <w:tab/>
        <w:t>Empfehlenswert als beschreibende Grammatik einer einzelnen Bantu-Spra</w:t>
      </w:r>
      <w:r>
        <w:softHyphen/>
        <w:t xml:space="preserve">che ist folgende Publikation: </w:t>
      </w:r>
      <w:r>
        <w:rPr>
          <w:rStyle w:val="Footnote7ptSmallCaps"/>
        </w:rPr>
        <w:t xml:space="preserve">Schaub: </w:t>
      </w:r>
      <w:r>
        <w:t>Babungo.</w:t>
      </w:r>
    </w:p>
  </w:footnote>
  <w:footnote w:id="330">
    <w:p w:rsidR="00BB7EDA" w:rsidRDefault="007D72B3">
      <w:pPr>
        <w:pStyle w:val="Footnote0"/>
        <w:shd w:val="clear" w:color="auto" w:fill="auto"/>
        <w:tabs>
          <w:tab w:val="left" w:pos="293"/>
        </w:tabs>
        <w:spacing w:line="192" w:lineRule="exact"/>
        <w:ind w:left="320" w:hanging="320"/>
      </w:pPr>
      <w:r>
        <w:rPr>
          <w:vertAlign w:val="superscript"/>
        </w:rPr>
        <w:footnoteRef/>
      </w:r>
      <w:r>
        <w:tab/>
        <w:t>Eine ausgezeichnete Einführung in die Sprachen aller möglichen Sprach- stämme bietet</w:t>
      </w:r>
      <w:r>
        <w:t xml:space="preserve"> folgendes Werk: </w:t>
      </w:r>
      <w:r>
        <w:rPr>
          <w:rStyle w:val="Footnote7ptSmallCaps"/>
        </w:rPr>
        <w:t xml:space="preserve">Comrie: </w:t>
      </w:r>
      <w:r>
        <w:t>The The World's Major Languages. Die einzelnen Beiträge stammen jeweils von inernational bedeutenden Spe</w:t>
      </w:r>
      <w:r>
        <w:softHyphen/>
        <w:t>zialisten auf ihrem Gebiet.</w:t>
      </w:r>
    </w:p>
  </w:footnote>
  <w:footnote w:id="331">
    <w:p w:rsidR="00BB7EDA" w:rsidRPr="007D72B3" w:rsidRDefault="007D72B3">
      <w:pPr>
        <w:pStyle w:val="Footnote0"/>
        <w:shd w:val="clear" w:color="auto" w:fill="auto"/>
        <w:tabs>
          <w:tab w:val="left" w:pos="283"/>
        </w:tabs>
        <w:spacing w:line="192" w:lineRule="exact"/>
        <w:ind w:firstLine="0"/>
        <w:rPr>
          <w:lang w:val="en-US"/>
        </w:rPr>
      </w:pPr>
      <w:r>
        <w:rPr>
          <w:vertAlign w:val="superscript"/>
        </w:rPr>
        <w:footnoteRef/>
      </w:r>
      <w:r w:rsidRPr="007D72B3">
        <w:rPr>
          <w:lang w:val="en-US"/>
        </w:rPr>
        <w:tab/>
        <w:t xml:space="preserve">Vgl. </w:t>
      </w:r>
      <w:r w:rsidRPr="007D72B3">
        <w:rPr>
          <w:rStyle w:val="Footnote7ptSmallCaps"/>
          <w:lang w:val="en-US"/>
        </w:rPr>
        <w:t xml:space="preserve">Newman: </w:t>
      </w:r>
      <w:r w:rsidRPr="007D72B3">
        <w:rPr>
          <w:lang w:val="en-US"/>
        </w:rPr>
        <w:t>Hausa and the Chadic Languages.</w:t>
      </w:r>
    </w:p>
  </w:footnote>
  <w:footnote w:id="332">
    <w:p w:rsidR="00BB7EDA" w:rsidRDefault="007D72B3">
      <w:pPr>
        <w:pStyle w:val="Footnote0"/>
        <w:shd w:val="clear" w:color="auto" w:fill="auto"/>
        <w:tabs>
          <w:tab w:val="left" w:pos="283"/>
        </w:tabs>
        <w:spacing w:line="192" w:lineRule="exact"/>
        <w:ind w:firstLine="0"/>
      </w:pPr>
      <w:r>
        <w:rPr>
          <w:vertAlign w:val="superscript"/>
        </w:rPr>
        <w:footnoteRef/>
      </w:r>
      <w:r>
        <w:tab/>
        <w:t xml:space="preserve">Vgl. z.B. </w:t>
      </w:r>
      <w:r>
        <w:rPr>
          <w:rStyle w:val="Footnote7ptSmallCaps"/>
        </w:rPr>
        <w:t xml:space="preserve">Kleinschmidt: </w:t>
      </w:r>
      <w:r>
        <w:t xml:space="preserve">Grammatik der </w:t>
      </w:r>
      <w:r>
        <w:t>grönländischen Sprache.</w:t>
      </w:r>
    </w:p>
  </w:footnote>
  <w:footnote w:id="333">
    <w:p w:rsidR="00BB7EDA" w:rsidRPr="007D72B3" w:rsidRDefault="007D72B3">
      <w:pPr>
        <w:pStyle w:val="Footnote0"/>
        <w:shd w:val="clear" w:color="auto" w:fill="auto"/>
        <w:tabs>
          <w:tab w:val="left" w:pos="283"/>
        </w:tabs>
        <w:spacing w:line="192" w:lineRule="exact"/>
        <w:ind w:firstLine="0"/>
        <w:rPr>
          <w:lang w:val="en-US"/>
        </w:rPr>
      </w:pPr>
      <w:r>
        <w:rPr>
          <w:rStyle w:val="Footnote7ptSmallCaps"/>
          <w:vertAlign w:val="superscript"/>
        </w:rPr>
        <w:footnoteRef/>
      </w:r>
      <w:r w:rsidRPr="007D72B3">
        <w:rPr>
          <w:rStyle w:val="Footnote7ptSmallCaps"/>
          <w:lang w:val="en-US"/>
        </w:rPr>
        <w:tab/>
        <w:t xml:space="preserve">Sanford: </w:t>
      </w:r>
      <w:r w:rsidRPr="007D72B3">
        <w:rPr>
          <w:lang w:val="en-US"/>
        </w:rPr>
        <w:t>Tamil and the Dravidian Languages.</w:t>
      </w:r>
    </w:p>
  </w:footnote>
  <w:footnote w:id="334">
    <w:p w:rsidR="00BB7EDA" w:rsidRDefault="007D72B3">
      <w:pPr>
        <w:pStyle w:val="Footnote0"/>
        <w:shd w:val="clear" w:color="auto" w:fill="auto"/>
        <w:tabs>
          <w:tab w:val="left" w:pos="288"/>
        </w:tabs>
        <w:spacing w:line="160" w:lineRule="exact"/>
        <w:ind w:firstLine="0"/>
      </w:pPr>
      <w:r>
        <w:rPr>
          <w:rStyle w:val="Footnote7ptSmallCaps"/>
          <w:vertAlign w:val="superscript"/>
        </w:rPr>
        <w:footnoteRef/>
      </w:r>
      <w:r>
        <w:rPr>
          <w:rStyle w:val="Footnote7ptSmallCaps"/>
        </w:rPr>
        <w:tab/>
        <w:t xml:space="preserve">Nioa: </w:t>
      </w:r>
      <w:r>
        <w:t>Coutumes et Cultures, S. 260; deutsche Übersetzung: RL.</w:t>
      </w:r>
    </w:p>
  </w:footnote>
  <w:footnote w:id="335">
    <w:p w:rsidR="00BB7EDA" w:rsidRPr="007D72B3" w:rsidRDefault="007D72B3">
      <w:pPr>
        <w:pStyle w:val="Footnote0"/>
        <w:shd w:val="clear" w:color="auto" w:fill="auto"/>
        <w:tabs>
          <w:tab w:val="left" w:pos="288"/>
        </w:tabs>
        <w:spacing w:line="160" w:lineRule="exact"/>
        <w:ind w:firstLine="0"/>
        <w:rPr>
          <w:lang w:val="en-US"/>
        </w:rPr>
      </w:pPr>
      <w:r>
        <w:rPr>
          <w:rStyle w:val="Footnote7ptSmallCaps"/>
          <w:vertAlign w:val="superscript"/>
        </w:rPr>
        <w:footnoteRef/>
      </w:r>
      <w:r w:rsidRPr="007D72B3">
        <w:rPr>
          <w:rStyle w:val="Footnote7ptSmallCaps"/>
          <w:lang w:val="en-US"/>
        </w:rPr>
        <w:tab/>
        <w:t xml:space="preserve">Nida: </w:t>
      </w:r>
      <w:r w:rsidRPr="007D72B3">
        <w:rPr>
          <w:lang w:val="en-US"/>
        </w:rPr>
        <w:t>Coutumes et Cultures, S. 260-261.</w:t>
      </w:r>
    </w:p>
  </w:footnote>
  <w:footnote w:id="336">
    <w:p w:rsidR="00BB7EDA" w:rsidRDefault="007D72B3">
      <w:pPr>
        <w:pStyle w:val="Footnote0"/>
        <w:shd w:val="clear" w:color="auto" w:fill="auto"/>
        <w:tabs>
          <w:tab w:val="left" w:pos="293"/>
        </w:tabs>
        <w:spacing w:line="192" w:lineRule="exact"/>
        <w:ind w:left="340"/>
      </w:pPr>
      <w:r>
        <w:rPr>
          <w:vertAlign w:val="superscript"/>
        </w:rPr>
        <w:footnoteRef/>
      </w:r>
      <w:r>
        <w:tab/>
        <w:t>Oftmals hat sich eine Sprache im Laufe ihrer Geschichte in diverse neue Sprach</w:t>
      </w:r>
      <w:r>
        <w:t>en aufgespaltet. Ein gutes Beispiel hierfür ist das Lateinische, das in den verschiedenen romanischen Sprachen seine Fortsetzung gefunden hat. In diesem Fall umfasst die verfolgbare Periode etwa 2.600 Jahre, weil die ältesten bekannten lateinischen Inschri</w:t>
      </w:r>
      <w:r>
        <w:t xml:space="preserve">ften in die Zeit des 7./6. Jh. v. Chr. datiert werden können (vgl. </w:t>
      </w:r>
      <w:r>
        <w:rPr>
          <w:rStyle w:val="FootnoteSmallCaps"/>
        </w:rPr>
        <w:t>Moser:</w:t>
      </w:r>
      <w:r>
        <w:t xml:space="preserve"> Historische Laut- und Formenlehre der lateinischen Sprache, S. </w:t>
      </w:r>
      <w:r>
        <w:rPr>
          <w:rStyle w:val="Footnote75ptItalic"/>
        </w:rPr>
        <w:t>2-4).</w:t>
      </w:r>
    </w:p>
  </w:footnote>
  <w:footnote w:id="337">
    <w:p w:rsidR="00BB7EDA" w:rsidRDefault="007D72B3">
      <w:pPr>
        <w:pStyle w:val="Footnote0"/>
        <w:shd w:val="clear" w:color="auto" w:fill="auto"/>
        <w:spacing w:line="160" w:lineRule="exact"/>
        <w:ind w:firstLine="0"/>
        <w:jc w:val="left"/>
      </w:pPr>
      <w:r>
        <w:rPr>
          <w:rStyle w:val="Footnote7pt"/>
          <w:vertAlign w:val="superscript"/>
        </w:rPr>
        <w:footnoteRef/>
      </w:r>
      <w:r>
        <w:rPr>
          <w:rStyle w:val="Footnote7pt"/>
        </w:rPr>
        <w:t xml:space="preserve"> Vgl. </w:t>
      </w:r>
      <w:r>
        <w:t xml:space="preserve">z.B. </w:t>
      </w:r>
      <w:r>
        <w:rPr>
          <w:rStyle w:val="Footnote7ptSmallCaps"/>
        </w:rPr>
        <w:t xml:space="preserve">Wilder Smith: </w:t>
      </w:r>
      <w:r>
        <w:t xml:space="preserve">Herkunft und Zukunft des Menschen, </w:t>
      </w:r>
      <w:r>
        <w:rPr>
          <w:rStyle w:val="Footnote7pt"/>
        </w:rPr>
        <w:t>S. 61-82.</w:t>
      </w:r>
    </w:p>
  </w:footnote>
  <w:footnote w:id="338">
    <w:p w:rsidR="00BB7EDA" w:rsidRDefault="007D72B3">
      <w:pPr>
        <w:pStyle w:val="Footnote0"/>
        <w:shd w:val="clear" w:color="auto" w:fill="auto"/>
        <w:spacing w:line="192" w:lineRule="exact"/>
        <w:ind w:left="320" w:hanging="320"/>
      </w:pPr>
      <w:r>
        <w:rPr>
          <w:rStyle w:val="Footnote7ptSmallCaps"/>
          <w:vertAlign w:val="superscript"/>
        </w:rPr>
        <w:footnoteRef/>
      </w:r>
      <w:r>
        <w:rPr>
          <w:rStyle w:val="Footnote7ptSmallCaps"/>
        </w:rPr>
        <w:t xml:space="preserve"> Lifinski: </w:t>
      </w:r>
      <w:r>
        <w:t xml:space="preserve">Semitic Languages, Outline of a Comparative Grammar, S. 262-263; </w:t>
      </w:r>
      <w:r>
        <w:rPr>
          <w:rStyle w:val="Footnote7ptSmallCaps"/>
        </w:rPr>
        <w:t xml:space="preserve">Riemschneider: </w:t>
      </w:r>
      <w:r>
        <w:t xml:space="preserve">Lehrbuch des Akkadischen, S. 148; </w:t>
      </w:r>
      <w:r>
        <w:rPr>
          <w:rStyle w:val="Footnote7ptSmallCaps"/>
        </w:rPr>
        <w:t xml:space="preserve">von Soden: </w:t>
      </w:r>
      <w:r>
        <w:t>Grundriss der akkadischen Grammatik, S. 80-81.</w:t>
      </w:r>
    </w:p>
  </w:footnote>
  <w:footnote w:id="339">
    <w:p w:rsidR="00BB7EDA" w:rsidRDefault="007D72B3">
      <w:pPr>
        <w:pStyle w:val="Footnote0"/>
        <w:numPr>
          <w:ilvl w:val="0"/>
          <w:numId w:val="1"/>
        </w:numPr>
        <w:shd w:val="clear" w:color="auto" w:fill="auto"/>
        <w:tabs>
          <w:tab w:val="left" w:pos="293"/>
        </w:tabs>
        <w:spacing w:line="192" w:lineRule="exact"/>
        <w:ind w:firstLine="0"/>
      </w:pPr>
      <w:r>
        <w:rPr>
          <w:rStyle w:val="Footnote7ptSmallCaps"/>
        </w:rPr>
        <w:t xml:space="preserve">von Soden: </w:t>
      </w:r>
      <w:r>
        <w:t>Grundriss der akkadischen Grammatik, S. 15.</w:t>
      </w:r>
    </w:p>
  </w:footnote>
  <w:footnote w:id="340">
    <w:p w:rsidR="00BB7EDA" w:rsidRDefault="007D72B3">
      <w:pPr>
        <w:pStyle w:val="Footnote0"/>
        <w:shd w:val="clear" w:color="auto" w:fill="auto"/>
        <w:tabs>
          <w:tab w:val="left" w:pos="283"/>
        </w:tabs>
        <w:spacing w:line="192" w:lineRule="exact"/>
        <w:ind w:left="320" w:hanging="320"/>
      </w:pPr>
      <w:r>
        <w:rPr>
          <w:vertAlign w:val="superscript"/>
        </w:rPr>
        <w:footnoteRef/>
      </w:r>
      <w:r>
        <w:tab/>
        <w:t xml:space="preserve">Vgl. nebst </w:t>
      </w:r>
      <w:r>
        <w:rPr>
          <w:rStyle w:val="Footnote7ptSmallCaps"/>
        </w:rPr>
        <w:t xml:space="preserve">von Sodens </w:t>
      </w:r>
      <w:r>
        <w:t>Gramm</w:t>
      </w:r>
      <w:r>
        <w:t xml:space="preserve">atik </w:t>
      </w:r>
      <w:r>
        <w:rPr>
          <w:rStyle w:val="Footnote7ptSmallCaps"/>
        </w:rPr>
        <w:t xml:space="preserve">(von Soden: </w:t>
      </w:r>
      <w:r>
        <w:t xml:space="preserve">Grundriss der akkadischen Grammatik) diejenige von </w:t>
      </w:r>
      <w:r>
        <w:rPr>
          <w:rStyle w:val="Footnote7ptSmallCaps"/>
        </w:rPr>
        <w:t xml:space="preserve">Riemschneider, </w:t>
      </w:r>
      <w:r>
        <w:t>die ebenso alle Perioden des Akka</w:t>
      </w:r>
      <w:r>
        <w:softHyphen/>
        <w:t xml:space="preserve">dischen behandelt </w:t>
      </w:r>
      <w:r>
        <w:rPr>
          <w:rStyle w:val="Footnote7ptSmallCaps"/>
        </w:rPr>
        <w:t xml:space="preserve">(Rjemschneiper: </w:t>
      </w:r>
      <w:r>
        <w:t>Lehrbuch de= Akkadischen).</w:t>
      </w:r>
    </w:p>
  </w:footnote>
  <w:footnote w:id="341">
    <w:p w:rsidR="00BB7EDA" w:rsidRDefault="007D72B3">
      <w:pPr>
        <w:pStyle w:val="Footnote0"/>
        <w:shd w:val="clear" w:color="auto" w:fill="auto"/>
        <w:tabs>
          <w:tab w:val="left" w:pos="283"/>
        </w:tabs>
        <w:spacing w:line="192" w:lineRule="exact"/>
        <w:ind w:firstLine="0"/>
      </w:pPr>
      <w:r>
        <w:rPr>
          <w:vertAlign w:val="superscript"/>
        </w:rPr>
        <w:footnoteRef/>
      </w:r>
      <w:r>
        <w:tab/>
        <w:t xml:space="preserve">Vgl. </w:t>
      </w:r>
      <w:r>
        <w:rPr>
          <w:rStyle w:val="Footnote7ptSmallCaps"/>
        </w:rPr>
        <w:t xml:space="preserve">Gardiner: </w:t>
      </w:r>
      <w:r>
        <w:t xml:space="preserve">Egyptian Grammar, S. </w:t>
      </w:r>
      <w:r>
        <w:rPr>
          <w:rStyle w:val="Footnote7pt"/>
        </w:rPr>
        <w:t>3.</w:t>
      </w:r>
    </w:p>
  </w:footnote>
  <w:footnote w:id="342">
    <w:p w:rsidR="00BB7EDA" w:rsidRDefault="007D72B3">
      <w:pPr>
        <w:pStyle w:val="Footnote0"/>
        <w:shd w:val="clear" w:color="auto" w:fill="auto"/>
        <w:tabs>
          <w:tab w:val="left" w:pos="283"/>
        </w:tabs>
        <w:spacing w:line="192" w:lineRule="exact"/>
        <w:ind w:firstLine="0"/>
      </w:pPr>
      <w:r>
        <w:rPr>
          <w:vertAlign w:val="superscript"/>
        </w:rPr>
        <w:footnoteRef/>
      </w:r>
      <w:r>
        <w:tab/>
        <w:t>In Jes 19,18 wird Hebräisch „die Sp</w:t>
      </w:r>
      <w:r>
        <w:t>rache Kanaans" genannt.</w:t>
      </w:r>
    </w:p>
  </w:footnote>
  <w:footnote w:id="343">
    <w:p w:rsidR="00BB7EDA" w:rsidRDefault="007D72B3">
      <w:pPr>
        <w:pStyle w:val="Footnote0"/>
        <w:shd w:val="clear" w:color="auto" w:fill="auto"/>
        <w:tabs>
          <w:tab w:val="left" w:pos="283"/>
        </w:tabs>
        <w:spacing w:line="192" w:lineRule="exact"/>
        <w:ind w:left="320" w:hanging="320"/>
        <w:jc w:val="left"/>
      </w:pPr>
      <w:r>
        <w:rPr>
          <w:vertAlign w:val="superscript"/>
        </w:rPr>
        <w:footnoteRef/>
      </w:r>
      <w:r>
        <w:tab/>
        <w:t xml:space="preserve">Allgemein zur Sprachgeschichte des Hebräischen vgl.: </w:t>
      </w:r>
      <w:r>
        <w:rPr>
          <w:rStyle w:val="Footnote7ptSmallCaps"/>
        </w:rPr>
        <w:t xml:space="preserve">Hetzron: </w:t>
      </w:r>
      <w:r>
        <w:t xml:space="preserve">Hebrew, S. 686-704; </w:t>
      </w:r>
      <w:r>
        <w:rPr>
          <w:rStyle w:val="Footnote7ptSmallCaps"/>
        </w:rPr>
        <w:t xml:space="preserve">Bergstrasser: </w:t>
      </w:r>
      <w:r>
        <w:t>Einführung in die semitischen Sprachen, S. 36-59.</w:t>
      </w:r>
    </w:p>
  </w:footnote>
  <w:footnote w:id="344">
    <w:p w:rsidR="00BB7EDA" w:rsidRDefault="007D72B3">
      <w:pPr>
        <w:pStyle w:val="Footnote0"/>
        <w:shd w:val="clear" w:color="auto" w:fill="auto"/>
        <w:tabs>
          <w:tab w:val="left" w:pos="293"/>
        </w:tabs>
        <w:spacing w:line="192" w:lineRule="exact"/>
        <w:ind w:firstLine="0"/>
      </w:pPr>
      <w:r>
        <w:rPr>
          <w:vertAlign w:val="superscript"/>
        </w:rPr>
        <w:footnoteRef/>
      </w:r>
      <w:r>
        <w:tab/>
        <w:t>Dies entspricht der Abfassungszeit der Schriften des Alten Testaments.</w:t>
      </w:r>
    </w:p>
  </w:footnote>
  <w:footnote w:id="345">
    <w:p w:rsidR="00BB7EDA" w:rsidRDefault="007D72B3">
      <w:pPr>
        <w:pStyle w:val="Footnote0"/>
        <w:shd w:val="clear" w:color="auto" w:fill="auto"/>
        <w:tabs>
          <w:tab w:val="left" w:pos="293"/>
        </w:tabs>
        <w:spacing w:line="192" w:lineRule="exact"/>
        <w:ind w:left="340"/>
      </w:pPr>
      <w:r>
        <w:rPr>
          <w:vertAlign w:val="superscript"/>
        </w:rPr>
        <w:footnoteRef/>
      </w:r>
      <w:r>
        <w:tab/>
      </w:r>
      <w:r>
        <w:t xml:space="preserve">Durch die Pionierarbeit von Elieser </w:t>
      </w:r>
      <w:r>
        <w:rPr>
          <w:rStyle w:val="Footnote7ptSmallCaps"/>
        </w:rPr>
        <w:t xml:space="preserve">Ben-Jehuda </w:t>
      </w:r>
      <w:r>
        <w:t xml:space="preserve">wurde Hebräisch, das eine tote Sprache war, wieder zum Leben erweckt. Diese Wiederbelebung einer toten Nationalsprache ist ohne Parallele in der gesamten Weltgeschichte (vgl. </w:t>
      </w:r>
      <w:r>
        <w:rPr>
          <w:rStyle w:val="Footnote7ptSmallCaps"/>
        </w:rPr>
        <w:t xml:space="preserve">St. John: </w:t>
      </w:r>
      <w:r>
        <w:t>Die Sprache der Prophete</w:t>
      </w:r>
      <w:r>
        <w:t>n). Gemäß dem Propheten Jesaja sollte Hebräisch, „die Sprache Kanaans", in der „Endzeit", d.h. in der Zeit der Rückkehr des jüdischen Volkes aus dem weltweiten Exil ins L and der Väte</w:t>
      </w:r>
      <w:r>
        <w:rPr>
          <w:vertAlign w:val="superscript"/>
        </w:rPr>
        <w:t xml:space="preserve">r </w:t>
      </w:r>
      <w:r>
        <w:t>(vgl. Hes 38,8) eine lebendige, gesprochene Sprache sein (Jes 19,18).</w:t>
      </w:r>
    </w:p>
  </w:footnote>
  <w:footnote w:id="346">
    <w:p w:rsidR="00BB7EDA" w:rsidRDefault="007D72B3">
      <w:pPr>
        <w:pStyle w:val="Footnote30"/>
        <w:shd w:val="clear" w:color="auto" w:fill="auto"/>
        <w:tabs>
          <w:tab w:val="left" w:pos="288"/>
        </w:tabs>
        <w:spacing w:line="192" w:lineRule="exact"/>
        <w:jc w:val="both"/>
      </w:pPr>
      <w:r>
        <w:rPr>
          <w:rStyle w:val="Footnote3SmallCaps"/>
          <w:vertAlign w:val="superscript"/>
        </w:rPr>
        <w:footnoteRef/>
      </w:r>
      <w:r>
        <w:rPr>
          <w:rStyle w:val="Footnote3SmallCaps"/>
        </w:rPr>
        <w:tab/>
        <w:t xml:space="preserve">Hetzron: </w:t>
      </w:r>
      <w:r>
        <w:rPr>
          <w:rStyle w:val="Footnote38pt"/>
        </w:rPr>
        <w:t xml:space="preserve">Hebrew, S. </w:t>
      </w:r>
      <w:r>
        <w:t>691.</w:t>
      </w:r>
    </w:p>
  </w:footnote>
  <w:footnote w:id="347">
    <w:p w:rsidR="00BB7EDA" w:rsidRDefault="007D72B3">
      <w:pPr>
        <w:pStyle w:val="Footnote0"/>
        <w:shd w:val="clear" w:color="auto" w:fill="auto"/>
        <w:tabs>
          <w:tab w:val="left" w:pos="298"/>
        </w:tabs>
        <w:spacing w:line="192" w:lineRule="exact"/>
        <w:ind w:firstLine="0"/>
      </w:pPr>
      <w:r>
        <w:rPr>
          <w:vertAlign w:val="superscript"/>
        </w:rPr>
        <w:footnoteRef/>
      </w:r>
      <w:r>
        <w:tab/>
        <w:t>Damit meine ich die so genannten wajiqtol-Formen.</w:t>
      </w:r>
    </w:p>
  </w:footnote>
  <w:footnote w:id="348">
    <w:p w:rsidR="00BB7EDA" w:rsidRDefault="007D72B3">
      <w:pPr>
        <w:pStyle w:val="Footnote0"/>
        <w:shd w:val="clear" w:color="auto" w:fill="auto"/>
        <w:tabs>
          <w:tab w:val="left" w:pos="293"/>
        </w:tabs>
        <w:spacing w:line="192" w:lineRule="exact"/>
        <w:ind w:left="320" w:hanging="320"/>
      </w:pPr>
      <w:r>
        <w:rPr>
          <w:vertAlign w:val="superscript"/>
        </w:rPr>
        <w:footnoteRef/>
      </w:r>
      <w:r>
        <w:tab/>
        <w:t xml:space="preserve">Zur Morphologie des althebräischen Verbums vgl. z.B.: </w:t>
      </w:r>
      <w:r>
        <w:rPr>
          <w:rStyle w:val="Footnote7ptSmallCaps"/>
        </w:rPr>
        <w:t xml:space="preserve">Meyer: </w:t>
      </w:r>
      <w:r>
        <w:t xml:space="preserve">Hebräische Grammatik, Band </w:t>
      </w:r>
      <w:r>
        <w:rPr>
          <w:rStyle w:val="Footnote7pt"/>
        </w:rPr>
        <w:t xml:space="preserve">2. </w:t>
      </w:r>
      <w:r>
        <w:t xml:space="preserve">Zur Syntax des Verbums im Althebräischen: </w:t>
      </w:r>
      <w:r>
        <w:rPr>
          <w:rStyle w:val="Footnote7ptSmallCaps"/>
        </w:rPr>
        <w:t xml:space="preserve">Niccacci: </w:t>
      </w:r>
      <w:r>
        <w:t>The Syntax of the Verb in Classic</w:t>
      </w:r>
      <w:r>
        <w:t xml:space="preserve">al Hebrew Prose. Zu den Veränderungen im Bereich der Phonologie: </w:t>
      </w:r>
      <w:r>
        <w:rPr>
          <w:rStyle w:val="Footnote7ptSmallCaps"/>
        </w:rPr>
        <w:t xml:space="preserve">Peters: </w:t>
      </w:r>
      <w:r>
        <w:t xml:space="preserve">Zum Vokalismus des Hebräischen in vorexi- lischer Zeit. Zum Rückgang des Narrativs in nachbiblischer Zeit: </w:t>
      </w:r>
      <w:r>
        <w:rPr>
          <w:rStyle w:val="Footnote7ptSmallCaps"/>
        </w:rPr>
        <w:t xml:space="preserve">Archer: </w:t>
      </w:r>
      <w:r>
        <w:t>Das Hebräische im Buch Daniel verglichen mit den Schriften der Sekte</w:t>
      </w:r>
      <w:r>
        <w:t xml:space="preserve"> von Qumran. Zum Neuhebräischen: </w:t>
      </w:r>
      <w:r>
        <w:rPr>
          <w:rStyle w:val="Footnote7ptSmallCaps"/>
        </w:rPr>
        <w:t xml:space="preserve">Berman: </w:t>
      </w:r>
      <w:r>
        <w:t>Modern Hebrew Structure.</w:t>
      </w:r>
    </w:p>
  </w:footnote>
  <w:footnote w:id="349">
    <w:p w:rsidR="00BB7EDA" w:rsidRDefault="007D72B3">
      <w:pPr>
        <w:pStyle w:val="Footnote0"/>
        <w:shd w:val="clear" w:color="auto" w:fill="auto"/>
        <w:tabs>
          <w:tab w:val="left" w:pos="298"/>
        </w:tabs>
        <w:spacing w:line="192" w:lineRule="exact"/>
        <w:ind w:left="320" w:hanging="320"/>
        <w:jc w:val="left"/>
      </w:pPr>
      <w:r>
        <w:rPr>
          <w:vertAlign w:val="superscript"/>
        </w:rPr>
        <w:footnoteRef/>
      </w:r>
      <w:r>
        <w:tab/>
        <w:t xml:space="preserve">Zum Begriff der Veqatal-Formen vgl.: </w:t>
      </w:r>
      <w:r>
        <w:rPr>
          <w:rStyle w:val="Footnote7ptSmallCaps"/>
        </w:rPr>
        <w:t xml:space="preserve">Niccacci: </w:t>
      </w:r>
      <w:r>
        <w:t>The Syntax of the Verb in Classical Hebrew Prose.</w:t>
      </w:r>
    </w:p>
  </w:footnote>
  <w:footnote w:id="350">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Zu den seltenen Stammformen vgl. </w:t>
      </w:r>
      <w:r>
        <w:rPr>
          <w:rStyle w:val="Footnote7ptSmallCaps"/>
        </w:rPr>
        <w:t xml:space="preserve">Joüon/Muraoka: </w:t>
      </w:r>
      <w:r>
        <w:t xml:space="preserve">A Grammer of Biblical Hebrew, § 59: </w:t>
      </w:r>
      <w:r>
        <w:rPr>
          <w:rStyle w:val="Footnote7ptSmallCaps"/>
        </w:rPr>
        <w:t>Gesen</w:t>
      </w:r>
      <w:r>
        <w:rPr>
          <w:rStyle w:val="Footnote7ptSmallCaps"/>
        </w:rPr>
        <w:t xml:space="preserve">ius/Kautzsch/BergstrAsser: </w:t>
      </w:r>
      <w:r>
        <w:t xml:space="preserve">Hebräische Grammatik, § 55; </w:t>
      </w:r>
      <w:r>
        <w:rPr>
          <w:rStyle w:val="Footnote7ptSmallCaps"/>
        </w:rPr>
        <w:t xml:space="preserve">Meyer: </w:t>
      </w:r>
      <w:r>
        <w:t>Hebräische Grammatik, Bd. 2, § 72.</w:t>
      </w:r>
    </w:p>
    <w:p w:rsidR="00BB7EDA" w:rsidRDefault="007D72B3">
      <w:pPr>
        <w:pStyle w:val="Footnote0"/>
        <w:shd w:val="clear" w:color="auto" w:fill="auto"/>
        <w:spacing w:line="192" w:lineRule="exact"/>
        <w:ind w:left="320" w:firstLine="0"/>
      </w:pPr>
      <w:r>
        <w:t xml:space="preserve">In Verbindung mit dem im Mittelhebräischen sehr verbreiteten Nitpa'el könnte man argumentieren, dass die Formen dieses Verbalstammes, der eine Art Niph'al zum </w:t>
      </w:r>
      <w:r>
        <w:t xml:space="preserve">Hitpa'el darstellt, ein plötzlich durch Rekombination evolu- tiv neu auftauchender Verbalstamm gewesen sei. Diese Behauptung wäre aber falsch. Der Nitpa'el existiert offensichtlich auch schon im AT, allerdings als sehr seltene Form (vgl. </w:t>
      </w:r>
      <w:r>
        <w:rPr>
          <w:rStyle w:val="Footnote7ptSmallCaps"/>
        </w:rPr>
        <w:t>Gesenius/Kautzsch/</w:t>
      </w:r>
      <w:r>
        <w:rPr>
          <w:rStyle w:val="Footnote7ptSmallCaps"/>
        </w:rPr>
        <w:t xml:space="preserve">Bergstrasser: </w:t>
      </w:r>
      <w:r>
        <w:t>Hebräische Grammatik, §55, i). Daraus erkennen wir etwas grundsätzlich zu Beachten</w:t>
      </w:r>
      <w:r>
        <w:softHyphen/>
        <w:t>des: Es ist möglich, dass eine seltene Stammform in einer späteren Zeit zu</w:t>
      </w:r>
    </w:p>
  </w:footnote>
  <w:footnote w:id="351">
    <w:p w:rsidR="00BB7EDA" w:rsidRPr="007D72B3" w:rsidRDefault="007D72B3">
      <w:pPr>
        <w:pStyle w:val="Footnote0"/>
        <w:shd w:val="clear" w:color="auto" w:fill="auto"/>
        <w:ind w:left="320" w:hanging="320"/>
        <w:rPr>
          <w:lang w:val="en-US"/>
        </w:rPr>
      </w:pPr>
      <w:r>
        <w:rPr>
          <w:vertAlign w:val="superscript"/>
        </w:rPr>
        <w:footnoteRef/>
      </w:r>
      <w:r w:rsidRPr="007D72B3">
        <w:rPr>
          <w:lang w:val="en-US"/>
        </w:rPr>
        <w:t xml:space="preserve"> Zum Sanskrit </w:t>
      </w:r>
      <w:r w:rsidRPr="007D72B3">
        <w:rPr>
          <w:rStyle w:val="Footnote7pt"/>
          <w:lang w:val="en-US"/>
        </w:rPr>
        <w:t xml:space="preserve">vgl.: </w:t>
      </w:r>
      <w:r w:rsidRPr="007D72B3">
        <w:rPr>
          <w:rStyle w:val="Footnote7ptSmallCaps"/>
          <w:lang w:val="en-US"/>
        </w:rPr>
        <w:t xml:space="preserve">Cardona: </w:t>
      </w:r>
      <w:r w:rsidRPr="007D72B3">
        <w:rPr>
          <w:lang w:val="en-US"/>
        </w:rPr>
        <w:t xml:space="preserve">Sanskrit, S. 448-469; </w:t>
      </w:r>
      <w:r w:rsidRPr="007D72B3">
        <w:rPr>
          <w:rStyle w:val="Footnote7ptSmallCaps"/>
          <w:lang w:val="en-US"/>
        </w:rPr>
        <w:t xml:space="preserve">Whitney: A </w:t>
      </w:r>
      <w:r w:rsidRPr="007D72B3">
        <w:rPr>
          <w:lang w:val="en-US"/>
        </w:rPr>
        <w:t>Sanskrit Grammar, Inc</w:t>
      </w:r>
      <w:r w:rsidRPr="007D72B3">
        <w:rPr>
          <w:lang w:val="en-US"/>
        </w:rPr>
        <w:t>ludingboth the Classical Language, and the Older Dialects, Of Veda and Brahmana.</w:t>
      </w:r>
    </w:p>
  </w:footnote>
  <w:footnote w:id="352">
    <w:p w:rsidR="00BB7EDA" w:rsidRDefault="007D72B3">
      <w:pPr>
        <w:pStyle w:val="Footnote0"/>
        <w:shd w:val="clear" w:color="auto" w:fill="auto"/>
        <w:tabs>
          <w:tab w:val="left" w:pos="293"/>
        </w:tabs>
        <w:spacing w:line="192" w:lineRule="exact"/>
        <w:ind w:left="320" w:hanging="320"/>
      </w:pPr>
      <w:r>
        <w:rPr>
          <w:vertAlign w:val="superscript"/>
        </w:rPr>
        <w:footnoteRef/>
      </w:r>
      <w:r>
        <w:tab/>
        <w:t xml:space="preserve">Zur Sprachgeschichte des Griechischen vgl.: </w:t>
      </w:r>
      <w:r>
        <w:rPr>
          <w:rStyle w:val="Footnote7ptSmallCaps"/>
        </w:rPr>
        <w:t xml:space="preserve">Joseph: </w:t>
      </w:r>
      <w:r>
        <w:t xml:space="preserve">Greek, S. 410-439; </w:t>
      </w:r>
      <w:r>
        <w:rPr>
          <w:rStyle w:val="Footnote7ptSmallCaps"/>
        </w:rPr>
        <w:t xml:space="preserve">Hoff- mann/von Siebenthal; </w:t>
      </w:r>
      <w:r>
        <w:t>Griechische Grammatik des Neuen Testamentes, S. 1-3.</w:t>
      </w:r>
    </w:p>
  </w:footnote>
  <w:footnote w:id="353">
    <w:p w:rsidR="00BB7EDA" w:rsidRDefault="007D72B3">
      <w:pPr>
        <w:pStyle w:val="Footnote0"/>
        <w:shd w:val="clear" w:color="auto" w:fill="auto"/>
        <w:tabs>
          <w:tab w:val="left" w:pos="288"/>
        </w:tabs>
        <w:ind w:firstLine="0"/>
      </w:pPr>
      <w:r>
        <w:rPr>
          <w:vertAlign w:val="superscript"/>
        </w:rPr>
        <w:footnoteRef/>
      </w:r>
      <w:r>
        <w:tab/>
        <w:t xml:space="preserve">Vgl. z.B.: </w:t>
      </w:r>
      <w:r>
        <w:rPr>
          <w:rStyle w:val="Footnote7ptSmallCaps"/>
        </w:rPr>
        <w:t xml:space="preserve">Bornemann/Risch: </w:t>
      </w:r>
      <w:r>
        <w:t>Griechische Grammatik.</w:t>
      </w:r>
    </w:p>
  </w:footnote>
  <w:footnote w:id="354">
    <w:p w:rsidR="00BB7EDA" w:rsidRDefault="007D72B3">
      <w:pPr>
        <w:pStyle w:val="Footnote0"/>
        <w:shd w:val="clear" w:color="auto" w:fill="auto"/>
        <w:tabs>
          <w:tab w:val="left" w:pos="293"/>
        </w:tabs>
        <w:ind w:left="320" w:hanging="320"/>
        <w:jc w:val="left"/>
      </w:pPr>
      <w:r>
        <w:rPr>
          <w:vertAlign w:val="superscript"/>
        </w:rPr>
        <w:footnoteRef/>
      </w:r>
      <w:r>
        <w:tab/>
        <w:t>Beim Zählen kommt es darauf an, ob man die gleichlautenden Passiv- und Mediumformen im Präsens zusammenfasst oder nicht.</w:t>
      </w:r>
    </w:p>
  </w:footnote>
  <w:footnote w:id="355">
    <w:p w:rsidR="00BB7EDA" w:rsidRDefault="007D72B3">
      <w:pPr>
        <w:pStyle w:val="Footnote0"/>
        <w:shd w:val="clear" w:color="auto" w:fill="auto"/>
        <w:tabs>
          <w:tab w:val="left" w:pos="283"/>
        </w:tabs>
        <w:ind w:left="320" w:hanging="320"/>
      </w:pPr>
      <w:r>
        <w:rPr>
          <w:vertAlign w:val="superscript"/>
        </w:rPr>
        <w:footnoteRef/>
      </w:r>
      <w:r>
        <w:tab/>
        <w:t xml:space="preserve">Als sehr konservativ sind z.B. ebenso die baltischen (Litauisch, Lettisch) und die </w:t>
      </w:r>
      <w:r>
        <w:t>slawischen Sprachen zu bezeichnen. Aber auch sie blieben von dem Zerfallsgesetz nicht verschont.</w:t>
      </w:r>
    </w:p>
  </w:footnote>
  <w:footnote w:id="356">
    <w:p w:rsidR="00BB7EDA" w:rsidRDefault="007D72B3">
      <w:pPr>
        <w:pStyle w:val="Footnote0"/>
        <w:shd w:val="clear" w:color="auto" w:fill="auto"/>
        <w:tabs>
          <w:tab w:val="left" w:pos="288"/>
        </w:tabs>
        <w:ind w:firstLine="0"/>
      </w:pPr>
      <w:r>
        <w:rPr>
          <w:vertAlign w:val="superscript"/>
        </w:rPr>
        <w:footnoteRef/>
      </w:r>
      <w:r>
        <w:tab/>
        <w:t xml:space="preserve">Vgl. </w:t>
      </w:r>
      <w:r>
        <w:rPr>
          <w:rStyle w:val="Footnote7ptSmallCaps"/>
        </w:rPr>
        <w:t xml:space="preserve">Risch: </w:t>
      </w:r>
      <w:r>
        <w:t>Griechisch, passim.</w:t>
      </w:r>
    </w:p>
  </w:footnote>
  <w:footnote w:id="357">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Zum Lateinischen vgl.: </w:t>
      </w:r>
      <w:r>
        <w:rPr>
          <w:rStyle w:val="Footnote7ptSmallCaps"/>
        </w:rPr>
        <w:t xml:space="preserve">Linnenkugel: </w:t>
      </w:r>
      <w:r>
        <w:t xml:space="preserve">Lateinische Grammatik; </w:t>
      </w:r>
      <w:r>
        <w:rPr>
          <w:rStyle w:val="Footnote7ptSmallCaps"/>
        </w:rPr>
        <w:t xml:space="preserve">Coleman: </w:t>
      </w:r>
      <w:r>
        <w:t>La</w:t>
      </w:r>
      <w:r>
        <w:softHyphen/>
        <w:t>tin and the Italic Languages.</w:t>
      </w:r>
    </w:p>
  </w:footnote>
  <w:footnote w:id="358">
    <w:p w:rsidR="00BB7EDA" w:rsidRPr="007D72B3" w:rsidRDefault="007D72B3">
      <w:pPr>
        <w:pStyle w:val="Footnote0"/>
        <w:shd w:val="clear" w:color="auto" w:fill="auto"/>
        <w:tabs>
          <w:tab w:val="left" w:pos="288"/>
        </w:tabs>
        <w:spacing w:line="192" w:lineRule="exact"/>
        <w:ind w:left="320" w:hanging="320"/>
        <w:jc w:val="left"/>
        <w:rPr>
          <w:lang w:val="en-US"/>
        </w:rPr>
      </w:pPr>
      <w:r>
        <w:rPr>
          <w:vertAlign w:val="superscript"/>
        </w:rPr>
        <w:footnoteRef/>
      </w:r>
      <w:r w:rsidRPr="007D72B3">
        <w:rPr>
          <w:lang w:val="en-US"/>
        </w:rPr>
        <w:tab/>
        <w:t xml:space="preserve">Vgl. als Überblick: </w:t>
      </w:r>
      <w:r w:rsidRPr="007D72B3">
        <w:rPr>
          <w:rStyle w:val="Footnote7ptSmallCaps"/>
          <w:lang w:val="en-US"/>
        </w:rPr>
        <w:t xml:space="preserve">Green: </w:t>
      </w:r>
      <w:r w:rsidRPr="007D72B3">
        <w:rPr>
          <w:lang w:val="en-US"/>
        </w:rPr>
        <w:t xml:space="preserve">Romance Languages; </w:t>
      </w:r>
      <w:r w:rsidRPr="007D72B3">
        <w:rPr>
          <w:rStyle w:val="Footnote7ptSmallCaps"/>
          <w:lang w:val="en-US"/>
        </w:rPr>
        <w:t xml:space="preserve">Harris: </w:t>
      </w:r>
      <w:r w:rsidRPr="007D72B3">
        <w:rPr>
          <w:lang w:val="en-US"/>
        </w:rPr>
        <w:t xml:space="preserve">French; </w:t>
      </w:r>
      <w:r w:rsidRPr="007D72B3">
        <w:rPr>
          <w:rStyle w:val="Footnote7ptSmallCaps"/>
          <w:lang w:val="en-US"/>
        </w:rPr>
        <w:t xml:space="preserve">Green: </w:t>
      </w:r>
      <w:r w:rsidRPr="007D72B3">
        <w:rPr>
          <w:lang w:val="en-US"/>
        </w:rPr>
        <w:t xml:space="preserve">Spa- nish; </w:t>
      </w:r>
      <w:r w:rsidRPr="007D72B3">
        <w:rPr>
          <w:rStyle w:val="Footnote7ptSmallCaps"/>
          <w:lang w:val="en-US"/>
        </w:rPr>
        <w:t xml:space="preserve">Parkinson: </w:t>
      </w:r>
      <w:r w:rsidRPr="007D72B3">
        <w:rPr>
          <w:lang w:val="en-US"/>
        </w:rPr>
        <w:t xml:space="preserve">Poituguese; </w:t>
      </w:r>
      <w:r w:rsidRPr="007D72B3">
        <w:rPr>
          <w:rStyle w:val="Footnote7ptSmallCaps"/>
          <w:lang w:val="en-US"/>
        </w:rPr>
        <w:t xml:space="preserve">Vincent: </w:t>
      </w:r>
      <w:r w:rsidRPr="007D72B3">
        <w:rPr>
          <w:lang w:val="en-US"/>
        </w:rPr>
        <w:t xml:space="preserve">Iialian; </w:t>
      </w:r>
      <w:r w:rsidRPr="007D72B3">
        <w:rPr>
          <w:rStyle w:val="Footnote7ptSmallCaps"/>
          <w:lang w:val="en-US"/>
        </w:rPr>
        <w:t xml:space="preserve">Mallinson: </w:t>
      </w:r>
      <w:r w:rsidRPr="007D72B3">
        <w:rPr>
          <w:lang w:val="en-US"/>
        </w:rPr>
        <w:t>Rumanian.</w:t>
      </w:r>
    </w:p>
  </w:footnote>
  <w:footnote w:id="359">
    <w:p w:rsidR="00BB7EDA" w:rsidRDefault="007D72B3">
      <w:pPr>
        <w:pStyle w:val="Footnote0"/>
        <w:shd w:val="clear" w:color="auto" w:fill="auto"/>
        <w:tabs>
          <w:tab w:val="left" w:pos="288"/>
        </w:tabs>
        <w:spacing w:line="192" w:lineRule="exact"/>
        <w:ind w:firstLine="0"/>
      </w:pPr>
      <w:r>
        <w:rPr>
          <w:rStyle w:val="Footnote7ptSmallCaps"/>
          <w:vertAlign w:val="superscript"/>
        </w:rPr>
        <w:footnoteRef/>
      </w:r>
      <w:r>
        <w:rPr>
          <w:rStyle w:val="Footnote7ptSmallCaps"/>
        </w:rPr>
        <w:tab/>
        <w:t xml:space="preserve">Bodmer: </w:t>
      </w:r>
      <w:r>
        <w:t>Die Sprachen der Welt, S. 213.</w:t>
      </w:r>
    </w:p>
  </w:footnote>
  <w:footnote w:id="360">
    <w:p w:rsidR="00BB7EDA" w:rsidRDefault="007D72B3">
      <w:pPr>
        <w:pStyle w:val="Footnote0"/>
        <w:shd w:val="clear" w:color="auto" w:fill="auto"/>
        <w:tabs>
          <w:tab w:val="left" w:pos="293"/>
        </w:tabs>
        <w:ind w:firstLine="0"/>
      </w:pPr>
      <w:r>
        <w:rPr>
          <w:rStyle w:val="Footnote7ptSmallCaps"/>
          <w:vertAlign w:val="superscript"/>
        </w:rPr>
        <w:footnoteRef/>
      </w:r>
      <w:r>
        <w:rPr>
          <w:rStyle w:val="Footnote7ptSmallCaps"/>
        </w:rPr>
        <w:tab/>
        <w:t xml:space="preserve">Bodmer: </w:t>
      </w:r>
      <w:r>
        <w:t xml:space="preserve">Die Sprachen der Welt, S. </w:t>
      </w:r>
      <w:r>
        <w:rPr>
          <w:rStyle w:val="Footnote7pt"/>
        </w:rPr>
        <w:t>88.</w:t>
      </w:r>
    </w:p>
  </w:footnote>
  <w:footnote w:id="361">
    <w:p w:rsidR="00BB7EDA" w:rsidRPr="007D72B3" w:rsidRDefault="007D72B3">
      <w:pPr>
        <w:pStyle w:val="Footnote0"/>
        <w:shd w:val="clear" w:color="auto" w:fill="auto"/>
        <w:tabs>
          <w:tab w:val="left" w:pos="288"/>
        </w:tabs>
        <w:ind w:firstLine="0"/>
        <w:rPr>
          <w:lang w:val="en-US"/>
        </w:rPr>
      </w:pPr>
      <w:r>
        <w:rPr>
          <w:rStyle w:val="Footnote7ptSmallCaps"/>
          <w:vertAlign w:val="superscript"/>
        </w:rPr>
        <w:footnoteRef/>
      </w:r>
      <w:r w:rsidRPr="007D72B3">
        <w:rPr>
          <w:rStyle w:val="Footnote7ptSmallCaps"/>
          <w:lang w:val="en-US"/>
        </w:rPr>
        <w:tab/>
        <w:t xml:space="preserve">Ritschard: </w:t>
      </w:r>
      <w:r w:rsidRPr="007D72B3">
        <w:rPr>
          <w:lang w:val="en-US"/>
        </w:rPr>
        <w:t>Bödellitüütsch, S. 14.</w:t>
      </w:r>
    </w:p>
  </w:footnote>
  <w:footnote w:id="362">
    <w:p w:rsidR="00BB7EDA" w:rsidRPr="007D72B3" w:rsidRDefault="007D72B3">
      <w:pPr>
        <w:pStyle w:val="Footnote0"/>
        <w:shd w:val="clear" w:color="auto" w:fill="auto"/>
        <w:tabs>
          <w:tab w:val="left" w:pos="283"/>
        </w:tabs>
        <w:ind w:left="300" w:hanging="300"/>
        <w:jc w:val="left"/>
        <w:rPr>
          <w:lang w:val="en-US"/>
        </w:rPr>
      </w:pPr>
      <w:r>
        <w:rPr>
          <w:rStyle w:val="Footnote7ptSmallCaps"/>
          <w:vertAlign w:val="superscript"/>
        </w:rPr>
        <w:footnoteRef/>
      </w:r>
      <w:r w:rsidRPr="007D72B3">
        <w:rPr>
          <w:rStyle w:val="Footnote7ptSmallCaps"/>
          <w:lang w:val="en-US"/>
        </w:rPr>
        <w:tab/>
        <w:t xml:space="preserve">Pinsker: </w:t>
      </w:r>
      <w:r w:rsidRPr="007D72B3">
        <w:rPr>
          <w:lang w:val="en-US"/>
        </w:rPr>
        <w:t xml:space="preserve">Altenglisches Studienbuch; </w:t>
      </w:r>
      <w:r w:rsidRPr="007D72B3">
        <w:rPr>
          <w:rStyle w:val="Footnote7ptSmallCaps"/>
          <w:lang w:val="en-US"/>
        </w:rPr>
        <w:t xml:space="preserve">Mitchell: </w:t>
      </w:r>
      <w:r w:rsidRPr="007D72B3">
        <w:rPr>
          <w:lang w:val="en-US"/>
        </w:rPr>
        <w:t xml:space="preserve">A Guide to Old English; </w:t>
      </w:r>
      <w:r w:rsidRPr="007D72B3">
        <w:rPr>
          <w:rStyle w:val="Footnote7ptSmallCaps"/>
          <w:lang w:val="en-US"/>
        </w:rPr>
        <w:t xml:space="preserve">Fine- gan: </w:t>
      </w:r>
      <w:r w:rsidRPr="007D72B3">
        <w:rPr>
          <w:lang w:val="en-US"/>
        </w:rPr>
        <w:t>English.</w:t>
      </w:r>
    </w:p>
  </w:footnote>
  <w:footnote w:id="363">
    <w:p w:rsidR="00BB7EDA" w:rsidRDefault="007D72B3">
      <w:pPr>
        <w:pStyle w:val="Footnote0"/>
        <w:shd w:val="clear" w:color="auto" w:fill="auto"/>
        <w:tabs>
          <w:tab w:val="left" w:pos="293"/>
        </w:tabs>
        <w:spacing w:line="192" w:lineRule="exact"/>
        <w:ind w:firstLine="0"/>
      </w:pPr>
      <w:r>
        <w:rPr>
          <w:rStyle w:val="Footnote7ptSmallCaps"/>
          <w:vertAlign w:val="superscript"/>
        </w:rPr>
        <w:footnoteRef/>
      </w:r>
      <w:r>
        <w:rPr>
          <w:rStyle w:val="Footnote7ptSmallCaps"/>
        </w:rPr>
        <w:tab/>
        <w:t xml:space="preserve">Bodmer: </w:t>
      </w:r>
      <w:r>
        <w:t>Die Sprachen der Welt, S. 110-114.</w:t>
      </w:r>
    </w:p>
  </w:footnote>
  <w:footnote w:id="364">
    <w:p w:rsidR="00BB7EDA" w:rsidRPr="007D72B3" w:rsidRDefault="007D72B3">
      <w:pPr>
        <w:pStyle w:val="Footnote0"/>
        <w:shd w:val="clear" w:color="auto" w:fill="auto"/>
        <w:tabs>
          <w:tab w:val="left" w:pos="288"/>
        </w:tabs>
        <w:spacing w:line="192" w:lineRule="exact"/>
        <w:ind w:left="320" w:hanging="320"/>
        <w:jc w:val="left"/>
        <w:rPr>
          <w:lang w:val="en-US"/>
        </w:rPr>
      </w:pPr>
      <w:r>
        <w:rPr>
          <w:vertAlign w:val="superscript"/>
        </w:rPr>
        <w:footnoteRef/>
      </w:r>
      <w:r w:rsidRPr="007D72B3">
        <w:rPr>
          <w:lang w:val="en-US"/>
        </w:rPr>
        <w:tab/>
        <w:t xml:space="preserve">Zum Chinesischen vgl. z.B.: </w:t>
      </w:r>
      <w:r w:rsidRPr="007D72B3">
        <w:rPr>
          <w:rStyle w:val="Footnote7ptSmallCaps"/>
          <w:lang w:val="en-US"/>
        </w:rPr>
        <w:t xml:space="preserve">Delancey: </w:t>
      </w:r>
      <w:r w:rsidRPr="007D72B3">
        <w:rPr>
          <w:lang w:val="en-US"/>
        </w:rPr>
        <w:t>Sino-Tibetan Languages; Li</w:t>
      </w:r>
      <w:r w:rsidRPr="007D72B3">
        <w:rPr>
          <w:rStyle w:val="Footnote7ptSmallCaps"/>
          <w:lang w:val="en-US"/>
        </w:rPr>
        <w:t>/Thomp</w:t>
      </w:r>
      <w:r w:rsidRPr="007D72B3">
        <w:rPr>
          <w:rStyle w:val="Footnote7ptSmallCaps"/>
          <w:lang w:val="en-US"/>
        </w:rPr>
        <w:softHyphen/>
        <w:t xml:space="preserve">son: </w:t>
      </w:r>
      <w:r w:rsidRPr="007D72B3">
        <w:rPr>
          <w:lang w:val="en-US"/>
        </w:rPr>
        <w:t>Chinese.</w:t>
      </w:r>
    </w:p>
  </w:footnote>
  <w:footnote w:id="365">
    <w:p w:rsidR="00BB7EDA" w:rsidRDefault="007D72B3">
      <w:pPr>
        <w:pStyle w:val="Footnote0"/>
        <w:shd w:val="clear" w:color="auto" w:fill="auto"/>
        <w:tabs>
          <w:tab w:val="left" w:pos="278"/>
        </w:tabs>
        <w:ind w:left="320" w:hanging="320"/>
        <w:jc w:val="left"/>
      </w:pPr>
      <w:r>
        <w:rPr>
          <w:rStyle w:val="Footnote7ptSmallCaps"/>
          <w:vertAlign w:val="superscript"/>
        </w:rPr>
        <w:footnoteRef/>
      </w:r>
      <w:r>
        <w:rPr>
          <w:rStyle w:val="Footnote7ptSmallCaps"/>
        </w:rPr>
        <w:tab/>
        <w:t xml:space="preserve">Jungraithmayr: </w:t>
      </w:r>
      <w:r>
        <w:t>Was ist „primitiv''? Zum S</w:t>
      </w:r>
      <w:r>
        <w:t xml:space="preserve">tand </w:t>
      </w:r>
      <w:r>
        <w:rPr>
          <w:rStyle w:val="Footnote7pt"/>
        </w:rPr>
        <w:t xml:space="preserve">der </w:t>
      </w:r>
      <w:r>
        <w:t>Sprachgeschichtsfor</w:t>
      </w:r>
      <w:r>
        <w:softHyphen/>
        <w:t>schung in Afrika, S. 189.</w:t>
      </w:r>
    </w:p>
  </w:footnote>
  <w:footnote w:id="366">
    <w:p w:rsidR="00BB7EDA" w:rsidRPr="007D72B3" w:rsidRDefault="007D72B3">
      <w:pPr>
        <w:pStyle w:val="Footnote0"/>
        <w:shd w:val="clear" w:color="auto" w:fill="auto"/>
        <w:tabs>
          <w:tab w:val="left" w:pos="283"/>
        </w:tabs>
        <w:ind w:firstLine="0"/>
        <w:rPr>
          <w:lang w:val="en-US"/>
        </w:rPr>
      </w:pPr>
      <w:r>
        <w:rPr>
          <w:vertAlign w:val="superscript"/>
        </w:rPr>
        <w:footnoteRef/>
      </w:r>
      <w:r w:rsidRPr="007D72B3">
        <w:rPr>
          <w:rStyle w:val="FootnoteSmallCaps"/>
          <w:lang w:val="en-US"/>
        </w:rPr>
        <w:tab/>
        <w:t>Nida:</w:t>
      </w:r>
      <w:r w:rsidRPr="007D72B3">
        <w:rPr>
          <w:lang w:val="en-US"/>
        </w:rPr>
        <w:t xml:space="preserve"> Coutumes et Cultures, S. 260-261.</w:t>
      </w:r>
    </w:p>
  </w:footnote>
  <w:footnote w:id="367">
    <w:p w:rsidR="00BB7EDA" w:rsidRDefault="007D72B3">
      <w:pPr>
        <w:pStyle w:val="Footnote0"/>
        <w:shd w:val="clear" w:color="auto" w:fill="auto"/>
        <w:tabs>
          <w:tab w:val="left" w:pos="288"/>
        </w:tabs>
        <w:ind w:firstLine="0"/>
      </w:pPr>
      <w:r>
        <w:rPr>
          <w:rStyle w:val="Footnote7ptSmallCaps"/>
          <w:vertAlign w:val="superscript"/>
        </w:rPr>
        <w:footnoteRef/>
      </w:r>
      <w:r>
        <w:rPr>
          <w:rStyle w:val="Footnote7ptSmallCaps"/>
        </w:rPr>
        <w:tab/>
        <w:t xml:space="preserve">Delancey: </w:t>
      </w:r>
      <w:r>
        <w:t xml:space="preserve">Sino-libetan Languages; </w:t>
      </w:r>
      <w:r>
        <w:rPr>
          <w:rStyle w:val="Footnote7ptSmallCaps"/>
        </w:rPr>
        <w:t xml:space="preserve">Bodmer: </w:t>
      </w:r>
      <w:r>
        <w:t>Die bprachen der Welt, S. 253-</w:t>
      </w:r>
    </w:p>
    <w:p w:rsidR="00BB7EDA" w:rsidRPr="007D72B3" w:rsidRDefault="007D72B3">
      <w:pPr>
        <w:pStyle w:val="Footnote0"/>
        <w:shd w:val="clear" w:color="auto" w:fill="auto"/>
        <w:ind w:left="320" w:firstLine="0"/>
        <w:jc w:val="left"/>
        <w:rPr>
          <w:lang w:val="en-US"/>
        </w:rPr>
      </w:pPr>
      <w:r w:rsidRPr="007D72B3">
        <w:rPr>
          <w:lang w:val="en-US"/>
        </w:rPr>
        <w:t xml:space="preserve">255; </w:t>
      </w:r>
      <w:r w:rsidRPr="007D72B3">
        <w:rPr>
          <w:rStyle w:val="Footnote7ptSmallCaps"/>
          <w:lang w:val="en-US"/>
        </w:rPr>
        <w:t xml:space="preserve">Nida: </w:t>
      </w:r>
      <w:r w:rsidRPr="007D72B3">
        <w:rPr>
          <w:lang w:val="en-US"/>
        </w:rPr>
        <w:t>Coutumes et Cultures, S. 260-261.</w:t>
      </w:r>
    </w:p>
  </w:footnote>
  <w:footnote w:id="368">
    <w:p w:rsidR="00BB7EDA" w:rsidRDefault="007D72B3">
      <w:pPr>
        <w:pStyle w:val="Footnote0"/>
        <w:shd w:val="clear" w:color="auto" w:fill="auto"/>
        <w:tabs>
          <w:tab w:val="left" w:pos="298"/>
        </w:tabs>
        <w:spacing w:line="192" w:lineRule="exact"/>
        <w:ind w:left="340"/>
      </w:pPr>
      <w:r>
        <w:rPr>
          <w:vertAlign w:val="superscript"/>
        </w:rPr>
        <w:footnoteRef/>
      </w:r>
      <w:r>
        <w:tab/>
        <w:t xml:space="preserve">Diese Art von Aufschlüssen liegen </w:t>
      </w:r>
      <w:r>
        <w:t>allerdings nicht in der Linie der in dieser Arbeit verfolgten Methodologie. Ich erwähne sie daher auch nur beiläufig, aber interessant sind sie ohnehin.</w:t>
      </w:r>
    </w:p>
  </w:footnote>
  <w:footnote w:id="369">
    <w:p w:rsidR="00BB7EDA" w:rsidRDefault="007D72B3">
      <w:pPr>
        <w:pStyle w:val="Footnote0"/>
        <w:shd w:val="clear" w:color="auto" w:fill="auto"/>
        <w:tabs>
          <w:tab w:val="left" w:pos="293"/>
        </w:tabs>
        <w:spacing w:line="192" w:lineRule="exact"/>
        <w:ind w:left="320" w:hanging="320"/>
      </w:pPr>
      <w:r>
        <w:rPr>
          <w:vertAlign w:val="superscript"/>
        </w:rPr>
        <w:footnoteRef/>
      </w:r>
      <w:r>
        <w:tab/>
        <w:t>Nebenbei sei hier allerdings noch vermerkt, dass ein Vergleich der schwarz</w:t>
      </w:r>
      <w:r>
        <w:softHyphen/>
      </w:r>
      <w:r>
        <w:t>afrikanischen Tschad-Sprachen mit dem Altägyptischen Hinweise für die überall wirksamen Abbauprozesse liefert. Alle diese Sprachen gehören ja zum Hamito-Semitischen. Ein Vergleich zeigt, wie es aus einer Vollform im Ägyptischen zu einer Kurzform in den Tsc</w:t>
      </w:r>
      <w:r>
        <w:t xml:space="preserve">had-Sprachen kommt (vgl. </w:t>
      </w:r>
      <w:r>
        <w:rPr>
          <w:rStyle w:val="Footnote7ptSmallCaps"/>
        </w:rPr>
        <w:t xml:space="preserve">Jungraithmayr: </w:t>
      </w:r>
      <w:r>
        <w:t>Was ist „primitiv"? Zum Stand der Sprachgeschichtsfor</w:t>
      </w:r>
      <w:r>
        <w:softHyphen/>
        <w:t>schung in Afrika, S. 193-194).</w:t>
      </w:r>
    </w:p>
  </w:footnote>
  <w:footnote w:id="370">
    <w:p w:rsidR="00BB7EDA" w:rsidRDefault="007D72B3">
      <w:pPr>
        <w:pStyle w:val="Footnote0"/>
        <w:shd w:val="clear" w:color="auto" w:fill="auto"/>
        <w:tabs>
          <w:tab w:val="left" w:pos="293"/>
        </w:tabs>
        <w:spacing w:line="192" w:lineRule="exact"/>
        <w:ind w:firstLine="0"/>
      </w:pPr>
      <w:r>
        <w:rPr>
          <w:rStyle w:val="Footnote7ptSmallCaps"/>
          <w:vertAlign w:val="superscript"/>
        </w:rPr>
        <w:footnoteRef/>
      </w:r>
      <w:r>
        <w:rPr>
          <w:rStyle w:val="Footnote7ptSmallCaps"/>
        </w:rPr>
        <w:tab/>
        <w:t xml:space="preserve">Wald: </w:t>
      </w:r>
      <w:r>
        <w:t>Swahili and the Bantu Languages, S. 991.</w:t>
      </w:r>
    </w:p>
  </w:footnote>
  <w:footnote w:id="371">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Zur veranschlagten Zeitdauer der Sprachgeschichte im Evolutionskonzept vgl.: </w:t>
      </w:r>
      <w:r>
        <w:rPr>
          <w:rStyle w:val="Footnote7ptSmallCaps"/>
        </w:rPr>
        <w:t>Zim</w:t>
      </w:r>
      <w:r>
        <w:rPr>
          <w:rStyle w:val="Footnote7ptSmallCaps"/>
        </w:rPr>
        <w:t xml:space="preserve">mer: So </w:t>
      </w:r>
      <w:r>
        <w:t>kommt der Mensch zur Sprache, S. 167 u. 174.</w:t>
      </w:r>
    </w:p>
  </w:footnote>
  <w:footnote w:id="372">
    <w:p w:rsidR="00BB7EDA" w:rsidRDefault="007D72B3">
      <w:pPr>
        <w:pStyle w:val="Footnote0"/>
        <w:shd w:val="clear" w:color="auto" w:fill="auto"/>
        <w:tabs>
          <w:tab w:val="left" w:pos="288"/>
        </w:tabs>
        <w:spacing w:line="160" w:lineRule="exact"/>
        <w:ind w:firstLine="0"/>
      </w:pPr>
      <w:r>
        <w:rPr>
          <w:vertAlign w:val="superscript"/>
        </w:rPr>
        <w:footnoteRef/>
      </w:r>
      <w:r>
        <w:tab/>
        <w:t>Vgl. Kapitel 1, 2.2.4.</w:t>
      </w:r>
    </w:p>
  </w:footnote>
  <w:footnote w:id="373">
    <w:p w:rsidR="00BB7EDA" w:rsidRDefault="007D72B3">
      <w:pPr>
        <w:pStyle w:val="Footnote0"/>
        <w:shd w:val="clear" w:color="auto" w:fill="auto"/>
        <w:tabs>
          <w:tab w:val="left" w:pos="288"/>
        </w:tabs>
        <w:spacing w:line="160" w:lineRule="exact"/>
        <w:ind w:firstLine="0"/>
      </w:pPr>
      <w:r>
        <w:rPr>
          <w:vertAlign w:val="superscript"/>
        </w:rPr>
        <w:footnoteRef/>
      </w:r>
      <w:r>
        <w:tab/>
        <w:t>Vgl. Kapitel 1, 2.2,7,</w:t>
      </w:r>
    </w:p>
  </w:footnote>
  <w:footnote w:id="374">
    <w:p w:rsidR="00BB7EDA" w:rsidRDefault="007D72B3">
      <w:pPr>
        <w:pStyle w:val="Footnote0"/>
        <w:shd w:val="clear" w:color="auto" w:fill="auto"/>
        <w:tabs>
          <w:tab w:val="left" w:pos="288"/>
        </w:tabs>
        <w:spacing w:line="192" w:lineRule="exact"/>
        <w:ind w:left="320" w:hanging="320"/>
      </w:pPr>
      <w:r>
        <w:rPr>
          <w:vertAlign w:val="superscript"/>
        </w:rPr>
        <w:footnoteRef/>
      </w:r>
      <w:r>
        <w:tab/>
        <w:t>Dies lässt sich einfach nachvollziehen, indem man z.B. ein und denselben Bibeltext in diesen Sprachen miteinander vergleicht. Die Graphik auf S. 62 in:</w:t>
      </w:r>
      <w:r>
        <w:t xml:space="preserve"> Girr: Energie - optimal durch Information zeigt dies beispielsweise sehr schön auf. Anschaulich lässt sich hieraus auch entnehmen, wie Latein nicht nur Französisch, sondern z.B. auch die Nachfahren Rumänisch, Portugie</w:t>
      </w:r>
      <w:r>
        <w:softHyphen/>
        <w:t>sisch, Spanisch, Romanisch und Katala</w:t>
      </w:r>
      <w:r>
        <w:t>nisch durch größere Ökonomie über</w:t>
      </w:r>
      <w:r>
        <w:softHyphen/>
        <w:t>trifft. Allerdings muss dabei noch bedacht werden, dass bei einem solchen Vergleich, um zu ganz korrekten Ergebnissen zu kommen, von einer phone</w:t>
      </w:r>
      <w:r>
        <w:softHyphen/>
        <w:t>tischen Schrift ausgegangen werden müsste, da die mit der Aussprache übereins</w:t>
      </w:r>
      <w:r>
        <w:t>timmende Schrift bei den modernen Sprachen mit einer kleineren Zeichenzahl pro Texteinheit auskommt.</w:t>
      </w:r>
    </w:p>
  </w:footnote>
  <w:footnote w:id="375">
    <w:p w:rsidR="00BB7EDA" w:rsidRDefault="007D72B3">
      <w:pPr>
        <w:pStyle w:val="Footnote0"/>
        <w:shd w:val="clear" w:color="auto" w:fill="auto"/>
        <w:tabs>
          <w:tab w:val="left" w:pos="288"/>
        </w:tabs>
        <w:spacing w:line="192" w:lineRule="exact"/>
        <w:ind w:left="340"/>
        <w:jc w:val="left"/>
      </w:pPr>
      <w:r>
        <w:rPr>
          <w:vertAlign w:val="superscript"/>
        </w:rPr>
        <w:footnoteRef/>
      </w:r>
      <w:r>
        <w:tab/>
        <w:t>Ein wichtiger Vorteil der längeren Vollformen besteht darin, dass dadurch das Problem der Homophonie auf ein Minimum reduziert wird.</w:t>
      </w:r>
    </w:p>
  </w:footnote>
  <w:footnote w:id="376">
    <w:p w:rsidR="00BB7EDA" w:rsidRDefault="007D72B3">
      <w:pPr>
        <w:pStyle w:val="Footnote0"/>
        <w:shd w:val="clear" w:color="auto" w:fill="auto"/>
        <w:tabs>
          <w:tab w:val="left" w:pos="288"/>
        </w:tabs>
        <w:ind w:left="320" w:hanging="320"/>
      </w:pPr>
      <w:r>
        <w:rPr>
          <w:vertAlign w:val="superscript"/>
        </w:rPr>
        <w:footnoteRef/>
      </w:r>
      <w:r>
        <w:tab/>
        <w:t xml:space="preserve">Hierin liegt eine </w:t>
      </w:r>
      <w:r>
        <w:t>Ursache dafür, dass englische Übersetzungen einer deut</w:t>
      </w:r>
      <w:r>
        <w:softHyphen/>
        <w:t>schen, und damit flexionsreicheren Vorlage, oft mit einer kleineren Seiten</w:t>
      </w:r>
      <w:r>
        <w:softHyphen/>
        <w:t>zahl auskommen als das Original. Nur ist natürlich bei diesem Beispiel anzumerken, dass der Unterschied im Flexionsreichtum zw</w:t>
      </w:r>
      <w:r>
        <w:t>ischen Deutsch und Englisch natürlich sehr weit entfernt ist von dem diesbezüglichen Gefäl</w:t>
      </w:r>
      <w:r>
        <w:softHyphen/>
        <w:t>le zwischen z.B. Latein und Deutsch.</w:t>
      </w:r>
    </w:p>
  </w:footnote>
  <w:footnote w:id="377">
    <w:p w:rsidR="00BB7EDA" w:rsidRDefault="007D72B3">
      <w:pPr>
        <w:pStyle w:val="Footnote0"/>
        <w:shd w:val="clear" w:color="auto" w:fill="auto"/>
        <w:tabs>
          <w:tab w:val="left" w:pos="288"/>
        </w:tabs>
        <w:spacing w:line="192" w:lineRule="exact"/>
        <w:ind w:left="360" w:hanging="360"/>
      </w:pPr>
      <w:r>
        <w:rPr>
          <w:vertAlign w:val="superscript"/>
        </w:rPr>
        <w:footnoteRef/>
      </w:r>
      <w:r>
        <w:tab/>
        <w:t xml:space="preserve">Ich sage bewusst „abendländische" Poesie. In der hebräischen Poesie der Bibel ist nämlich gerade das Gegenteil, Sparsamkeit </w:t>
      </w:r>
      <w:r>
        <w:t>der Worte ein ganz augenscheinliches Merkmal. Gemäß der Heiligen Schrift macht der Weise nicht viele Worte (Pred 5,2; Spr 10,19; Mat 6,7; Jak 3,2).</w:t>
      </w:r>
    </w:p>
  </w:footnote>
  <w:footnote w:id="378">
    <w:p w:rsidR="00BB7EDA" w:rsidRPr="007D72B3" w:rsidRDefault="007D72B3">
      <w:pPr>
        <w:pStyle w:val="Footnote40"/>
        <w:shd w:val="clear" w:color="auto" w:fill="auto"/>
        <w:tabs>
          <w:tab w:val="left" w:pos="288"/>
        </w:tabs>
        <w:spacing w:line="187" w:lineRule="exact"/>
        <w:rPr>
          <w:lang w:val="en-US"/>
        </w:rPr>
      </w:pPr>
      <w:r>
        <w:rPr>
          <w:vertAlign w:val="superscript"/>
        </w:rPr>
        <w:footnoteRef/>
      </w:r>
      <w:r w:rsidRPr="007D72B3">
        <w:rPr>
          <w:lang w:val="en-US"/>
        </w:rPr>
        <w:tab/>
        <w:t xml:space="preserve">Vgl.: </w:t>
      </w:r>
      <w:r w:rsidRPr="007D72B3">
        <w:rPr>
          <w:rStyle w:val="Footnote4SmallCaps"/>
          <w:lang w:val="en-US"/>
        </w:rPr>
        <w:t>Hill/Archer:</w:t>
      </w:r>
      <w:r w:rsidRPr="007D72B3">
        <w:rPr>
          <w:lang w:val="en-US"/>
        </w:rPr>
        <w:t xml:space="preserve"> The Discovery Bible, besonders die S. 549-554.</w:t>
      </w:r>
    </w:p>
  </w:footnote>
  <w:footnote w:id="379">
    <w:p w:rsidR="00BB7EDA" w:rsidRDefault="007D72B3">
      <w:pPr>
        <w:pStyle w:val="Footnote0"/>
        <w:shd w:val="clear" w:color="auto" w:fill="auto"/>
        <w:tabs>
          <w:tab w:val="left" w:pos="288"/>
        </w:tabs>
        <w:ind w:firstLine="0"/>
      </w:pPr>
      <w:r>
        <w:rPr>
          <w:vertAlign w:val="superscript"/>
        </w:rPr>
        <w:footnoteRef/>
      </w:r>
      <w:r>
        <w:tab/>
        <w:t xml:space="preserve">Vgl. dazu: </w:t>
      </w:r>
      <w:r>
        <w:rPr>
          <w:rStyle w:val="Footnote7ptSmallCaps"/>
        </w:rPr>
        <w:t xml:space="preserve">Wilder Smith: </w:t>
      </w:r>
      <w:r>
        <w:t xml:space="preserve">Der Mensch - </w:t>
      </w:r>
      <w:r>
        <w:t>ein sprechender Computer?</w:t>
      </w:r>
    </w:p>
  </w:footnote>
  <w:footnote w:id="380">
    <w:p w:rsidR="00BB7EDA" w:rsidRDefault="007D72B3">
      <w:pPr>
        <w:pStyle w:val="Footnote0"/>
        <w:shd w:val="clear" w:color="auto" w:fill="auto"/>
        <w:tabs>
          <w:tab w:val="left" w:pos="288"/>
        </w:tabs>
        <w:ind w:left="320" w:hanging="320"/>
      </w:pPr>
      <w:r>
        <w:rPr>
          <w:vertAlign w:val="superscript"/>
        </w:rPr>
        <w:footnoteRef/>
      </w:r>
      <w:r>
        <w:tab/>
        <w:t>Ein gutes Beispiel ist Persisch. Das heutige Persisch lässt sich dank des erlittenen enormen Formenverlustes vergleichsweise sehr schnell erlernen. Es gibt aber auch andere Sprachen, die z.B. trotz sogar völlig fehlender Formenl</w:t>
      </w:r>
      <w:r>
        <w:t>ehre schwierig zu erlernen sind, so beispielsweise chinesische Dia</w:t>
      </w:r>
      <w:r>
        <w:softHyphen/>
        <w:t>lekte, und zwar wegen der sehr vielen verschiedenen Tönerne.</w:t>
      </w:r>
    </w:p>
  </w:footnote>
  <w:footnote w:id="381">
    <w:p w:rsidR="00BB7EDA" w:rsidRDefault="007D72B3">
      <w:pPr>
        <w:pStyle w:val="Footnote0"/>
        <w:shd w:val="clear" w:color="auto" w:fill="auto"/>
        <w:tabs>
          <w:tab w:val="left" w:pos="288"/>
        </w:tabs>
        <w:spacing w:line="192" w:lineRule="exact"/>
        <w:ind w:left="320" w:hanging="320"/>
      </w:pPr>
      <w:r>
        <w:rPr>
          <w:vertAlign w:val="superscript"/>
        </w:rPr>
        <w:footnoteRef/>
      </w:r>
      <w:r>
        <w:tab/>
        <w:t>Ich spreche hiermit nicht das Phänomen der unzähligen künstlichen Spra</w:t>
      </w:r>
      <w:r>
        <w:softHyphen/>
        <w:t xml:space="preserve">chen (wie z.B. Esperanto etc.) an. Es geht hier um die </w:t>
      </w:r>
      <w:r>
        <w:t>Entwicklung gespro</w:t>
      </w:r>
      <w:r>
        <w:softHyphen/>
        <w:t>chener Muttersprachen. Die Bildung von künstlichen Sprachen wäre ohne linguistische Kenntnisse und ohne Graphemik nicht möglich gewesen. Ne</w:t>
      </w:r>
      <w:r>
        <w:softHyphen/>
        <w:t>benbei sei allerdings noch vermerkt, dass es beachtlich ist, dass bisher mit keiner künstlichen S</w:t>
      </w:r>
      <w:r>
        <w:t>prache das eigentlich angestrebte Ziel einer internatio</w:t>
      </w:r>
      <w:r>
        <w:softHyphen/>
        <w:t>nalen Kommunikation erreicht worden ist (vgl. zur Geschichte und Entwick</w:t>
      </w:r>
      <w:r>
        <w:softHyphen/>
        <w:t xml:space="preserve">lung der künstlichen Sprachen: </w:t>
      </w:r>
      <w:r>
        <w:rPr>
          <w:rStyle w:val="Footnote7ptSmallCaps"/>
        </w:rPr>
        <w:t xml:space="preserve">Bodmer: </w:t>
      </w:r>
      <w:r>
        <w:t>Die Sprachen der Welt, S. 464-509).</w:t>
      </w:r>
    </w:p>
  </w:footnote>
  <w:footnote w:id="382">
    <w:p w:rsidR="00BB7EDA" w:rsidRDefault="007D72B3">
      <w:pPr>
        <w:pStyle w:val="Footnote0"/>
        <w:shd w:val="clear" w:color="auto" w:fill="auto"/>
        <w:tabs>
          <w:tab w:val="left" w:pos="288"/>
        </w:tabs>
        <w:spacing w:line="192" w:lineRule="exact"/>
        <w:ind w:left="340"/>
      </w:pPr>
      <w:r>
        <w:rPr>
          <w:vertAlign w:val="superscript"/>
        </w:rPr>
        <w:footnoteRef/>
      </w:r>
      <w:r>
        <w:tab/>
        <w:t>Hin Beispiel aus einer ganz anderen Kultur: Die Ch</w:t>
      </w:r>
      <w:r>
        <w:t xml:space="preserve">ipibo-Indianer bezeichne- ten „Autos" als </w:t>
      </w:r>
      <w:r>
        <w:rPr>
          <w:rStyle w:val="Footnote75ptItalic"/>
        </w:rPr>
        <w:t>Feuer-Kanus.</w:t>
      </w:r>
      <w:r>
        <w:t xml:space="preserve"> Als sie mit Flugzeugen konfrontiert wurden, schufen sie der. Begriff </w:t>
      </w:r>
      <w:r>
        <w:rPr>
          <w:rStyle w:val="Footnote75ptItalic"/>
        </w:rPr>
        <w:t>fliegende Feuer Kar.us</w:t>
      </w:r>
      <w:r>
        <w:rPr>
          <w:rStyle w:val="FootnoteSmallCaps"/>
        </w:rPr>
        <w:t xml:space="preserve"> (N:oa'</w:t>
      </w:r>
      <w:r>
        <w:t xml:space="preserve"> Coutume et Cu'ture, 5. 252).</w:t>
      </w:r>
    </w:p>
  </w:footnote>
  <w:footnote w:id="383">
    <w:p w:rsidR="00BB7EDA" w:rsidRDefault="007D72B3">
      <w:pPr>
        <w:pStyle w:val="Footnote0"/>
        <w:shd w:val="clear" w:color="auto" w:fill="auto"/>
        <w:tabs>
          <w:tab w:val="left" w:pos="293"/>
        </w:tabs>
        <w:spacing w:line="192" w:lineRule="exact"/>
        <w:ind w:firstLine="0"/>
      </w:pPr>
      <w:r>
        <w:rPr>
          <w:rStyle w:val="Footnote7ptSmallCaps"/>
          <w:vertAlign w:val="superscript"/>
        </w:rPr>
        <w:footnoteRef/>
      </w:r>
      <w:r>
        <w:rPr>
          <w:rStyle w:val="Footnote7ptSmallCaps"/>
        </w:rPr>
        <w:tab/>
        <w:t xml:space="preserve">Bruce: </w:t>
      </w:r>
      <w:r>
        <w:t xml:space="preserve">Die Glaubwürdigkeit der Schriften des Neuen Testaments, S. </w:t>
      </w:r>
      <w:r>
        <w:rPr>
          <w:rStyle w:val="Footnote7pt"/>
        </w:rPr>
        <w:t>98.</w:t>
      </w:r>
    </w:p>
  </w:footnote>
  <w:footnote w:id="384">
    <w:p w:rsidR="00BB7EDA" w:rsidRPr="007D72B3" w:rsidRDefault="007D72B3">
      <w:pPr>
        <w:pStyle w:val="Footnote0"/>
        <w:shd w:val="clear" w:color="auto" w:fill="auto"/>
        <w:tabs>
          <w:tab w:val="left" w:pos="288"/>
        </w:tabs>
        <w:spacing w:line="192" w:lineRule="exact"/>
        <w:ind w:left="320" w:hanging="320"/>
        <w:jc w:val="left"/>
        <w:rPr>
          <w:lang w:val="en-US"/>
        </w:rPr>
      </w:pPr>
      <w:r>
        <w:footnoteRef/>
      </w:r>
      <w:r>
        <w:tab/>
        <w:t xml:space="preserve">yg[ </w:t>
      </w:r>
      <w:r>
        <w:rPr>
          <w:rStyle w:val="FootnoteSmallCaps"/>
        </w:rPr>
        <w:t>b</w:t>
      </w:r>
      <w:r>
        <w:rPr>
          <w:vertAlign w:val="subscript"/>
        </w:rPr>
        <w:t>ruce:</w:t>
      </w:r>
      <w:r>
        <w:t xml:space="preserve"> Qj</w:t>
      </w:r>
      <w:r>
        <w:rPr>
          <w:vertAlign w:val="subscript"/>
        </w:rPr>
        <w:t>e</w:t>
      </w:r>
      <w:r>
        <w:t xml:space="preserve"> Glaubwürdigkeit der Schriften des Neuen Testaments, S. 87- 106. </w:t>
      </w:r>
      <w:r w:rsidRPr="007D72B3">
        <w:rPr>
          <w:rStyle w:val="Footnote7ptSmallCaps"/>
          <w:lang w:val="en-US"/>
        </w:rPr>
        <w:t xml:space="preserve">Hemer: </w:t>
      </w:r>
      <w:r w:rsidRPr="007D72B3">
        <w:rPr>
          <w:lang w:val="en-US"/>
        </w:rPr>
        <w:t>The Book of Acts in the Setting of Hellenistic History.</w:t>
      </w:r>
    </w:p>
  </w:footnote>
  <w:footnote w:id="385">
    <w:p w:rsidR="00BB7EDA" w:rsidRDefault="007D72B3">
      <w:pPr>
        <w:pStyle w:val="Footnote0"/>
        <w:shd w:val="clear" w:color="auto" w:fill="auto"/>
        <w:tabs>
          <w:tab w:val="left" w:pos="283"/>
        </w:tabs>
        <w:spacing w:line="160" w:lineRule="exact"/>
        <w:ind w:firstLine="0"/>
      </w:pPr>
      <w:r>
        <w:rPr>
          <w:vertAlign w:val="superscript"/>
        </w:rPr>
        <w:footnoteRef/>
      </w:r>
      <w:r>
        <w:tab/>
        <w:t>Kol 4,11.</w:t>
      </w:r>
    </w:p>
  </w:footnote>
  <w:footnote w:id="386">
    <w:p w:rsidR="00BB7EDA" w:rsidRDefault="007D72B3">
      <w:pPr>
        <w:pStyle w:val="Footnote0"/>
        <w:shd w:val="clear" w:color="auto" w:fill="auto"/>
        <w:tabs>
          <w:tab w:val="left" w:pos="288"/>
        </w:tabs>
        <w:spacing w:line="160" w:lineRule="exact"/>
        <w:ind w:firstLine="0"/>
      </w:pPr>
      <w:r>
        <w:rPr>
          <w:vertAlign w:val="superscript"/>
        </w:rPr>
        <w:footnoteRef/>
      </w:r>
      <w:r>
        <w:tab/>
        <w:t>Lukas-Evangelium und Apostelgeschichte (vgl. Luk 1,1-4; Apg 1,1).</w:t>
      </w:r>
    </w:p>
  </w:footnote>
  <w:footnote w:id="387">
    <w:p w:rsidR="00BB7EDA" w:rsidRDefault="007D72B3">
      <w:pPr>
        <w:pStyle w:val="Footnote0"/>
        <w:shd w:val="clear" w:color="auto" w:fill="auto"/>
        <w:tabs>
          <w:tab w:val="left" w:pos="288"/>
        </w:tabs>
        <w:ind w:left="320" w:hanging="320"/>
      </w:pPr>
      <w:r>
        <w:footnoteRef/>
      </w:r>
      <w:r>
        <w:tab/>
        <w:t xml:space="preserve">Die Prosodie beinhaltet den </w:t>
      </w:r>
      <w:r>
        <w:t>rhythmischen und metrischen Aspekt der Spra</w:t>
      </w:r>
      <w:r>
        <w:softHyphen/>
        <w:t>che im Zusammenhang mit Ton, Intonation, Akzent und Länge. In der Prosodik, einem Teilgebiet der Phonologie, beschäftigt man sich mit diesem Gebiet.</w:t>
      </w:r>
    </w:p>
  </w:footnote>
  <w:footnote w:id="388">
    <w:p w:rsidR="00BB7EDA" w:rsidRDefault="007D72B3">
      <w:pPr>
        <w:pStyle w:val="Footnote0"/>
        <w:shd w:val="clear" w:color="auto" w:fill="auto"/>
        <w:tabs>
          <w:tab w:val="left" w:pos="288"/>
        </w:tabs>
        <w:spacing w:line="192" w:lineRule="exact"/>
        <w:ind w:left="320" w:hanging="320"/>
      </w:pPr>
      <w:r>
        <w:rPr>
          <w:vertAlign w:val="superscript"/>
        </w:rPr>
        <w:footnoteRef/>
      </w:r>
      <w:r>
        <w:tab/>
        <w:t>In gewissem Sinn gehören die Heilungen von Tauben und Stummen</w:t>
      </w:r>
      <w:r>
        <w:t xml:space="preserve"> durch den Messias Jesus Oes 35,4-6) auch in die Nähe dieser Thematik. Die Evange</w:t>
      </w:r>
      <w:r>
        <w:softHyphen/>
        <w:t xml:space="preserve">lien bezeugen eine Reihe von solchen Fällen, in denen Menschen nach der Heilung ohne Lernprozess plötzlich sprechen konnten: vgl. Mat 9,32-33 (Stummer); 11,5 (Tauber); 12,22 </w:t>
      </w:r>
      <w:r>
        <w:t>(Stummer); 15,30-31 (Stumme); Mark 7,32-37 (Tauber, der schwer redete); 9,17.25 (Taubstummer); Luk 7,22 (Taube); 11,14 (Stummer). Diese Stellen unterscheiden sich graduell abgestuft von der vorliegenden Thematik. Deshalb habe ich sie nicht unter die sieben</w:t>
      </w:r>
      <w:r>
        <w:t xml:space="preserve"> klassi</w:t>
      </w:r>
      <w:r>
        <w:softHyphen/>
        <w:t>schen Passagen über das Sprachenreden aufgenommen.</w:t>
      </w:r>
    </w:p>
  </w:footnote>
  <w:footnote w:id="389">
    <w:p w:rsidR="00BB7EDA" w:rsidRDefault="007D72B3">
      <w:pPr>
        <w:pStyle w:val="Footnote0"/>
        <w:shd w:val="clear" w:color="auto" w:fill="auto"/>
        <w:tabs>
          <w:tab w:val="left" w:pos="288"/>
        </w:tabs>
        <w:spacing w:line="192" w:lineRule="exact"/>
        <w:ind w:left="340"/>
      </w:pPr>
      <w:r>
        <w:rPr>
          <w:vertAlign w:val="superscript"/>
        </w:rPr>
        <w:footnoteRef/>
      </w:r>
      <w:r>
        <w:tab/>
        <w:t xml:space="preserve">Der Begriff „stammelnde Lippen" ist ein typisch hebräischer Ausdruck für „barbarische Sprache" </w:t>
      </w:r>
      <w:r>
        <w:rPr>
          <w:rStyle w:val="Footnote7ptSmallCaps"/>
        </w:rPr>
        <w:t xml:space="preserve">(Längs: </w:t>
      </w:r>
      <w:r>
        <w:t>Iheologiscn-hormletisches Bibelwerk, Vier</w:t>
      </w:r>
      <w:r>
        <w:softHyphen/>
        <w:t>zehnter Theil: Der Prophet Jesaja, S. 303).</w:t>
      </w:r>
    </w:p>
  </w:footnote>
  <w:footnote w:id="390">
    <w:p w:rsidR="00BB7EDA" w:rsidRDefault="007D72B3">
      <w:pPr>
        <w:pStyle w:val="Footnote0"/>
        <w:shd w:val="clear" w:color="auto" w:fill="auto"/>
        <w:tabs>
          <w:tab w:val="left" w:pos="298"/>
        </w:tabs>
        <w:ind w:left="320" w:hanging="320"/>
      </w:pPr>
      <w:r>
        <w:rPr>
          <w:vertAlign w:val="superscript"/>
        </w:rPr>
        <w:footnoteRef/>
      </w:r>
      <w:r>
        <w:tab/>
        <w:t>Da d</w:t>
      </w:r>
      <w:r>
        <w:t>ie frühsommerliche Zeit um Pfingsten in der Alten Welt die ideale Reise</w:t>
      </w:r>
      <w:r>
        <w:softHyphen/>
        <w:t xml:space="preserve">zeit war, kann man davon ausgehen, dass insbesondere an diesem Jahres- Fest jeweils die höchste Anzahl von Ausland-Juden in Jerusalem anwesend war </w:t>
      </w:r>
      <w:r>
        <w:rPr>
          <w:rStyle w:val="Footnote7ptSmallCaps"/>
        </w:rPr>
        <w:t xml:space="preserve">(Edersheim: </w:t>
      </w:r>
      <w:r>
        <w:t xml:space="preserve">Der Tempel, S. </w:t>
      </w:r>
      <w:r>
        <w:rPr>
          <w:rStyle w:val="Footnote7pt"/>
        </w:rPr>
        <w:t>172).</w:t>
      </w:r>
    </w:p>
  </w:footnote>
  <w:footnote w:id="391">
    <w:p w:rsidR="00BB7EDA" w:rsidRDefault="007D72B3">
      <w:pPr>
        <w:pStyle w:val="Footnote0"/>
        <w:shd w:val="clear" w:color="auto" w:fill="auto"/>
        <w:tabs>
          <w:tab w:val="left" w:pos="293"/>
        </w:tabs>
        <w:ind w:left="320" w:hanging="320"/>
      </w:pPr>
      <w:r>
        <w:rPr>
          <w:vertAlign w:val="superscript"/>
        </w:rPr>
        <w:footnoteRef/>
      </w:r>
      <w:r>
        <w:tab/>
        <w:t>Da</w:t>
      </w:r>
      <w:r>
        <w:t xml:space="preserve">s griechische Verb </w:t>
      </w:r>
      <w:r>
        <w:rPr>
          <w:rStyle w:val="Footnote75ptItalic"/>
        </w:rPr>
        <w:t>akouö</w:t>
      </w:r>
      <w:r>
        <w:t xml:space="preserve"> (Apg 10,46) hat einen Doppelsinn. Es kann sowohl „hören" als auch „verstehen" bedeuten </w:t>
      </w:r>
      <w:r>
        <w:rPr>
          <w:rStyle w:val="Footnote7ptSmallCaps"/>
        </w:rPr>
        <w:t xml:space="preserve">(Bauer: </w:t>
      </w:r>
      <w:r>
        <w:t>Griechisch-deut</w:t>
      </w:r>
      <w:r>
        <w:softHyphen/>
        <w:t>sches Wörterbuch zu den Schriften des Neuen Testament und der frühchrist</w:t>
      </w:r>
      <w:r>
        <w:softHyphen/>
        <w:t>lichen Literatur, S. 62-63; vgl. ferner in dies</w:t>
      </w:r>
      <w:r>
        <w:t>em Zusammenhang IKor 14,2).</w:t>
      </w:r>
    </w:p>
  </w:footnote>
  <w:footnote w:id="392">
    <w:p w:rsidR="00BB7EDA" w:rsidRDefault="007D72B3">
      <w:pPr>
        <w:pStyle w:val="Footnote0"/>
        <w:shd w:val="clear" w:color="auto" w:fill="auto"/>
        <w:tabs>
          <w:tab w:val="left" w:pos="288"/>
        </w:tabs>
        <w:ind w:firstLine="0"/>
      </w:pPr>
      <w:r>
        <w:rPr>
          <w:vertAlign w:val="superscript"/>
        </w:rPr>
        <w:footnoteRef/>
      </w:r>
      <w:r>
        <w:tab/>
        <w:t>Man beachte den Plural „Sprachen" in Apg 10,46!</w:t>
      </w:r>
    </w:p>
  </w:footnote>
  <w:footnote w:id="393">
    <w:p w:rsidR="00BB7EDA" w:rsidRDefault="007D72B3">
      <w:pPr>
        <w:pStyle w:val="Footnote0"/>
        <w:shd w:val="clear" w:color="auto" w:fill="auto"/>
        <w:tabs>
          <w:tab w:val="left" w:pos="293"/>
        </w:tabs>
        <w:spacing w:line="192" w:lineRule="exact"/>
        <w:ind w:firstLine="0"/>
      </w:pPr>
      <w:r>
        <w:rPr>
          <w:vertAlign w:val="superscript"/>
        </w:rPr>
        <w:footnoteRef/>
      </w:r>
      <w:r>
        <w:tab/>
        <w:t>IKor 14,27.</w:t>
      </w:r>
    </w:p>
  </w:footnote>
  <w:footnote w:id="394">
    <w:p w:rsidR="00BB7EDA" w:rsidRDefault="007D72B3">
      <w:pPr>
        <w:pStyle w:val="Footnote0"/>
        <w:shd w:val="clear" w:color="auto" w:fill="auto"/>
        <w:tabs>
          <w:tab w:val="left" w:pos="293"/>
        </w:tabs>
        <w:spacing w:line="192" w:lineRule="exact"/>
        <w:ind w:firstLine="0"/>
      </w:pPr>
      <w:r>
        <w:rPr>
          <w:vertAlign w:val="superscript"/>
        </w:rPr>
        <w:footnoteRef/>
      </w:r>
      <w:r>
        <w:tab/>
        <w:t>IKor 14,19.</w:t>
      </w:r>
    </w:p>
  </w:footnote>
  <w:footnote w:id="395">
    <w:p w:rsidR="00BB7EDA" w:rsidRDefault="007D72B3">
      <w:pPr>
        <w:pStyle w:val="Footnote0"/>
        <w:shd w:val="clear" w:color="auto" w:fill="auto"/>
        <w:tabs>
          <w:tab w:val="left" w:pos="293"/>
        </w:tabs>
        <w:spacing w:line="192" w:lineRule="exact"/>
        <w:ind w:firstLine="0"/>
      </w:pPr>
      <w:r>
        <w:rPr>
          <w:vertAlign w:val="superscript"/>
        </w:rPr>
        <w:footnoteRef/>
      </w:r>
      <w:r>
        <w:tab/>
        <w:t>IKor 14,2.4.5.13.</w:t>
      </w:r>
    </w:p>
  </w:footnote>
  <w:footnote w:id="396">
    <w:p w:rsidR="00BB7EDA" w:rsidRDefault="007D72B3">
      <w:pPr>
        <w:pStyle w:val="Footnote0"/>
        <w:shd w:val="clear" w:color="auto" w:fill="auto"/>
        <w:tabs>
          <w:tab w:val="left" w:pos="288"/>
        </w:tabs>
        <w:spacing w:line="192" w:lineRule="exact"/>
        <w:ind w:firstLine="0"/>
      </w:pPr>
      <w:r>
        <w:rPr>
          <w:vertAlign w:val="superscript"/>
        </w:rPr>
        <w:footnoteRef/>
      </w:r>
      <w:r>
        <w:tab/>
        <w:t>Apg 2,4.11; 10,46; 19,6; IKor 14,23.39.</w:t>
      </w:r>
    </w:p>
  </w:footnote>
  <w:footnote w:id="397">
    <w:p w:rsidR="00BB7EDA" w:rsidRDefault="007D72B3">
      <w:pPr>
        <w:pStyle w:val="Footnote0"/>
        <w:shd w:val="clear" w:color="auto" w:fill="auto"/>
        <w:tabs>
          <w:tab w:val="left" w:pos="288"/>
        </w:tabs>
        <w:spacing w:line="192" w:lineRule="exact"/>
        <w:ind w:firstLine="0"/>
      </w:pPr>
      <w:r>
        <w:rPr>
          <w:vertAlign w:val="superscript"/>
        </w:rPr>
        <w:footnoteRef/>
      </w:r>
      <w:r>
        <w:tab/>
        <w:t>Mark 16,17; IKor 12,30; 13,1; 14,6.18.</w:t>
      </w:r>
    </w:p>
  </w:footnote>
  <w:footnote w:id="398">
    <w:p w:rsidR="00BB7EDA" w:rsidRDefault="007D72B3">
      <w:pPr>
        <w:pStyle w:val="Footnote0"/>
        <w:shd w:val="clear" w:color="auto" w:fill="auto"/>
        <w:tabs>
          <w:tab w:val="left" w:pos="288"/>
        </w:tabs>
        <w:spacing w:line="160" w:lineRule="exact"/>
        <w:ind w:firstLine="0"/>
      </w:pPr>
      <w:r>
        <w:rPr>
          <w:rStyle w:val="Footnote7ptSmallCaps"/>
          <w:vertAlign w:val="superscript"/>
        </w:rPr>
        <w:footnoteRef/>
      </w:r>
      <w:r>
        <w:rPr>
          <w:rStyle w:val="Footnote7ptSmallCaps"/>
        </w:rPr>
        <w:tab/>
        <w:t xml:space="preserve">Glück: </w:t>
      </w:r>
      <w:r>
        <w:t xml:space="preserve">Metzler Lexikon Sprache, S. </w:t>
      </w:r>
      <w:r>
        <w:rPr>
          <w:rStyle w:val="Footnote7pt"/>
        </w:rPr>
        <w:t>226.</w:t>
      </w:r>
    </w:p>
  </w:footnote>
  <w:footnote w:id="399">
    <w:p w:rsidR="00BB7EDA" w:rsidRDefault="007D72B3">
      <w:pPr>
        <w:pStyle w:val="Footnote0"/>
        <w:shd w:val="clear" w:color="auto" w:fill="auto"/>
        <w:tabs>
          <w:tab w:val="left" w:pos="293"/>
        </w:tabs>
        <w:spacing w:line="160" w:lineRule="exact"/>
        <w:ind w:firstLine="0"/>
      </w:pPr>
      <w:r>
        <w:rPr>
          <w:rStyle w:val="Footnote7ptSmallCaps"/>
          <w:vertAlign w:val="superscript"/>
        </w:rPr>
        <w:footnoteRef/>
      </w:r>
      <w:r>
        <w:rPr>
          <w:rStyle w:val="Footnote7ptSmallCaps"/>
        </w:rPr>
        <w:tab/>
      </w:r>
      <w:r>
        <w:rPr>
          <w:rStyle w:val="Footnote7ptSmallCaps"/>
        </w:rPr>
        <w:t xml:space="preserve">Hörster: </w:t>
      </w:r>
      <w:r>
        <w:t>Zungenrede, S. 1732.</w:t>
      </w:r>
    </w:p>
  </w:footnote>
  <w:footnote w:id="400">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Eine gründliche Studie zur Abgrenzung zwischen </w:t>
      </w:r>
      <w:r>
        <w:rPr>
          <w:rStyle w:val="Footnote75ptItalic"/>
        </w:rPr>
        <w:t>kainos</w:t>
      </w:r>
      <w:r>
        <w:t xml:space="preserve"> und </w:t>
      </w:r>
      <w:r>
        <w:rPr>
          <w:rStyle w:val="Footnote75ptItalic"/>
        </w:rPr>
        <w:t>neos</w:t>
      </w:r>
      <w:r>
        <w:t xml:space="preserve"> findet sich in: </w:t>
      </w:r>
      <w:r>
        <w:rPr>
          <w:rStyle w:val="Footnote7ptSmallCaps"/>
        </w:rPr>
        <w:t xml:space="preserve">Trench: </w:t>
      </w:r>
      <w:r>
        <w:t>Synonyms of the New Testament, S. 233-137.</w:t>
      </w:r>
    </w:p>
  </w:footnote>
  <w:footnote w:id="401">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Vgl. Apg 2,8.11: „in unserer eigenen </w:t>
      </w:r>
      <w:r>
        <w:rPr>
          <w:rStyle w:val="Footnote75ptItalic"/>
        </w:rPr>
        <w:t>Mundart"</w:t>
      </w:r>
      <w:r>
        <w:t xml:space="preserve"> (griech. </w:t>
      </w:r>
      <w:r>
        <w:rPr>
          <w:rStyle w:val="Footnote75ptItalic"/>
        </w:rPr>
        <w:t>dialektos),</w:t>
      </w:r>
      <w:r>
        <w:t xml:space="preserve"> „in unseren Sprachen" (gr</w:t>
      </w:r>
      <w:r>
        <w:t xml:space="preserve">iech. </w:t>
      </w:r>
      <w:r>
        <w:rPr>
          <w:rStyle w:val="Footnote75ptItalic"/>
        </w:rPr>
        <w:t>glossa).</w:t>
      </w:r>
    </w:p>
  </w:footnote>
  <w:footnote w:id="402">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Dies geht, wie wir oben bereits sahen (10.5.4 und 10.5.5), nicht allein aus Apg 2, sondern z.B. auch aus Apg 10 hervor.</w:t>
      </w:r>
    </w:p>
  </w:footnote>
  <w:footnote w:id="403">
    <w:p w:rsidR="00BB7EDA" w:rsidRDefault="007D72B3">
      <w:pPr>
        <w:pStyle w:val="Footnote0"/>
        <w:shd w:val="clear" w:color="auto" w:fill="auto"/>
        <w:tabs>
          <w:tab w:val="left" w:pos="288"/>
        </w:tabs>
        <w:spacing w:line="192" w:lineRule="exact"/>
        <w:ind w:left="320" w:hanging="320"/>
        <w:jc w:val="left"/>
      </w:pPr>
      <w:r>
        <w:rPr>
          <w:vertAlign w:val="superscript"/>
        </w:rPr>
        <w:footnoteRef/>
      </w:r>
      <w:r w:rsidRPr="007D72B3">
        <w:rPr>
          <w:lang w:val="en-US"/>
        </w:rPr>
        <w:tab/>
        <w:t xml:space="preserve">Vgl. </w:t>
      </w:r>
      <w:r w:rsidRPr="007D72B3">
        <w:rPr>
          <w:rStyle w:val="Footnote7ptSmallCapsSpacing0pt0"/>
          <w:lang w:val="en-US"/>
        </w:rPr>
        <w:t xml:space="preserve">Louw/Nida: </w:t>
      </w:r>
      <w:r w:rsidRPr="007D72B3">
        <w:rPr>
          <w:lang w:val="en-US"/>
        </w:rPr>
        <w:t xml:space="preserve">Greek-English Lexicon of the New Testament ßased on Semantic Domains, Bd. </w:t>
      </w:r>
      <w:r>
        <w:t xml:space="preserve">I, 33.76, </w:t>
      </w:r>
      <w:r>
        <w:rPr>
          <w:rStyle w:val="Footnote75ptItalic"/>
        </w:rPr>
        <w:t>apophthengomai.</w:t>
      </w:r>
    </w:p>
  </w:footnote>
  <w:footnote w:id="404">
    <w:p w:rsidR="00BB7EDA" w:rsidRDefault="007D72B3">
      <w:pPr>
        <w:pStyle w:val="Footnote0"/>
        <w:shd w:val="clear" w:color="auto" w:fill="auto"/>
        <w:tabs>
          <w:tab w:val="left" w:pos="288"/>
        </w:tabs>
        <w:spacing w:line="192" w:lineRule="exact"/>
        <w:ind w:left="320" w:hanging="320"/>
      </w:pPr>
      <w:r>
        <w:rPr>
          <w:vertAlign w:val="superscript"/>
        </w:rPr>
        <w:footnoteRef/>
      </w:r>
      <w:r>
        <w:tab/>
        <w:t>Vgl. z.B. Dan 10,12-15; 10,20-12,4. In diesen Stellen wurde sehr wahrschein</w:t>
      </w:r>
      <w:r>
        <w:softHyphen/>
        <w:t>lich Hebräisch gesprochen, ln Apg 10,3ff. sprach der Engel wohl Latein oder Griechisch.</w:t>
      </w:r>
    </w:p>
  </w:footnote>
  <w:footnote w:id="405">
    <w:p w:rsidR="00BB7EDA" w:rsidRPr="007D72B3" w:rsidRDefault="007D72B3">
      <w:pPr>
        <w:pStyle w:val="Footnote0"/>
        <w:shd w:val="clear" w:color="auto" w:fill="auto"/>
        <w:tabs>
          <w:tab w:val="left" w:pos="293"/>
        </w:tabs>
        <w:spacing w:line="192" w:lineRule="exact"/>
        <w:ind w:firstLine="0"/>
        <w:rPr>
          <w:lang w:val="en-US"/>
        </w:rPr>
      </w:pPr>
      <w:r>
        <w:rPr>
          <w:vertAlign w:val="superscript"/>
        </w:rPr>
        <w:footnoteRef/>
      </w:r>
      <w:r w:rsidRPr="007D72B3">
        <w:rPr>
          <w:lang w:val="en-US"/>
        </w:rPr>
        <w:tab/>
        <w:t>Vgl. z.B. Jes 6,4.</w:t>
      </w:r>
    </w:p>
  </w:footnote>
  <w:footnote w:id="406">
    <w:p w:rsidR="00BB7EDA" w:rsidRPr="007D72B3" w:rsidRDefault="007D72B3">
      <w:pPr>
        <w:pStyle w:val="Footnote0"/>
        <w:shd w:val="clear" w:color="auto" w:fill="auto"/>
        <w:tabs>
          <w:tab w:val="left" w:pos="288"/>
        </w:tabs>
        <w:spacing w:line="192" w:lineRule="exact"/>
        <w:ind w:firstLine="0"/>
        <w:rPr>
          <w:lang w:val="en-US"/>
        </w:rPr>
      </w:pPr>
      <w:r>
        <w:rPr>
          <w:vertAlign w:val="superscript"/>
        </w:rPr>
        <w:footnoteRef/>
      </w:r>
      <w:r w:rsidRPr="007D72B3">
        <w:rPr>
          <w:lang w:val="en-US"/>
        </w:rPr>
        <w:tab/>
        <w:t>Vgl. z.B. Off 5,11-14.</w:t>
      </w:r>
    </w:p>
  </w:footnote>
  <w:footnote w:id="407">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Es handelt sich im griechischen Text um </w:t>
      </w:r>
      <w:r>
        <w:t>Konditionalsätze vom Typ „Pro</w:t>
      </w:r>
      <w:r>
        <w:softHyphen/>
        <w:t xml:space="preserve">spektiver Fall" (Protasis mit </w:t>
      </w:r>
      <w:r>
        <w:rPr>
          <w:rStyle w:val="Footnote75ptItalic"/>
        </w:rPr>
        <w:t>ean</w:t>
      </w:r>
      <w:r>
        <w:t xml:space="preserve"> + Konjunktiv). Im nachklassischen Grie</w:t>
      </w:r>
      <w:r>
        <w:softHyphen/>
        <w:t xml:space="preserve">chisch, wo die Bedingung </w:t>
      </w:r>
      <w:r>
        <w:rPr>
          <w:rStyle w:val="Footnote75ptItalic"/>
        </w:rPr>
        <w:t>ean</w:t>
      </w:r>
      <w:r>
        <w:t xml:space="preserve"> die Partikel </w:t>
      </w:r>
      <w:r>
        <w:rPr>
          <w:rStyle w:val="Footnote75ptItalic"/>
        </w:rPr>
        <w:t>ei</w:t>
      </w:r>
      <w:r>
        <w:t xml:space="preserve"> stark zurückgedrängt hat, findet man den prospektiven Fall auch in Kontexten, in denen man vom Klassischen G</w:t>
      </w:r>
      <w:r>
        <w:t xml:space="preserve">riechisch herden irrealen Fall erwarten könnte (vgl. </w:t>
      </w:r>
      <w:r>
        <w:rPr>
          <w:rStyle w:val="Footnote7ptSmallCaps"/>
        </w:rPr>
        <w:t>Hoffmann/von Sieben</w:t>
      </w:r>
      <w:r>
        <w:rPr>
          <w:rStyle w:val="Footnote7ptSmallCaps"/>
        </w:rPr>
        <w:softHyphen/>
        <w:t xml:space="preserve">thal: </w:t>
      </w:r>
      <w:r>
        <w:t xml:space="preserve">Griechische Grammatik zum Neuen Testament, </w:t>
      </w:r>
      <w:r>
        <w:rPr>
          <w:rStyle w:val="Footnote7pt"/>
        </w:rPr>
        <w:t>S. 555.)</w:t>
      </w:r>
    </w:p>
  </w:footnote>
  <w:footnote w:id="408">
    <w:p w:rsidR="00BB7EDA" w:rsidRDefault="007D72B3">
      <w:pPr>
        <w:pStyle w:val="Footnote0"/>
        <w:shd w:val="clear" w:color="auto" w:fill="auto"/>
        <w:tabs>
          <w:tab w:val="left" w:pos="293"/>
        </w:tabs>
        <w:spacing w:line="192" w:lineRule="exact"/>
        <w:ind w:left="320" w:hanging="320"/>
      </w:pPr>
      <w:r>
        <w:rPr>
          <w:vertAlign w:val="superscript"/>
        </w:rPr>
        <w:footnoteRef/>
      </w:r>
      <w:r>
        <w:tab/>
        <w:t>Die Prosodie beinhaltet den rhythmischen und metrischen Aspekt der Spra</w:t>
      </w:r>
      <w:r>
        <w:softHyphen/>
        <w:t>che im Zusammenhang mit Ton, Intonation, Akzent und</w:t>
      </w:r>
      <w:r>
        <w:t xml:space="preserve"> Länge. In der Prosodik, einem Teilgebiet der Phonologie, beschäftigt man sich mit diesem Gebiet. Die gesprochene Sprache zeichnet sich klanglich u.a. durch Rhyth</w:t>
      </w:r>
      <w:r>
        <w:softHyphen/>
        <w:t>mus, Betonung, sowie durch Heben und Senken der Stimme aus. Dadurch werden u.a. sinngebende E</w:t>
      </w:r>
      <w:r>
        <w:t>inheiten strukturiert. In der Schrift wird solches z.T. durch Satzzeichen (Kommas, Punkte, Ausrufe- und Fragezeichen, sowie durch Absätze etc.) verdeutlicht. Bei dem heutzutage von Tausenden prakti</w:t>
      </w:r>
      <w:r>
        <w:softHyphen/>
        <w:t>zierten Zungenreden fäiit das Fehlen prosodischer Elemente</w:t>
      </w:r>
      <w:r>
        <w:t xml:space="preserve"> auf.</w:t>
      </w:r>
    </w:p>
  </w:footnote>
  <w:footnote w:id="409">
    <w:p w:rsidR="00BB7EDA" w:rsidRDefault="007D72B3">
      <w:pPr>
        <w:pStyle w:val="Footnote0"/>
        <w:shd w:val="clear" w:color="auto" w:fill="auto"/>
        <w:tabs>
          <w:tab w:val="left" w:pos="288"/>
        </w:tabs>
        <w:spacing w:line="192" w:lineRule="exact"/>
        <w:ind w:firstLine="0"/>
      </w:pPr>
      <w:r>
        <w:rPr>
          <w:vertAlign w:val="superscript"/>
        </w:rPr>
        <w:footnoteRef/>
      </w:r>
      <w:r>
        <w:tab/>
        <w:t xml:space="preserve">Griech. </w:t>
      </w:r>
      <w:r>
        <w:rPr>
          <w:rStyle w:val="Footnote75ptItalic"/>
        </w:rPr>
        <w:t>alaletos</w:t>
      </w:r>
      <w:r>
        <w:t xml:space="preserve"> = „wortlos", „stumm".</w:t>
      </w:r>
    </w:p>
  </w:footnote>
  <w:footnote w:id="410">
    <w:p w:rsidR="00BB7EDA" w:rsidRDefault="007D72B3">
      <w:pPr>
        <w:pStyle w:val="Footnote0"/>
        <w:shd w:val="clear" w:color="auto" w:fill="auto"/>
        <w:tabs>
          <w:tab w:val="left" w:pos="293"/>
        </w:tabs>
        <w:spacing w:line="192" w:lineRule="exact"/>
        <w:ind w:firstLine="0"/>
      </w:pPr>
      <w:r>
        <w:rPr>
          <w:rStyle w:val="Footnote7ptSmallCaps"/>
          <w:vertAlign w:val="superscript"/>
        </w:rPr>
        <w:footnoteRef/>
      </w:r>
      <w:r>
        <w:rPr>
          <w:rStyle w:val="Footnote7ptSmallCaps"/>
        </w:rPr>
        <w:tab/>
        <w:t xml:space="preserve">Bauer: </w:t>
      </w:r>
      <w:r>
        <w:t>Wörterbuch zum Neuen Testament, S. 1090.</w:t>
      </w:r>
    </w:p>
  </w:footnote>
  <w:footnote w:id="411">
    <w:p w:rsidR="00BB7EDA" w:rsidRPr="007D72B3" w:rsidRDefault="007D72B3">
      <w:pPr>
        <w:pStyle w:val="Footnote0"/>
        <w:shd w:val="clear" w:color="auto" w:fill="auto"/>
        <w:tabs>
          <w:tab w:val="left" w:pos="298"/>
        </w:tabs>
        <w:spacing w:line="192" w:lineRule="exact"/>
        <w:ind w:firstLine="0"/>
        <w:rPr>
          <w:lang w:val="en-US"/>
        </w:rPr>
      </w:pPr>
      <w:r>
        <w:rPr>
          <w:vertAlign w:val="superscript"/>
        </w:rPr>
        <w:footnoteRef/>
      </w:r>
      <w:r w:rsidRPr="007D72B3">
        <w:rPr>
          <w:lang w:val="en-US"/>
        </w:rPr>
        <w:tab/>
        <w:t>IKor 15,34; IThes 5,6.8; lTim 3,2.11; 2Tim 2,26; 4,5; Tit 2,2; IPet 1,13; 4,5; 5,8.</w:t>
      </w:r>
    </w:p>
  </w:footnote>
  <w:footnote w:id="412">
    <w:p w:rsidR="00BB7EDA" w:rsidRDefault="007D72B3">
      <w:pPr>
        <w:pStyle w:val="Footnote0"/>
        <w:shd w:val="clear" w:color="auto" w:fill="auto"/>
        <w:tabs>
          <w:tab w:val="left" w:pos="293"/>
        </w:tabs>
        <w:spacing w:line="192" w:lineRule="exact"/>
        <w:ind w:left="320" w:hanging="320"/>
        <w:jc w:val="left"/>
      </w:pPr>
      <w:r>
        <w:rPr>
          <w:vertAlign w:val="superscript"/>
        </w:rPr>
        <w:footnoteRef/>
      </w:r>
      <w:r>
        <w:tab/>
        <w:t xml:space="preserve">Mat 24,42; 25,13; 26,38.41; Mark 13,33.35.37; 14,34.38; Luk 21,36; Apg </w:t>
      </w:r>
      <w:r>
        <w:t>20,31; IKor 16,13; Kol 4,2; IPet 5,8.</w:t>
      </w:r>
    </w:p>
  </w:footnote>
  <w:footnote w:id="413">
    <w:p w:rsidR="00BB7EDA" w:rsidRDefault="007D72B3">
      <w:pPr>
        <w:pStyle w:val="Footnote0"/>
        <w:shd w:val="clear" w:color="auto" w:fill="auto"/>
        <w:tabs>
          <w:tab w:val="left" w:pos="278"/>
        </w:tabs>
        <w:spacing w:line="192" w:lineRule="exact"/>
        <w:ind w:firstLine="0"/>
      </w:pPr>
      <w:r>
        <w:rPr>
          <w:vertAlign w:val="superscript"/>
        </w:rPr>
        <w:footnoteRef/>
      </w:r>
      <w:r>
        <w:tab/>
        <w:t>Jak 4,7; IPet 5,9.</w:t>
      </w:r>
    </w:p>
  </w:footnote>
  <w:footnote w:id="414">
    <w:p w:rsidR="00BB7EDA" w:rsidRDefault="007D72B3">
      <w:pPr>
        <w:pStyle w:val="Footnote0"/>
        <w:shd w:val="clear" w:color="auto" w:fill="auto"/>
        <w:tabs>
          <w:tab w:val="left" w:pos="293"/>
        </w:tabs>
        <w:spacing w:line="192" w:lineRule="exact"/>
        <w:ind w:firstLine="0"/>
      </w:pPr>
      <w:r>
        <w:rPr>
          <w:vertAlign w:val="superscript"/>
        </w:rPr>
        <w:footnoteRef/>
      </w:r>
      <w:r>
        <w:tab/>
        <w:t>lTim 6,12.</w:t>
      </w:r>
    </w:p>
  </w:footnote>
  <w:footnote w:id="415">
    <w:p w:rsidR="00BB7EDA" w:rsidRDefault="007D72B3">
      <w:pPr>
        <w:pStyle w:val="Footnote0"/>
        <w:shd w:val="clear" w:color="auto" w:fill="auto"/>
        <w:tabs>
          <w:tab w:val="left" w:pos="293"/>
        </w:tabs>
        <w:spacing w:line="192" w:lineRule="exact"/>
        <w:ind w:left="320" w:hanging="320"/>
      </w:pPr>
      <w:r>
        <w:rPr>
          <w:vertAlign w:val="superscript"/>
        </w:rPr>
        <w:footnoteRef/>
      </w:r>
      <w:r>
        <w:tab/>
        <w:t xml:space="preserve">Vgl. </w:t>
      </w:r>
      <w:r>
        <w:rPr>
          <w:rStyle w:val="Footnote7pt"/>
        </w:rPr>
        <w:t xml:space="preserve">zu </w:t>
      </w:r>
      <w:r>
        <w:t xml:space="preserve">dieser Thematik: </w:t>
      </w:r>
      <w:r>
        <w:rPr>
          <w:rStyle w:val="Footnote7ptSmallCaps"/>
        </w:rPr>
        <w:t xml:space="preserve">Liebe </w:t>
      </w:r>
      <w:r>
        <w:t>New Age! Daten, Fakten, Hintergründe, Hat die große Wende begonnen? Kritische Analysen zum gegenwärtigen Esote- rik-Boom.</w:t>
      </w:r>
    </w:p>
  </w:footnote>
  <w:footnote w:id="416">
    <w:p w:rsidR="00BB7EDA" w:rsidRDefault="007D72B3">
      <w:pPr>
        <w:pStyle w:val="Footnote0"/>
        <w:shd w:val="clear" w:color="auto" w:fill="auto"/>
        <w:spacing w:line="192" w:lineRule="exact"/>
        <w:ind w:left="320" w:hanging="320"/>
      </w:pPr>
      <w:r>
        <w:t>50° g)</w:t>
      </w:r>
      <w:r>
        <w:rPr>
          <w:vertAlign w:val="subscript"/>
        </w:rPr>
        <w:t>er</w:t>
      </w:r>
      <w:r>
        <w:t xml:space="preserve"> Ausdruck „Besonnenheit" in 2Tim 1,7 ist die Übersetzung von </w:t>
      </w:r>
      <w:r>
        <w:rPr>
          <w:rStyle w:val="Footnote75ptItalic"/>
        </w:rPr>
        <w:t>söphroni- rnos.</w:t>
      </w:r>
      <w:r>
        <w:t xml:space="preserve"> Weitere Bedeutungen sind: Selbstbeherrschung, gesunde Urteilsfähig</w:t>
      </w:r>
      <w:r>
        <w:softHyphen/>
        <w:t>keit, Enthaltsamkeit.</w:t>
      </w:r>
    </w:p>
  </w:footnote>
  <w:footnote w:id="417">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Zitat nach der revidierten Schlachter-Bibel, Das Neue Testament und die Psalmen.</w:t>
      </w:r>
    </w:p>
  </w:footnote>
  <w:footnote w:id="418">
    <w:p w:rsidR="00BB7EDA" w:rsidRDefault="007D72B3">
      <w:pPr>
        <w:pStyle w:val="Footnote0"/>
        <w:shd w:val="clear" w:color="auto" w:fill="auto"/>
        <w:tabs>
          <w:tab w:val="left" w:pos="283"/>
        </w:tabs>
        <w:spacing w:line="192" w:lineRule="exact"/>
        <w:ind w:firstLine="0"/>
      </w:pPr>
      <w:r>
        <w:rPr>
          <w:vertAlign w:val="superscript"/>
        </w:rPr>
        <w:footnoteRef/>
      </w:r>
      <w:r>
        <w:tab/>
        <w:t xml:space="preserve">Vgl. </w:t>
      </w:r>
      <w:r>
        <w:t>IKor 1,26-28.</w:t>
      </w:r>
    </w:p>
  </w:footnote>
  <w:footnote w:id="419">
    <w:p w:rsidR="00BB7EDA" w:rsidRDefault="007D72B3">
      <w:pPr>
        <w:pStyle w:val="Footnote0"/>
        <w:shd w:val="clear" w:color="auto" w:fill="auto"/>
        <w:tabs>
          <w:tab w:val="left" w:pos="278"/>
        </w:tabs>
        <w:spacing w:line="192" w:lineRule="exact"/>
        <w:ind w:left="320" w:hanging="320"/>
      </w:pPr>
      <w:r>
        <w:rPr>
          <w:vertAlign w:val="superscript"/>
        </w:rPr>
        <w:footnoteRef/>
      </w:r>
      <w:r>
        <w:tab/>
      </w:r>
      <w:r>
        <w:rPr>
          <w:rStyle w:val="Footnote75ptItalic"/>
        </w:rPr>
        <w:t>diermeneuö</w:t>
      </w:r>
      <w:r>
        <w:t xml:space="preserve"> (= „auslegen", „übersetzen"): IKor 12,30; 14,5.13.27; </w:t>
      </w:r>
      <w:r>
        <w:rPr>
          <w:rStyle w:val="Footnote75ptItalic"/>
        </w:rPr>
        <w:t>hermeneia</w:t>
      </w:r>
      <w:r>
        <w:t xml:space="preserve"> (= „Auslegung", „Übersetzung"); IKor 12,10; 14,26; </w:t>
      </w:r>
      <w:r>
        <w:rPr>
          <w:rStyle w:val="Footnote75ptItalic"/>
        </w:rPr>
        <w:t>diermeneutes</w:t>
      </w:r>
      <w:r>
        <w:t xml:space="preserve"> (= „Ausleger", „Übersetzer"): IKor 14,28.</w:t>
      </w:r>
    </w:p>
  </w:footnote>
  <w:footnote w:id="420">
    <w:p w:rsidR="00BB7EDA" w:rsidRDefault="007D72B3">
      <w:pPr>
        <w:pStyle w:val="Footnote0"/>
        <w:shd w:val="clear" w:color="auto" w:fill="auto"/>
        <w:tabs>
          <w:tab w:val="left" w:pos="298"/>
        </w:tabs>
        <w:spacing w:line="192" w:lineRule="exact"/>
        <w:ind w:left="320" w:hanging="320"/>
        <w:jc w:val="left"/>
      </w:pPr>
      <w:r>
        <w:rPr>
          <w:vertAlign w:val="superscript"/>
        </w:rPr>
        <w:footnoteRef/>
      </w:r>
      <w:r>
        <w:tab/>
        <w:t>IKor 14,14: „Denn wenn ich in einer Sprache bete, so bete</w:t>
      </w:r>
      <w:r>
        <w:t xml:space="preserve">t </w:t>
      </w:r>
      <w:r>
        <w:rPr>
          <w:rStyle w:val="Footnote75ptItalic"/>
        </w:rPr>
        <w:t>mein Geist..."</w:t>
      </w:r>
      <w:r>
        <w:t xml:space="preserve"> Der Ausdruck „mein Geist" (griech. </w:t>
      </w:r>
      <w:r>
        <w:rPr>
          <w:rStyle w:val="Footnote75ptItalic"/>
        </w:rPr>
        <w:t>pneuma mou)</w:t>
      </w:r>
      <w:r>
        <w:t xml:space="preserve"> meint den Geist von Paulus. Es</w:t>
      </w:r>
    </w:p>
  </w:footnote>
  <w:footnote w:id="421">
    <w:p w:rsidR="00BB7EDA" w:rsidRDefault="007D72B3">
      <w:pPr>
        <w:pStyle w:val="Footnote0"/>
        <w:shd w:val="clear" w:color="auto" w:fill="auto"/>
        <w:tabs>
          <w:tab w:val="left" w:pos="283"/>
        </w:tabs>
        <w:spacing w:line="192" w:lineRule="exact"/>
        <w:ind w:left="320" w:hanging="320"/>
        <w:jc w:val="left"/>
      </w:pPr>
      <w:r>
        <w:rPr>
          <w:rStyle w:val="Footnote7ptSmallCaps"/>
          <w:vertAlign w:val="superscript"/>
        </w:rPr>
        <w:footnoteRef/>
      </w:r>
      <w:r>
        <w:rPr>
          <w:rStyle w:val="Footnote7ptSmallCaps"/>
        </w:rPr>
        <w:tab/>
        <w:t xml:space="preserve">Hoffmann/von Siebenthal: </w:t>
      </w:r>
      <w:r>
        <w:t>Griechische Grammatik zum Neuen Testament, S. 425.</w:t>
      </w:r>
    </w:p>
  </w:footnote>
  <w:footnote w:id="422">
    <w:p w:rsidR="00BB7EDA" w:rsidRDefault="007D72B3">
      <w:pPr>
        <w:pStyle w:val="Footnote0"/>
        <w:shd w:val="clear" w:color="auto" w:fill="auto"/>
        <w:spacing w:line="192" w:lineRule="exact"/>
        <w:ind w:left="320" w:hanging="320"/>
      </w:pPr>
      <w:r>
        <w:rPr>
          <w:vertAlign w:val="superscript"/>
        </w:rPr>
        <w:footnoteRef/>
      </w:r>
      <w:r>
        <w:t xml:space="preserve"> Diese Feststellung ist wichtig im Blick auf extreme Behauptungen, die besagen, je</w:t>
      </w:r>
      <w:r>
        <w:t>der Christ sollte als Erweis der Echtheit seines Glaubens in Zungen reden.</w:t>
      </w:r>
    </w:p>
  </w:footnote>
  <w:footnote w:id="423">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Das griechische Wort </w:t>
      </w:r>
      <w:r>
        <w:rPr>
          <w:rStyle w:val="Footnote75ptItalic"/>
        </w:rPr>
        <w:t>teleios</w:t>
      </w:r>
      <w:r>
        <w:t xml:space="preserve"> bedeutet sowohl „Erwachsener" als auch „Voll</w:t>
      </w:r>
      <w:r>
        <w:softHyphen/>
        <w:t>kommener". Im Kontext von IKor 14,20 steht die Bedeutung „Erwachsener" im Vordergrund. Man beachte die Op</w:t>
      </w:r>
      <w:r>
        <w:t>position zwischen „Unmündige"/ „Kinder" und „Erwachsene".</w:t>
      </w:r>
    </w:p>
  </w:footnote>
  <w:footnote w:id="424">
    <w:p w:rsidR="00BB7EDA" w:rsidRDefault="007D72B3">
      <w:pPr>
        <w:pStyle w:val="Footnote0"/>
        <w:shd w:val="clear" w:color="auto" w:fill="auto"/>
        <w:tabs>
          <w:tab w:val="left" w:pos="288"/>
        </w:tabs>
        <w:spacing w:line="160" w:lineRule="exact"/>
        <w:ind w:firstLine="0"/>
      </w:pPr>
      <w:r>
        <w:rPr>
          <w:vertAlign w:val="superscript"/>
        </w:rPr>
        <w:footnoteRef/>
      </w:r>
      <w:r>
        <w:tab/>
        <w:t xml:space="preserve">Vgl. z.B. </w:t>
      </w:r>
      <w:r>
        <w:rPr>
          <w:rStyle w:val="Footnote7ptSmallCaps"/>
        </w:rPr>
        <w:t xml:space="preserve">Gemoll: </w:t>
      </w:r>
      <w:r>
        <w:t>Griechisch-deutsches Schul- und Handwörterbuch, S. 524.</w:t>
      </w:r>
    </w:p>
  </w:footnote>
  <w:footnote w:id="425">
    <w:p w:rsidR="00BB7EDA" w:rsidRDefault="007D72B3">
      <w:pPr>
        <w:pStyle w:val="Footnote0"/>
        <w:shd w:val="clear" w:color="auto" w:fill="auto"/>
        <w:tabs>
          <w:tab w:val="left" w:pos="283"/>
        </w:tabs>
        <w:spacing w:line="192" w:lineRule="exact"/>
        <w:ind w:firstLine="0"/>
      </w:pPr>
      <w:r>
        <w:rPr>
          <w:vertAlign w:val="superscript"/>
        </w:rPr>
        <w:footnoteRef/>
      </w:r>
      <w:r>
        <w:tab/>
        <w:t>Sanskrit für: Meditationsformel.</w:t>
      </w:r>
    </w:p>
  </w:footnote>
  <w:footnote w:id="426">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Ein gebildeter Afghane erzählte mir in Tadschikistan, dass er den Koran vier Mal auf </w:t>
      </w:r>
      <w:r>
        <w:t>Arabisch gelesen habe - jedoch ohne ihn zu verstehen.</w:t>
      </w:r>
    </w:p>
  </w:footnote>
  <w:footnote w:id="427">
    <w:p w:rsidR="00BB7EDA" w:rsidRDefault="007D72B3">
      <w:pPr>
        <w:pStyle w:val="Footnote0"/>
        <w:shd w:val="clear" w:color="auto" w:fill="auto"/>
        <w:tabs>
          <w:tab w:val="left" w:pos="288"/>
        </w:tabs>
        <w:spacing w:line="192" w:lineRule="exact"/>
        <w:ind w:firstLine="0"/>
      </w:pPr>
      <w:r>
        <w:rPr>
          <w:vertAlign w:val="superscript"/>
        </w:rPr>
        <w:footnoteRef/>
      </w:r>
      <w:r>
        <w:tab/>
        <w:t>Vgl. z.B. Deut 18,10-14; Gal 5,20; Off 21,8.</w:t>
      </w:r>
    </w:p>
  </w:footnote>
  <w:footnote w:id="428">
    <w:p w:rsidR="00BB7EDA" w:rsidRDefault="007D72B3">
      <w:pPr>
        <w:pStyle w:val="Footnote0"/>
        <w:shd w:val="clear" w:color="auto" w:fill="auto"/>
        <w:tabs>
          <w:tab w:val="left" w:pos="288"/>
        </w:tabs>
        <w:spacing w:line="192" w:lineRule="exact"/>
        <w:ind w:left="320" w:hanging="320"/>
      </w:pPr>
      <w:r>
        <w:rPr>
          <w:rStyle w:val="Footnote7pt"/>
          <w:vertAlign w:val="superscript"/>
        </w:rPr>
        <w:footnoteRef/>
      </w:r>
      <w:r>
        <w:rPr>
          <w:rStyle w:val="Footnote7pt"/>
        </w:rPr>
        <w:tab/>
        <w:t xml:space="preserve">HajKOor: </w:t>
      </w:r>
      <w:r>
        <w:t xml:space="preserve">Gebetsheilungen, Zungenreden, Zeichen und Wunder im Licht der Schrift, S. 16 </w:t>
      </w:r>
      <w:r>
        <w:rPr>
          <w:rStyle w:val="Footnote7pt"/>
        </w:rPr>
        <w:t xml:space="preserve">und </w:t>
      </w:r>
      <w:r>
        <w:t xml:space="preserve">25-26; </w:t>
      </w:r>
      <w:r>
        <w:rPr>
          <w:rStyle w:val="Footnote7ptSmallCaps"/>
        </w:rPr>
        <w:t xml:space="preserve">Ebertshäuser: </w:t>
      </w:r>
      <w:r>
        <w:t>Die charismatische Bewegung im Licht der B</w:t>
      </w:r>
      <w:r>
        <w:t>ibel, S. 152.</w:t>
      </w:r>
    </w:p>
  </w:footnote>
  <w:footnote w:id="429">
    <w:p w:rsidR="00BB7EDA" w:rsidRDefault="007D72B3">
      <w:pPr>
        <w:pStyle w:val="Footnote0"/>
        <w:shd w:val="clear" w:color="auto" w:fill="auto"/>
        <w:tabs>
          <w:tab w:val="left" w:pos="283"/>
        </w:tabs>
        <w:spacing w:line="192" w:lineRule="exact"/>
        <w:ind w:left="320" w:hanging="320"/>
        <w:jc w:val="left"/>
      </w:pPr>
      <w:r>
        <w:rPr>
          <w:rStyle w:val="Footnote7ptSmallCaps"/>
          <w:vertAlign w:val="superscript"/>
        </w:rPr>
        <w:footnoteRef/>
      </w:r>
      <w:r>
        <w:rPr>
          <w:rStyle w:val="Footnote7ptSmallCaps"/>
        </w:rPr>
        <w:tab/>
        <w:t>Franzke:</w:t>
      </w:r>
      <w:r>
        <w:rPr>
          <w:rStyle w:val="Footnote7pt"/>
        </w:rPr>
        <w:t xml:space="preserve"> Was </w:t>
      </w:r>
      <w:r>
        <w:t>ist Schamanisrnus? Wesen, Gerahren und Ausbreitung aes Schamanismus in Schule und Gesellschaft, S. 6.</w:t>
      </w:r>
    </w:p>
  </w:footnote>
  <w:footnote w:id="430">
    <w:p w:rsidR="00BB7EDA" w:rsidRDefault="007D72B3">
      <w:pPr>
        <w:pStyle w:val="Footnote0"/>
        <w:shd w:val="clear" w:color="auto" w:fill="auto"/>
        <w:tabs>
          <w:tab w:val="left" w:pos="283"/>
        </w:tabs>
        <w:spacing w:line="192" w:lineRule="exact"/>
        <w:ind w:left="320" w:hanging="320"/>
        <w:jc w:val="left"/>
      </w:pPr>
      <w:r>
        <w:rPr>
          <w:rStyle w:val="Footnote7ptSmallCaps"/>
          <w:vertAlign w:val="superscript"/>
        </w:rPr>
        <w:footnoteRef/>
      </w:r>
      <w:r>
        <w:rPr>
          <w:rStyle w:val="Footnote7ptSmallCaps"/>
        </w:rPr>
        <w:tab/>
        <w:t xml:space="preserve">Franzke: </w:t>
      </w:r>
      <w:r>
        <w:t>Was ist Schamanismus? Wesen, Gefahren und Ausbreitung des Schamanismus in Schule und Gesellschaft, S. 13.</w:t>
      </w:r>
    </w:p>
  </w:footnote>
  <w:footnote w:id="431">
    <w:p w:rsidR="00BB7EDA" w:rsidRDefault="007D72B3">
      <w:pPr>
        <w:pStyle w:val="Footnote0"/>
        <w:shd w:val="clear" w:color="auto" w:fill="auto"/>
        <w:tabs>
          <w:tab w:val="left" w:pos="288"/>
        </w:tabs>
        <w:spacing w:line="192" w:lineRule="exact"/>
        <w:ind w:left="320" w:hanging="320"/>
        <w:jc w:val="left"/>
      </w:pPr>
      <w:r>
        <w:rPr>
          <w:rStyle w:val="Footnote7ptSmallCaps"/>
          <w:vertAlign w:val="superscript"/>
        </w:rPr>
        <w:footnoteRef/>
      </w:r>
      <w:r>
        <w:rPr>
          <w:rStyle w:val="Footnote7ptSmallCaps"/>
        </w:rPr>
        <w:tab/>
      </w:r>
      <w:r>
        <w:rPr>
          <w:rStyle w:val="Footnote7ptSmallCaps"/>
        </w:rPr>
        <w:t xml:space="preserve">Franzke: </w:t>
      </w:r>
      <w:r>
        <w:t>Was ist Schamanismus? Wesen, Gefahren und Ausbreitung des Schamanismus in Schule und Gesellschaft, S. 12-13.</w:t>
      </w:r>
    </w:p>
  </w:footnote>
  <w:footnote w:id="432">
    <w:p w:rsidR="00BB7EDA" w:rsidRDefault="007D72B3">
      <w:pPr>
        <w:pStyle w:val="Footnote0"/>
        <w:shd w:val="clear" w:color="auto" w:fill="auto"/>
        <w:tabs>
          <w:tab w:val="left" w:pos="293"/>
        </w:tabs>
        <w:spacing w:line="192" w:lineRule="exact"/>
        <w:ind w:left="320" w:hanging="320"/>
      </w:pPr>
      <w:r>
        <w:rPr>
          <w:vertAlign w:val="superscript"/>
        </w:rPr>
        <w:footnoteRef/>
      </w:r>
      <w:r>
        <w:tab/>
        <w:t>Vgl. die Parallele zur Falsch-Prophetie: Hesekiel klagte zur Zeit des AT falsche Propheten an, sie würden ihre Weissagungen aus ihrem ei</w:t>
      </w:r>
      <w:r>
        <w:t>genen, verdorbenen Herzen heraus in erlogener Weise vortragen (Hes 13,2-3).</w:t>
      </w:r>
    </w:p>
  </w:footnote>
  <w:footnote w:id="433">
    <w:p w:rsidR="00BB7EDA" w:rsidRDefault="007D72B3">
      <w:pPr>
        <w:pStyle w:val="Footnote0"/>
        <w:shd w:val="clear" w:color="auto" w:fill="auto"/>
        <w:tabs>
          <w:tab w:val="left" w:pos="288"/>
        </w:tabs>
        <w:spacing w:line="192" w:lineRule="exact"/>
        <w:ind w:left="320" w:hanging="320"/>
      </w:pPr>
      <w:r>
        <w:rPr>
          <w:vertAlign w:val="superscript"/>
        </w:rPr>
        <w:footnoteRef/>
      </w:r>
      <w:r>
        <w:tab/>
        <w:t>Gewisse Zungenredner schreiben ihrer Praktik seelische Krämpfe lösende Wirkung zu. Hier könnte u.U. ein gewisser Zusammenhang gesehen wer</w:t>
      </w:r>
      <w:r>
        <w:softHyphen/>
        <w:t>den.</w:t>
      </w:r>
    </w:p>
  </w:footnote>
  <w:footnote w:id="434">
    <w:p w:rsidR="00BB7EDA" w:rsidRDefault="007D72B3">
      <w:pPr>
        <w:pStyle w:val="Footnote0"/>
        <w:shd w:val="clear" w:color="auto" w:fill="auto"/>
        <w:tabs>
          <w:tab w:val="left" w:pos="288"/>
        </w:tabs>
        <w:spacing w:line="192" w:lineRule="exact"/>
        <w:ind w:left="320" w:hanging="320"/>
        <w:jc w:val="left"/>
      </w:pPr>
      <w:r>
        <w:rPr>
          <w:vertAlign w:val="superscript"/>
        </w:rPr>
        <w:footnoteRef/>
      </w:r>
      <w:r>
        <w:tab/>
        <w:t xml:space="preserve">Die Camisarden bildeten eine </w:t>
      </w:r>
      <w:r>
        <w:t>entartete Bewegung, die aus dem Hugenotten- tum herauskam.</w:t>
      </w:r>
    </w:p>
  </w:footnote>
  <w:footnote w:id="435">
    <w:p w:rsidR="00BB7EDA" w:rsidRDefault="007D72B3">
      <w:pPr>
        <w:pStyle w:val="Footnote0"/>
        <w:shd w:val="clear" w:color="auto" w:fill="auto"/>
        <w:spacing w:line="192" w:lineRule="exact"/>
        <w:ind w:left="320" w:hanging="320"/>
        <w:jc w:val="left"/>
      </w:pPr>
      <w:r>
        <w:rPr>
          <w:vertAlign w:val="superscript"/>
        </w:rPr>
        <w:t>324</w:t>
      </w:r>
      <w:r>
        <w:t xml:space="preserve"> Vgl. zur Geschichte der Camisarden und zu diesem Fall: </w:t>
      </w:r>
      <w:r>
        <w:rPr>
          <w:rStyle w:val="Footnote7ptSmallCaps"/>
        </w:rPr>
        <w:t xml:space="preserve">Schott: </w:t>
      </w:r>
      <w:r>
        <w:t>Die Kirche der Wüste, passim.</w:t>
      </w:r>
    </w:p>
  </w:footnote>
  <w:footnote w:id="436">
    <w:p w:rsidR="00BB7EDA" w:rsidRDefault="007D72B3">
      <w:pPr>
        <w:pStyle w:val="Footnote0"/>
        <w:shd w:val="clear" w:color="auto" w:fill="auto"/>
        <w:spacing w:line="192" w:lineRule="exact"/>
        <w:ind w:left="320" w:hanging="320"/>
      </w:pPr>
      <w:r>
        <w:rPr>
          <w:vertAlign w:val="superscript"/>
        </w:rPr>
        <w:t>323</w:t>
      </w:r>
      <w:r>
        <w:t xml:space="preserve"> In diesem Fall handelte es sich nicht lediglich um ein Stammeln, sondern um eine wirkliche Sprac</w:t>
      </w:r>
      <w:r>
        <w:t>he. Zwei Aspekte machen jedoch deutlich, dass es sich dennoch nicht um das biblische Sprachenreden handelte: 1. Nicht sie sprach, sondern ein Geist sprach aus ihr heraus. Sie wirkte als Medium, indem ihr Verstand abgekoppelt war. 2. Ihre Aussage stand kras</w:t>
      </w:r>
      <w:r>
        <w:t>s im Widerspruch zur Bibel (Mat 5,44).</w:t>
      </w:r>
    </w:p>
  </w:footnote>
  <w:footnote w:id="437">
    <w:p w:rsidR="00BB7EDA" w:rsidRDefault="007D72B3">
      <w:pPr>
        <w:pStyle w:val="Footnote0"/>
        <w:shd w:val="clear" w:color="auto" w:fill="auto"/>
        <w:tabs>
          <w:tab w:val="left" w:pos="278"/>
        </w:tabs>
        <w:spacing w:line="192" w:lineRule="exact"/>
        <w:ind w:left="340"/>
      </w:pPr>
      <w:r>
        <w:rPr>
          <w:vertAlign w:val="superscript"/>
        </w:rPr>
        <w:footnoteRef/>
      </w:r>
      <w:r>
        <w:tab/>
        <w:t>In Mat 16,16 spricht Petrus kraft göttlicher Offenbarung (vgl. Mat 16,17) sein Bekenntnis zu dem Messias aus. Doch seine Aussage in Mat 16,22 ging auf teuflische Eingebung zurück (Mat 16,23).</w:t>
      </w:r>
    </w:p>
    <w:p w:rsidR="00BB7EDA" w:rsidRDefault="007D72B3">
      <w:pPr>
        <w:pStyle w:val="Footnote0"/>
        <w:shd w:val="clear" w:color="auto" w:fill="auto"/>
        <w:spacing w:line="192" w:lineRule="exact"/>
        <w:ind w:left="340" w:firstLine="0"/>
      </w:pPr>
      <w:r>
        <w:t>Die „Heiligen" und „Tre</w:t>
      </w:r>
      <w:r>
        <w:t xml:space="preserve">uen" in Ephesus (vgl. Eph 1,1) werden gewarnt, dem Teufel keinen Raum (griech. </w:t>
      </w:r>
      <w:r>
        <w:rPr>
          <w:rStyle w:val="Footnote75ptItalic"/>
        </w:rPr>
        <w:t>topos)</w:t>
      </w:r>
      <w:r>
        <w:t xml:space="preserve"> zu geben (Eph 4,27).</w:t>
      </w:r>
    </w:p>
    <w:p w:rsidR="00BB7EDA" w:rsidRDefault="007D72B3">
      <w:pPr>
        <w:pStyle w:val="Footnote0"/>
        <w:shd w:val="clear" w:color="auto" w:fill="auto"/>
        <w:spacing w:line="192" w:lineRule="exact"/>
        <w:ind w:left="340" w:firstLine="0"/>
      </w:pPr>
      <w:r>
        <w:t>Paulus musste bei den Korinthern von einem derart miserablen Zustand ausgehen, dass er ihnen vorwerfen konnte, sie seien durchaus bereit, einen fremd</w:t>
      </w:r>
      <w:r>
        <w:t>en Geist zu empfangen (2Kor 11,4).</w:t>
      </w:r>
    </w:p>
  </w:footnote>
  <w:footnote w:id="438">
    <w:p w:rsidR="00BB7EDA" w:rsidRDefault="007D72B3">
      <w:pPr>
        <w:pStyle w:val="Footnote0"/>
        <w:shd w:val="clear" w:color="auto" w:fill="auto"/>
        <w:tabs>
          <w:tab w:val="left" w:pos="283"/>
        </w:tabs>
        <w:spacing w:line="192" w:lineRule="exact"/>
        <w:ind w:firstLine="0"/>
      </w:pPr>
      <w:r>
        <w:rPr>
          <w:vertAlign w:val="superscript"/>
        </w:rPr>
        <w:footnoteRef/>
      </w:r>
      <w:r>
        <w:tab/>
        <w:t>Hier bezeichnet der ßegrifi „Gesetz' das gesamte A“l.</w:t>
      </w:r>
    </w:p>
  </w:footnote>
  <w:footnote w:id="439">
    <w:p w:rsidR="00BB7EDA" w:rsidRDefault="007D72B3">
      <w:pPr>
        <w:pStyle w:val="Footnote0"/>
        <w:shd w:val="clear" w:color="auto" w:fill="auto"/>
        <w:tabs>
          <w:tab w:val="left" w:pos="288"/>
        </w:tabs>
        <w:spacing w:line="192" w:lineRule="exact"/>
        <w:ind w:firstLine="0"/>
      </w:pPr>
      <w:r>
        <w:rPr>
          <w:vertAlign w:val="superscript"/>
        </w:rPr>
        <w:footnoteRef/>
      </w:r>
      <w:r>
        <w:tab/>
        <w:t>Im Kontext von Jes 28 ist damit das Volk Israel gemeint.</w:t>
      </w:r>
    </w:p>
  </w:footnote>
  <w:footnote w:id="440">
    <w:p w:rsidR="00BB7EDA" w:rsidRDefault="007D72B3">
      <w:pPr>
        <w:pStyle w:val="Footnote0"/>
        <w:shd w:val="clear" w:color="auto" w:fill="auto"/>
        <w:tabs>
          <w:tab w:val="left" w:pos="278"/>
        </w:tabs>
        <w:spacing w:line="192" w:lineRule="exact"/>
        <w:ind w:firstLine="0"/>
      </w:pPr>
      <w:r>
        <w:rPr>
          <w:vertAlign w:val="superscript"/>
        </w:rPr>
        <w:footnoteRef/>
      </w:r>
      <w:r>
        <w:tab/>
        <w:t xml:space="preserve">So gemäß den Wortbestandteilen: </w:t>
      </w:r>
      <w:r>
        <w:rPr>
          <w:rStyle w:val="Footnote75ptItalic"/>
        </w:rPr>
        <w:t>kata</w:t>
      </w:r>
      <w:r>
        <w:t xml:space="preserve"> („herab") und </w:t>
      </w:r>
      <w:r>
        <w:rPr>
          <w:rStyle w:val="Footnote75ptItalic"/>
        </w:rPr>
        <w:t>tirgeö</w:t>
      </w:r>
      <w:r>
        <w:t xml:space="preserve"> („machen").</w:t>
      </w:r>
    </w:p>
  </w:footnote>
  <w:footnote w:id="441">
    <w:p w:rsidR="00BB7EDA" w:rsidRDefault="007D72B3">
      <w:pPr>
        <w:pStyle w:val="Footnote0"/>
        <w:shd w:val="clear" w:color="auto" w:fill="auto"/>
        <w:tabs>
          <w:tab w:val="left" w:pos="288"/>
        </w:tabs>
        <w:spacing w:line="192" w:lineRule="exact"/>
        <w:ind w:left="320" w:hanging="320"/>
      </w:pPr>
      <w:r>
        <w:rPr>
          <w:vertAlign w:val="superscript"/>
        </w:rPr>
        <w:footnoteRef/>
      </w:r>
      <w:r>
        <w:tab/>
        <w:t xml:space="preserve">Könnte mit dem „Vollkommenen" </w:t>
      </w:r>
      <w:r>
        <w:t>nicht etwa die Zeit ab der Vollendung des Kanons der biblischen Bücher gemeint sein, d.h. die Zeit ab ca. 98 n. Chr., als der Apostel Johannes sein letztes Bibelbuch verfasste und der Heiligen Schrift abschließend hinzufügte? Nein! Mit dem Abschluss des Ka</w:t>
      </w:r>
      <w:r>
        <w:t>nons kam zwar Gottes schriftliche Offenbarung zu ihrem Ende. Das stellte heilsge</w:t>
      </w:r>
      <w:r>
        <w:softHyphen/>
        <w:t>schichtlich ein hochbedeutsamer Einschnitt dar. Doch seither ist die Erkennt</w:t>
      </w:r>
      <w:r>
        <w:softHyphen/>
        <w:t xml:space="preserve">nis des </w:t>
      </w:r>
      <w:r>
        <w:rPr>
          <w:rStyle w:val="Footnote75ptItalic"/>
        </w:rPr>
        <w:t>einzelnen Gläubigen</w:t>
      </w:r>
      <w:r>
        <w:t xml:space="preserve"> immer noch „stückweise" geblieben. Paulus sagt ja gewissermaßen </w:t>
      </w:r>
      <w:r>
        <w:rPr>
          <w:rStyle w:val="Footnote75ptItalic"/>
        </w:rPr>
        <w:t>subjek</w:t>
      </w:r>
      <w:r>
        <w:rPr>
          <w:rStyle w:val="Footnote75ptItalic"/>
        </w:rPr>
        <w:t>tiv</w:t>
      </w:r>
      <w:r>
        <w:t xml:space="preserve"> (IKor 13,12): „Jetzt erkenne </w:t>
      </w:r>
      <w:r>
        <w:rPr>
          <w:rStyle w:val="Footnote75ptItalic"/>
        </w:rPr>
        <w:t>ich</w:t>
      </w:r>
      <w:r>
        <w:t xml:space="preserve"> stückweise..." „Das Vollkommene" wird erst dann gekommen sein, wenn der Einzelne vollkommen erkennen kann (IKor 13,12): „Denn wir sehen jetzt durch einen Spiegel, undeutlich, dann aber von Angesicht zu Angesicht."</w:t>
      </w:r>
    </w:p>
  </w:footnote>
  <w:footnote w:id="442">
    <w:p w:rsidR="00BB7EDA" w:rsidRDefault="007D72B3">
      <w:pPr>
        <w:pStyle w:val="Footnote0"/>
        <w:shd w:val="clear" w:color="auto" w:fill="auto"/>
        <w:tabs>
          <w:tab w:val="left" w:pos="283"/>
        </w:tabs>
        <w:spacing w:line="192" w:lineRule="exact"/>
        <w:ind w:left="320" w:hanging="320"/>
        <w:jc w:val="left"/>
      </w:pPr>
      <w:r>
        <w:rPr>
          <w:vertAlign w:val="superscript"/>
        </w:rPr>
        <w:footnoteRef/>
      </w:r>
      <w:r>
        <w:tab/>
        <w:t>Vgl</w:t>
      </w:r>
      <w:r>
        <w:t>. Mark 16,14-17 („die Elfe", V. 14, und „die da glauben"/„die da zum Glauben kommen" (ingressiver Aorist), V. 17).</w:t>
      </w:r>
    </w:p>
  </w:footnote>
  <w:footnote w:id="443">
    <w:p w:rsidR="00BB7EDA" w:rsidRDefault="007D72B3">
      <w:pPr>
        <w:pStyle w:val="Footnote0"/>
        <w:shd w:val="clear" w:color="auto" w:fill="auto"/>
        <w:tabs>
          <w:tab w:val="left" w:pos="288"/>
        </w:tabs>
        <w:spacing w:line="192" w:lineRule="exact"/>
        <w:ind w:firstLine="0"/>
      </w:pPr>
      <w:r>
        <w:rPr>
          <w:vertAlign w:val="superscript"/>
        </w:rPr>
        <w:footnoteRef/>
      </w:r>
      <w:r>
        <w:tab/>
        <w:t xml:space="preserve">Zitiert nach: </w:t>
      </w:r>
      <w:r>
        <w:rPr>
          <w:rStyle w:val="Footnote7ptSmallCaps0"/>
        </w:rPr>
        <w:t xml:space="preserve">Peters: </w:t>
      </w:r>
      <w:r>
        <w:t>Zeichen und Wunder, S. 49.</w:t>
      </w:r>
    </w:p>
  </w:footnote>
  <w:footnote w:id="444">
    <w:p w:rsidR="00BB7EDA" w:rsidRDefault="007D72B3">
      <w:pPr>
        <w:pStyle w:val="Footnote0"/>
        <w:shd w:val="clear" w:color="auto" w:fill="auto"/>
        <w:tabs>
          <w:tab w:val="left" w:pos="293"/>
        </w:tabs>
        <w:spacing w:line="192" w:lineRule="exact"/>
        <w:ind w:firstLine="0"/>
      </w:pPr>
      <w:r>
        <w:rPr>
          <w:vertAlign w:val="superscript"/>
        </w:rPr>
        <w:footnoteRef/>
      </w:r>
      <w:r>
        <w:tab/>
        <w:t>Deutsche Übersetzung: RL.</w:t>
      </w:r>
    </w:p>
  </w:footnote>
  <w:footnote w:id="445">
    <w:p w:rsidR="00BB7EDA" w:rsidRDefault="007D72B3">
      <w:pPr>
        <w:pStyle w:val="Footnote0"/>
        <w:shd w:val="clear" w:color="auto" w:fill="auto"/>
        <w:tabs>
          <w:tab w:val="left" w:pos="293"/>
        </w:tabs>
        <w:spacing w:line="192" w:lineRule="exact"/>
        <w:ind w:left="320" w:hanging="320"/>
      </w:pPr>
      <w:r>
        <w:rPr>
          <w:vertAlign w:val="superscript"/>
        </w:rPr>
        <w:footnoteRef/>
      </w:r>
      <w:r>
        <w:tab/>
      </w:r>
      <w:r>
        <w:t xml:space="preserve">Da dieses Zitat sehr wichtig ist, sei nachfolgend der Text im originalen Wortlaut wiedergegeben </w:t>
      </w:r>
      <w:r>
        <w:rPr>
          <w:rStyle w:val="Footnote7ptSmallCaps0"/>
        </w:rPr>
        <w:t xml:space="preserve">(Augustinus: </w:t>
      </w:r>
      <w:r>
        <w:t>Epistula Iohannis ad Parthos, VI, 10, Patrologia Latina, Bd. 35, S. 2026/5): „signa erant tempori opportuna. opor- tebat enim ita significari in Om</w:t>
      </w:r>
      <w:r>
        <w:t>nibus linguis spiritum sanctum, quia euange- lium dei per omnes linguas cursurum erat toto orbe terrarum. significatum est illud, et transiit."</w:t>
      </w:r>
    </w:p>
  </w:footnote>
  <w:footnote w:id="446">
    <w:p w:rsidR="00BB7EDA" w:rsidRDefault="007D72B3">
      <w:pPr>
        <w:pStyle w:val="Footnote0"/>
        <w:shd w:val="clear" w:color="auto" w:fill="auto"/>
        <w:tabs>
          <w:tab w:val="left" w:pos="288"/>
        </w:tabs>
        <w:spacing w:line="192" w:lineRule="exact"/>
        <w:ind w:firstLine="0"/>
      </w:pPr>
      <w:r>
        <w:rPr>
          <w:vertAlign w:val="superscript"/>
        </w:rPr>
        <w:footnoteRef/>
      </w:r>
      <w:r>
        <w:tab/>
        <w:t xml:space="preserve">Zitiert nach: </w:t>
      </w:r>
      <w:r>
        <w:rPr>
          <w:rStyle w:val="Footnote7ptSmallCaps"/>
        </w:rPr>
        <w:t xml:space="preserve">Peters: </w:t>
      </w:r>
      <w:r>
        <w:t>Zeichen und Wunder, S. 49.</w:t>
      </w:r>
    </w:p>
  </w:footnote>
  <w:footnote w:id="447">
    <w:p w:rsidR="00BB7EDA" w:rsidRDefault="007D72B3">
      <w:pPr>
        <w:pStyle w:val="Footnote0"/>
        <w:shd w:val="clear" w:color="auto" w:fill="auto"/>
        <w:tabs>
          <w:tab w:val="left" w:pos="288"/>
        </w:tabs>
        <w:spacing w:line="192" w:lineRule="exact"/>
        <w:ind w:firstLine="0"/>
      </w:pPr>
      <w:r>
        <w:rPr>
          <w:vertAlign w:val="superscript"/>
        </w:rPr>
        <w:footnoteRef/>
      </w:r>
      <w:r>
        <w:tab/>
        <w:t xml:space="preserve">Zitiert nach: </w:t>
      </w:r>
      <w:r>
        <w:rPr>
          <w:rStyle w:val="Footnote5ptSmallCaps"/>
        </w:rPr>
        <w:t xml:space="preserve">Peters: </w:t>
      </w:r>
      <w:r>
        <w:t>Zeichen und Wunder, 5. 50.</w:t>
      </w:r>
    </w:p>
  </w:footnote>
  <w:footnote w:id="448">
    <w:p w:rsidR="00BB7EDA" w:rsidRDefault="007D72B3">
      <w:pPr>
        <w:pStyle w:val="Footnote0"/>
        <w:shd w:val="clear" w:color="auto" w:fill="auto"/>
        <w:tabs>
          <w:tab w:val="left" w:pos="288"/>
        </w:tabs>
        <w:spacing w:line="192" w:lineRule="exact"/>
        <w:ind w:firstLine="0"/>
      </w:pPr>
      <w:r>
        <w:rPr>
          <w:vertAlign w:val="superscript"/>
        </w:rPr>
        <w:footnoteRef/>
      </w:r>
      <w:r>
        <w:tab/>
        <w:t xml:space="preserve">Zitiert </w:t>
      </w:r>
      <w:r>
        <w:t xml:space="preserve">nach: </w:t>
      </w:r>
      <w:r>
        <w:rPr>
          <w:rStyle w:val="Footnote7ptSmallCaps"/>
        </w:rPr>
        <w:t xml:space="preserve">Peters: </w:t>
      </w:r>
      <w:r>
        <w:t xml:space="preserve">Zeichen </w:t>
      </w:r>
      <w:r>
        <w:rPr>
          <w:rStyle w:val="Footnote7pt"/>
        </w:rPr>
        <w:t xml:space="preserve">und </w:t>
      </w:r>
      <w:r>
        <w:t xml:space="preserve">Wunder, S. </w:t>
      </w:r>
      <w:r>
        <w:rPr>
          <w:rStyle w:val="Footnote7pt"/>
        </w:rPr>
        <w:t>50.</w:t>
      </w:r>
    </w:p>
  </w:footnote>
  <w:footnote w:id="449">
    <w:p w:rsidR="00BB7EDA" w:rsidRDefault="007D72B3">
      <w:pPr>
        <w:pStyle w:val="Footnote0"/>
        <w:shd w:val="clear" w:color="auto" w:fill="auto"/>
        <w:tabs>
          <w:tab w:val="left" w:pos="288"/>
        </w:tabs>
        <w:ind w:firstLine="0"/>
      </w:pPr>
      <w:r>
        <w:rPr>
          <w:vertAlign w:val="superscript"/>
        </w:rPr>
        <w:footnoteRef/>
      </w:r>
      <w:r>
        <w:tab/>
        <w:t>Vgl. 7.</w:t>
      </w:r>
    </w:p>
  </w:footnote>
  <w:footnote w:id="450">
    <w:p w:rsidR="00BB7EDA" w:rsidRDefault="007D72B3">
      <w:pPr>
        <w:pStyle w:val="Footnote0"/>
        <w:shd w:val="clear" w:color="auto" w:fill="auto"/>
        <w:tabs>
          <w:tab w:val="left" w:pos="283"/>
        </w:tabs>
        <w:ind w:firstLine="0"/>
      </w:pPr>
      <w:r>
        <w:rPr>
          <w:vertAlign w:val="superscript"/>
        </w:rPr>
        <w:footnoteRef/>
      </w:r>
      <w:r>
        <w:tab/>
        <w:t>Vgl. 8.</w:t>
      </w:r>
    </w:p>
  </w:footnote>
  <w:footnote w:id="451">
    <w:p w:rsidR="00BB7EDA" w:rsidRDefault="007D72B3">
      <w:pPr>
        <w:pStyle w:val="Footnote0"/>
        <w:shd w:val="clear" w:color="auto" w:fill="auto"/>
        <w:tabs>
          <w:tab w:val="left" w:pos="278"/>
        </w:tabs>
        <w:ind w:firstLine="0"/>
      </w:pPr>
      <w:r>
        <w:rPr>
          <w:vertAlign w:val="superscript"/>
        </w:rPr>
        <w:footnoteRef/>
      </w:r>
      <w:r>
        <w:tab/>
        <w:t>Vgl. 9.2.</w:t>
      </w:r>
    </w:p>
  </w:footnote>
  <w:footnote w:id="452">
    <w:p w:rsidR="00BB7EDA" w:rsidRDefault="007D72B3">
      <w:pPr>
        <w:pStyle w:val="Footnote0"/>
        <w:shd w:val="clear" w:color="auto" w:fill="auto"/>
        <w:tabs>
          <w:tab w:val="left" w:pos="283"/>
        </w:tabs>
        <w:ind w:firstLine="0"/>
      </w:pPr>
      <w:r>
        <w:rPr>
          <w:vertAlign w:val="superscript"/>
        </w:rPr>
        <w:footnoteRef/>
      </w:r>
      <w:r>
        <w:tab/>
        <w:t>Vgl. 9.</w:t>
      </w:r>
    </w:p>
  </w:footnote>
  <w:footnote w:id="453">
    <w:p w:rsidR="00BB7EDA" w:rsidRDefault="007D72B3">
      <w:pPr>
        <w:pStyle w:val="Footnote0"/>
        <w:shd w:val="clear" w:color="auto" w:fill="auto"/>
        <w:tabs>
          <w:tab w:val="left" w:pos="283"/>
        </w:tabs>
        <w:ind w:firstLine="0"/>
      </w:pPr>
      <w:r>
        <w:rPr>
          <w:vertAlign w:val="superscript"/>
        </w:rPr>
        <w:footnoteRef/>
      </w:r>
      <w:r>
        <w:tab/>
        <w:t>Vgl. 3.2.1.</w:t>
      </w:r>
    </w:p>
  </w:footnote>
  <w:footnote w:id="454">
    <w:p w:rsidR="00BB7EDA" w:rsidRDefault="007D72B3">
      <w:pPr>
        <w:pStyle w:val="Footnote0"/>
        <w:shd w:val="clear" w:color="auto" w:fill="auto"/>
        <w:tabs>
          <w:tab w:val="left" w:pos="283"/>
        </w:tabs>
        <w:ind w:firstLine="0"/>
      </w:pPr>
      <w:r>
        <w:rPr>
          <w:vertAlign w:val="superscript"/>
        </w:rPr>
        <w:footnoteRef/>
      </w:r>
      <w:r>
        <w:tab/>
        <w:t>Vgl. 2.2.3.4.</w:t>
      </w:r>
    </w:p>
  </w:footnote>
  <w:footnote w:id="455">
    <w:p w:rsidR="00BB7EDA" w:rsidRDefault="007D72B3">
      <w:pPr>
        <w:pStyle w:val="Footnote0"/>
        <w:shd w:val="clear" w:color="auto" w:fill="auto"/>
        <w:tabs>
          <w:tab w:val="left" w:pos="288"/>
        </w:tabs>
        <w:ind w:firstLine="0"/>
      </w:pPr>
      <w:r>
        <w:rPr>
          <w:vertAlign w:val="superscript"/>
        </w:rPr>
        <w:footnoteRef/>
      </w:r>
      <w:r>
        <w:tab/>
        <w:t>Vgl. 2.1.8.2-2.1.8.3.</w:t>
      </w:r>
    </w:p>
  </w:footnote>
  <w:footnote w:id="456">
    <w:p w:rsidR="00BB7EDA" w:rsidRDefault="007D72B3">
      <w:pPr>
        <w:pStyle w:val="Footnote0"/>
        <w:shd w:val="clear" w:color="auto" w:fill="auto"/>
        <w:tabs>
          <w:tab w:val="left" w:pos="288"/>
        </w:tabs>
        <w:ind w:firstLine="0"/>
      </w:pPr>
      <w:r>
        <w:rPr>
          <w:vertAlign w:val="superscript"/>
        </w:rPr>
        <w:footnoteRef/>
      </w:r>
      <w:r>
        <w:tab/>
        <w:t>Vgl. 2.3.</w:t>
      </w:r>
    </w:p>
  </w:footnote>
  <w:footnote w:id="457">
    <w:p w:rsidR="00BB7EDA" w:rsidRDefault="007D72B3">
      <w:pPr>
        <w:pStyle w:val="Footnote0"/>
        <w:shd w:val="clear" w:color="auto" w:fill="auto"/>
        <w:tabs>
          <w:tab w:val="left" w:pos="283"/>
        </w:tabs>
        <w:ind w:firstLine="0"/>
      </w:pPr>
      <w:r>
        <w:rPr>
          <w:vertAlign w:val="superscript"/>
        </w:rPr>
        <w:footnoteRef/>
      </w:r>
      <w:r>
        <w:tab/>
        <w:t>Vgl. 4.4.</w:t>
      </w:r>
    </w:p>
  </w:footnote>
  <w:footnote w:id="458">
    <w:p w:rsidR="00BB7EDA" w:rsidRDefault="007D72B3">
      <w:pPr>
        <w:pStyle w:val="Footnote0"/>
        <w:shd w:val="clear" w:color="auto" w:fill="auto"/>
        <w:tabs>
          <w:tab w:val="left" w:pos="283"/>
        </w:tabs>
        <w:ind w:firstLine="0"/>
      </w:pPr>
      <w:r>
        <w:rPr>
          <w:vertAlign w:val="superscript"/>
        </w:rPr>
        <w:footnoteRef/>
      </w:r>
      <w:r>
        <w:tab/>
        <w:t>Vgl. 4.3.9.</w:t>
      </w:r>
    </w:p>
  </w:footnote>
  <w:footnote w:id="459">
    <w:p w:rsidR="00BB7EDA" w:rsidRDefault="007D72B3">
      <w:pPr>
        <w:pStyle w:val="Footnote0"/>
        <w:shd w:val="clear" w:color="auto" w:fill="auto"/>
        <w:tabs>
          <w:tab w:val="left" w:pos="288"/>
        </w:tabs>
        <w:ind w:firstLine="0"/>
      </w:pPr>
      <w:r>
        <w:rPr>
          <w:vertAlign w:val="superscript"/>
        </w:rPr>
        <w:footnoteRef/>
      </w:r>
      <w:r>
        <w:tab/>
        <w:t>Vgl. 4.3.7.</w:t>
      </w:r>
    </w:p>
  </w:footnote>
  <w:footnote w:id="460">
    <w:p w:rsidR="00BB7EDA" w:rsidRDefault="007D72B3">
      <w:pPr>
        <w:pStyle w:val="Footnote0"/>
        <w:shd w:val="clear" w:color="auto" w:fill="auto"/>
        <w:tabs>
          <w:tab w:val="left" w:pos="288"/>
        </w:tabs>
        <w:spacing w:line="192" w:lineRule="exact"/>
        <w:ind w:firstLine="0"/>
      </w:pPr>
      <w:r>
        <w:rPr>
          <w:vertAlign w:val="superscript"/>
        </w:rPr>
        <w:footnoteRef/>
      </w:r>
      <w:r>
        <w:tab/>
        <w:t>Vgi. 10.</w:t>
      </w:r>
    </w:p>
  </w:footnote>
  <w:footnote w:id="461">
    <w:p w:rsidR="00BB7EDA" w:rsidRDefault="007D72B3">
      <w:pPr>
        <w:pStyle w:val="Footnote0"/>
        <w:shd w:val="clear" w:color="auto" w:fill="auto"/>
        <w:tabs>
          <w:tab w:val="left" w:pos="288"/>
        </w:tabs>
        <w:spacing w:line="192" w:lineRule="exact"/>
        <w:ind w:firstLine="0"/>
      </w:pPr>
      <w:r>
        <w:rPr>
          <w:vertAlign w:val="superscript"/>
        </w:rPr>
        <w:footnoteRef/>
      </w:r>
      <w:r>
        <w:tab/>
        <w:t>Vgl. 3.1.3.4-3.1.3.5.</w:t>
      </w:r>
    </w:p>
  </w:footnote>
  <w:footnote w:id="462">
    <w:p w:rsidR="00BB7EDA" w:rsidRDefault="007D72B3">
      <w:pPr>
        <w:pStyle w:val="Footnote0"/>
        <w:shd w:val="clear" w:color="auto" w:fill="auto"/>
        <w:tabs>
          <w:tab w:val="left" w:pos="288"/>
        </w:tabs>
        <w:spacing w:line="192" w:lineRule="exact"/>
        <w:ind w:firstLine="0"/>
      </w:pPr>
      <w:r>
        <w:rPr>
          <w:vertAlign w:val="superscript"/>
        </w:rPr>
        <w:footnoteRef/>
      </w:r>
      <w:r>
        <w:tab/>
        <w:t>Vgl. 3.1.3.3.</w:t>
      </w:r>
    </w:p>
  </w:footnote>
  <w:footnote w:id="463">
    <w:p w:rsidR="00BB7EDA" w:rsidRDefault="007D72B3">
      <w:pPr>
        <w:pStyle w:val="Footnote0"/>
        <w:shd w:val="clear" w:color="auto" w:fill="auto"/>
        <w:tabs>
          <w:tab w:val="left" w:pos="288"/>
        </w:tabs>
        <w:spacing w:line="192" w:lineRule="exact"/>
        <w:ind w:firstLine="0"/>
      </w:pPr>
      <w:r>
        <w:rPr>
          <w:vertAlign w:val="superscript"/>
        </w:rPr>
        <w:footnoteRef/>
      </w:r>
      <w:r>
        <w:tab/>
        <w:t>Vgl. 3.1.3.1.</w:t>
      </w:r>
    </w:p>
  </w:footnote>
  <w:footnote w:id="464">
    <w:p w:rsidR="00BB7EDA" w:rsidRDefault="007D72B3">
      <w:pPr>
        <w:pStyle w:val="Footnote0"/>
        <w:shd w:val="clear" w:color="auto" w:fill="auto"/>
        <w:tabs>
          <w:tab w:val="left" w:pos="283"/>
        </w:tabs>
        <w:spacing w:line="192" w:lineRule="exact"/>
        <w:ind w:firstLine="0"/>
      </w:pPr>
      <w:r>
        <w:rPr>
          <w:vertAlign w:val="superscript"/>
        </w:rPr>
        <w:footnoteRef/>
      </w:r>
      <w:r>
        <w:tab/>
        <w:t>Vgl. 2.1.7.2-2.1.7.3.</w:t>
      </w:r>
    </w:p>
  </w:footnote>
  <w:footnote w:id="465">
    <w:p w:rsidR="00BB7EDA" w:rsidRDefault="007D72B3">
      <w:pPr>
        <w:pStyle w:val="Footnote0"/>
        <w:shd w:val="clear" w:color="auto" w:fill="auto"/>
        <w:tabs>
          <w:tab w:val="left" w:pos="288"/>
        </w:tabs>
        <w:spacing w:line="192" w:lineRule="exact"/>
        <w:ind w:firstLine="0"/>
      </w:pPr>
      <w:r>
        <w:rPr>
          <w:vertAlign w:val="superscript"/>
        </w:rPr>
        <w:footnoteRef/>
      </w:r>
      <w:r>
        <w:tab/>
        <w:t>Vgl. 3.2.1-3.2.7.</w:t>
      </w:r>
    </w:p>
  </w:footnote>
  <w:footnote w:id="466">
    <w:p w:rsidR="00BB7EDA" w:rsidRDefault="007D72B3">
      <w:pPr>
        <w:pStyle w:val="Footnote0"/>
        <w:shd w:val="clear" w:color="auto" w:fill="auto"/>
        <w:tabs>
          <w:tab w:val="left" w:pos="283"/>
        </w:tabs>
        <w:spacing w:line="192" w:lineRule="exact"/>
        <w:ind w:firstLine="0"/>
      </w:pPr>
      <w:r>
        <w:rPr>
          <w:vertAlign w:val="superscript"/>
        </w:rPr>
        <w:footnoteRef/>
      </w:r>
      <w:r>
        <w:tab/>
        <w:t>Vgl. 3.2.8</w:t>
      </w:r>
    </w:p>
  </w:footnote>
  <w:footnote w:id="467">
    <w:p w:rsidR="00BB7EDA" w:rsidRDefault="007D72B3">
      <w:pPr>
        <w:pStyle w:val="Footnote0"/>
        <w:shd w:val="clear" w:color="auto" w:fill="auto"/>
        <w:tabs>
          <w:tab w:val="left" w:pos="283"/>
        </w:tabs>
        <w:spacing w:line="192" w:lineRule="exact"/>
        <w:ind w:firstLine="0"/>
      </w:pPr>
      <w:r>
        <w:rPr>
          <w:vertAlign w:val="superscript"/>
        </w:rPr>
        <w:footnoteRef/>
      </w:r>
      <w:r>
        <w:tab/>
        <w:t>Vgl. 9.5; 2.2.3.2-2.23.5</w:t>
      </w:r>
    </w:p>
  </w:footnote>
  <w:footnote w:id="468">
    <w:p w:rsidR="00BB7EDA" w:rsidRDefault="007D72B3">
      <w:pPr>
        <w:pStyle w:val="Footnote0"/>
        <w:shd w:val="clear" w:color="auto" w:fill="auto"/>
        <w:tabs>
          <w:tab w:val="left" w:pos="288"/>
        </w:tabs>
        <w:spacing w:line="192" w:lineRule="exact"/>
        <w:ind w:firstLine="0"/>
      </w:pPr>
      <w:r>
        <w:rPr>
          <w:vertAlign w:val="superscript"/>
        </w:rPr>
        <w:footnoteRef/>
      </w:r>
      <w:r>
        <w:tab/>
        <w:t>Vgl. 3.2.9</w:t>
      </w:r>
    </w:p>
  </w:footnote>
  <w:footnote w:id="469">
    <w:p w:rsidR="00BB7EDA" w:rsidRDefault="007D72B3">
      <w:pPr>
        <w:pStyle w:val="Footnote0"/>
        <w:shd w:val="clear" w:color="auto" w:fill="auto"/>
        <w:tabs>
          <w:tab w:val="left" w:pos="288"/>
        </w:tabs>
        <w:spacing w:line="192" w:lineRule="exact"/>
        <w:ind w:firstLine="0"/>
      </w:pPr>
      <w:r>
        <w:rPr>
          <w:vertAlign w:val="superscript"/>
        </w:rPr>
        <w:footnoteRef/>
      </w:r>
      <w:r>
        <w:tab/>
        <w:t>Vgl. 12.1</w:t>
      </w:r>
    </w:p>
  </w:footnote>
  <w:footnote w:id="470">
    <w:p w:rsidR="00BB7EDA" w:rsidRDefault="007D72B3">
      <w:pPr>
        <w:pStyle w:val="Footnote0"/>
        <w:shd w:val="clear" w:color="auto" w:fill="auto"/>
        <w:tabs>
          <w:tab w:val="left" w:pos="283"/>
        </w:tabs>
        <w:spacing w:line="160" w:lineRule="exact"/>
        <w:ind w:firstLine="0"/>
      </w:pPr>
      <w:r>
        <w:rPr>
          <w:vertAlign w:val="superscript"/>
        </w:rPr>
        <w:footnoteRef/>
      </w:r>
      <w:r>
        <w:tab/>
        <w:t xml:space="preserve">Griech. </w:t>
      </w:r>
      <w:r>
        <w:rPr>
          <w:rStyle w:val="Footnote75ptItalic"/>
        </w:rPr>
        <w:t>theopneustos =</w:t>
      </w:r>
      <w:r>
        <w:t xml:space="preserve"> „von Gott inspiriert", von Gott gehaucht".</w:t>
      </w:r>
    </w:p>
  </w:footnote>
  <w:footnote w:id="471">
    <w:p w:rsidR="00BB7EDA" w:rsidRDefault="007D72B3">
      <w:pPr>
        <w:pStyle w:val="Footnote0"/>
        <w:shd w:val="clear" w:color="auto" w:fill="auto"/>
        <w:tabs>
          <w:tab w:val="left" w:pos="293"/>
        </w:tabs>
        <w:ind w:left="320" w:hanging="320"/>
        <w:jc w:val="left"/>
      </w:pPr>
      <w:r>
        <w:rPr>
          <w:vertAlign w:val="superscript"/>
        </w:rPr>
        <w:footnoteRef/>
      </w:r>
      <w:r>
        <w:tab/>
        <w:t xml:space="preserve">Zürich 1994. (= Neuauflage von: Erfüllte Prophetie, Messianische Prophetie - </w:t>
      </w:r>
      <w:r>
        <w:t>ihre Erfüllung und historische Echtheit, 6. Aufl., Berneck 1990)</w:t>
      </w:r>
    </w:p>
  </w:footnote>
  <w:footnote w:id="472">
    <w:p w:rsidR="00BB7EDA" w:rsidRDefault="007D72B3">
      <w:pPr>
        <w:pStyle w:val="Footnote0"/>
        <w:shd w:val="clear" w:color="auto" w:fill="auto"/>
        <w:tabs>
          <w:tab w:val="left" w:pos="283"/>
        </w:tabs>
        <w:ind w:firstLine="0"/>
      </w:pPr>
      <w:r>
        <w:rPr>
          <w:vertAlign w:val="superscript"/>
        </w:rPr>
        <w:footnoteRef/>
      </w:r>
      <w:r>
        <w:tab/>
        <w:t>6. Aufl., Berneck 2002.</w:t>
      </w:r>
    </w:p>
  </w:footnote>
  <w:footnote w:id="473">
    <w:p w:rsidR="00BB7EDA" w:rsidRDefault="007D72B3">
      <w:pPr>
        <w:pStyle w:val="Footnote0"/>
        <w:shd w:val="clear" w:color="auto" w:fill="auto"/>
        <w:tabs>
          <w:tab w:val="left" w:pos="288"/>
        </w:tabs>
        <w:ind w:left="320" w:hanging="320"/>
      </w:pPr>
      <w:r>
        <w:rPr>
          <w:vertAlign w:val="superscript"/>
        </w:rPr>
        <w:footnoteRef/>
      </w:r>
      <w:r>
        <w:tab/>
        <w:t>Im Buch des Propheten Hesekiel findet sich in Verbindung mit der Erfüllung angekündigter Weissagungen in verschiedenen Variationen 7x die Wendung: „... und ihr wer</w:t>
      </w:r>
      <w:r>
        <w:t>det erkennen, dass ich der HERR bin" (z.B. Hes 6,7.10.13)</w:t>
      </w:r>
    </w:p>
  </w:footnote>
  <w:footnote w:id="474">
    <w:p w:rsidR="00BB7EDA" w:rsidRDefault="007D72B3">
      <w:pPr>
        <w:pStyle w:val="Footnote0"/>
        <w:shd w:val="clear" w:color="auto" w:fill="auto"/>
        <w:tabs>
          <w:tab w:val="left" w:pos="288"/>
        </w:tabs>
        <w:ind w:left="320" w:hanging="320"/>
      </w:pPr>
      <w:r>
        <w:rPr>
          <w:vertAlign w:val="superscript"/>
        </w:rPr>
        <w:footnoteRef/>
      </w:r>
      <w:r>
        <w:tab/>
        <w:t>In Verbindung mit Hiob könnte man einwenden, dass es sich hier nicht um einen Dialog in der Gottheit handelt, sondern eher innerhalb von Gottes Engelrat (vgl. Hi 1 und 2; 2Chr 18,18-21). Doch es g</w:t>
      </w:r>
      <w:r>
        <w:t>ibt andere Stellen, wie z.B. Tit 1,2, die ganz eindeutig einen innergöttlichen Dialog bezeugen.</w:t>
      </w:r>
    </w:p>
  </w:footnote>
  <w:footnote w:id="475">
    <w:p w:rsidR="00BB7EDA" w:rsidRDefault="007D72B3">
      <w:pPr>
        <w:pStyle w:val="Footnote0"/>
        <w:shd w:val="clear" w:color="auto" w:fill="auto"/>
        <w:tabs>
          <w:tab w:val="left" w:pos="293"/>
        </w:tabs>
        <w:ind w:left="320" w:hanging="320"/>
      </w:pPr>
      <w:r>
        <w:rPr>
          <w:vertAlign w:val="superscript"/>
        </w:rPr>
        <w:footnoteRef/>
      </w:r>
      <w:r>
        <w:tab/>
        <w:t xml:space="preserve">Zum Thema der Dreieinheit Gottes und zum Geheimnis der inner-trinitari- schen Beziehungen vgl. z.B.: </w:t>
      </w:r>
      <w:r>
        <w:rPr>
          <w:rStyle w:val="Footnote7ptSmallCaps"/>
        </w:rPr>
        <w:t xml:space="preserve">Wallis: </w:t>
      </w:r>
      <w:r>
        <w:t xml:space="preserve">Jesus von Nazareth; </w:t>
      </w:r>
      <w:r>
        <w:rPr>
          <w:rStyle w:val="Footnote7ptSmallCaps"/>
        </w:rPr>
        <w:t xml:space="preserve">Schroeder: </w:t>
      </w:r>
      <w:r>
        <w:t>Le Messie de la Bi</w:t>
      </w:r>
      <w:r>
        <w:t xml:space="preserve">ble; </w:t>
      </w:r>
      <w:r>
        <w:rPr>
          <w:rStyle w:val="Footnote7ptSmallCaps"/>
        </w:rPr>
        <w:t xml:space="preserve">Ouweneel: </w:t>
      </w:r>
      <w:r>
        <w:t xml:space="preserve">Die Sohnschaft Christi; </w:t>
      </w:r>
      <w:r>
        <w:rPr>
          <w:rStyle w:val="Footnote7ptSmallCaps"/>
        </w:rPr>
        <w:t xml:space="preserve">Hocking: </w:t>
      </w:r>
      <w:r>
        <w:t xml:space="preserve">Der Sohn seiner Liebe; </w:t>
      </w:r>
      <w:r>
        <w:rPr>
          <w:rStyle w:val="Footnote7ptSmallCaps"/>
        </w:rPr>
        <w:t xml:space="preserve">Bellet: </w:t>
      </w:r>
      <w:r>
        <w:t>Der Sohn Gottes.</w:t>
      </w:r>
    </w:p>
  </w:footnote>
  <w:footnote w:id="476">
    <w:p w:rsidR="00BB7EDA" w:rsidRDefault="007D72B3">
      <w:pPr>
        <w:pStyle w:val="Footnote0"/>
        <w:shd w:val="clear" w:color="auto" w:fill="auto"/>
        <w:tabs>
          <w:tab w:val="left" w:pos="293"/>
        </w:tabs>
        <w:ind w:firstLine="0"/>
      </w:pPr>
      <w:r>
        <w:rPr>
          <w:vertAlign w:val="superscript"/>
        </w:rPr>
        <w:footnoteRef/>
      </w:r>
      <w:r>
        <w:tab/>
        <w:t>D.h. Mensch.</w:t>
      </w:r>
    </w:p>
  </w:footnote>
  <w:footnote w:id="477">
    <w:p w:rsidR="00BB7EDA" w:rsidRDefault="007D72B3">
      <w:pPr>
        <w:pStyle w:val="Footnote0"/>
        <w:shd w:val="clear" w:color="auto" w:fill="auto"/>
        <w:tabs>
          <w:tab w:val="left" w:pos="288"/>
        </w:tabs>
        <w:spacing w:line="192" w:lineRule="exact"/>
        <w:ind w:firstLine="0"/>
      </w:pPr>
      <w:r>
        <w:rPr>
          <w:vertAlign w:val="superscript"/>
        </w:rPr>
        <w:footnoteRef/>
      </w:r>
      <w:r>
        <w:tab/>
        <w:t>Vgl. die Targumim in folgender Rabbiner-Bibel: Miqra'oth Gedoloth.</w:t>
      </w:r>
    </w:p>
  </w:footnote>
  <w:footnote w:id="478">
    <w:p w:rsidR="00BB7EDA" w:rsidRDefault="007D72B3">
      <w:pPr>
        <w:pStyle w:val="Footnote0"/>
        <w:shd w:val="clear" w:color="auto" w:fill="auto"/>
        <w:spacing w:line="192" w:lineRule="exact"/>
        <w:ind w:firstLine="0"/>
        <w:jc w:val="left"/>
      </w:pPr>
      <w:r>
        <w:rPr>
          <w:rStyle w:val="Footnote7ptSmallCaps"/>
          <w:vertAlign w:val="superscript"/>
        </w:rPr>
        <w:t>374</w:t>
      </w:r>
      <w:r>
        <w:rPr>
          <w:rStyle w:val="Footnote7ptSmallCaps"/>
        </w:rPr>
        <w:t xml:space="preserve"> Pache: </w:t>
      </w:r>
      <w:r>
        <w:t xml:space="preserve">Inspiration und Autorität der Bibel, S. </w:t>
      </w:r>
      <w:r>
        <w:rPr>
          <w:rStyle w:val="Footnote7pt"/>
        </w:rPr>
        <w:t>73.</w:t>
      </w:r>
    </w:p>
  </w:footnote>
  <w:footnote w:id="479">
    <w:p w:rsidR="00BB7EDA" w:rsidRDefault="007D72B3">
      <w:pPr>
        <w:pStyle w:val="Footnote0"/>
        <w:shd w:val="clear" w:color="auto" w:fill="auto"/>
        <w:ind w:firstLine="0"/>
        <w:jc w:val="left"/>
      </w:pPr>
      <w:r>
        <w:rPr>
          <w:vertAlign w:val="superscript"/>
        </w:rPr>
        <w:footnoteRef/>
      </w:r>
      <w:r>
        <w:t xml:space="preserve"> Griech. </w:t>
      </w:r>
      <w:r>
        <w:rPr>
          <w:rStyle w:val="Footnote75ptItalic"/>
        </w:rPr>
        <w:t>tlieopncustos</w:t>
      </w:r>
      <w:r>
        <w:t xml:space="preserve"> = „von Gott inspiriert", „von Gott gehaucht".</w:t>
      </w:r>
    </w:p>
  </w:footnote>
  <w:footnote w:id="480">
    <w:p w:rsidR="00BB7EDA" w:rsidRDefault="007D72B3">
      <w:pPr>
        <w:pStyle w:val="Footnote0"/>
        <w:numPr>
          <w:ilvl w:val="0"/>
          <w:numId w:val="2"/>
        </w:numPr>
        <w:shd w:val="clear" w:color="auto" w:fill="auto"/>
        <w:tabs>
          <w:tab w:val="left" w:pos="293"/>
        </w:tabs>
        <w:ind w:firstLine="0"/>
      </w:pPr>
      <w:r>
        <w:t>Der Singular-Ausdruck (z.B. in Gal 3,8) betont die Einheit der Bibel, während</w:t>
      </w:r>
    </w:p>
  </w:footnote>
  <w:footnote w:id="481">
    <w:p w:rsidR="00BB7EDA" w:rsidRDefault="007D72B3">
      <w:pPr>
        <w:pStyle w:val="Footnote0"/>
        <w:shd w:val="clear" w:color="auto" w:fill="auto"/>
        <w:ind w:firstLine="0"/>
        <w:jc w:val="right"/>
      </w:pPr>
      <w:r>
        <w:t>der Plural (z.B. in IKor 15,3) den Akzent auf die Vielfalt des Inhalts der</w:t>
      </w:r>
    </w:p>
  </w:footnote>
  <w:footnote w:id="482">
    <w:p w:rsidR="00BB7EDA" w:rsidRDefault="007D72B3">
      <w:pPr>
        <w:pStyle w:val="Footnote0"/>
        <w:shd w:val="clear" w:color="auto" w:fill="auto"/>
        <w:ind w:left="340" w:firstLine="0"/>
        <w:jc w:val="left"/>
      </w:pPr>
      <w:r>
        <w:t>gesamten schriftlichen Offenbarung Gottes l</w:t>
      </w:r>
      <w:r>
        <w:t>egt.</w:t>
      </w:r>
    </w:p>
  </w:footnote>
  <w:footnote w:id="483">
    <w:p w:rsidR="00BB7EDA" w:rsidRDefault="007D72B3">
      <w:pPr>
        <w:pStyle w:val="Footnote0"/>
        <w:shd w:val="clear" w:color="auto" w:fill="auto"/>
        <w:tabs>
          <w:tab w:val="left" w:pos="283"/>
        </w:tabs>
        <w:ind w:left="340"/>
        <w:jc w:val="left"/>
      </w:pPr>
      <w:r>
        <w:rPr>
          <w:vertAlign w:val="superscript"/>
        </w:rPr>
        <w:footnoteRef/>
      </w:r>
      <w:r>
        <w:tab/>
        <w:t>Vgl. lTim 5,18: Hier werden die Zitate aus Deut 25,4 (AT) und Luk 10,7 (NT) als Aussagen der „Schrift" bezeichnet.</w:t>
      </w:r>
    </w:p>
  </w:footnote>
  <w:footnote w:id="484">
    <w:p w:rsidR="00BB7EDA" w:rsidRPr="007D72B3" w:rsidRDefault="007D72B3">
      <w:pPr>
        <w:pStyle w:val="Footnote0"/>
        <w:shd w:val="clear" w:color="auto" w:fill="auto"/>
        <w:tabs>
          <w:tab w:val="left" w:pos="278"/>
        </w:tabs>
        <w:ind w:left="340"/>
        <w:jc w:val="left"/>
        <w:rPr>
          <w:lang w:val="en-US"/>
        </w:rPr>
      </w:pPr>
      <w:r>
        <w:rPr>
          <w:rStyle w:val="Footnote7ptSmallCaps"/>
          <w:vertAlign w:val="superscript"/>
        </w:rPr>
        <w:footnoteRef/>
      </w:r>
      <w:r w:rsidRPr="007D72B3">
        <w:rPr>
          <w:rStyle w:val="Footnote7ptSmallCaps"/>
          <w:lang w:val="en-US"/>
        </w:rPr>
        <w:tab/>
        <w:t xml:space="preserve">Jastrow: </w:t>
      </w:r>
      <w:r w:rsidRPr="007D72B3">
        <w:rPr>
          <w:lang w:val="en-US"/>
        </w:rPr>
        <w:t xml:space="preserve">Dictionary </w:t>
      </w:r>
      <w:r w:rsidRPr="007D72B3">
        <w:rPr>
          <w:rStyle w:val="Footnote7pt"/>
          <w:lang w:val="en-US"/>
        </w:rPr>
        <w:t xml:space="preserve">of </w:t>
      </w:r>
      <w:r w:rsidRPr="007D72B3">
        <w:rPr>
          <w:lang w:val="en-US"/>
        </w:rPr>
        <w:t>the Targumim, Talmud Babli, Yerushalmi and Mid- rashic Literature, S. 680.</w:t>
      </w:r>
    </w:p>
  </w:footnote>
  <w:footnote w:id="485">
    <w:p w:rsidR="00BB7EDA" w:rsidRDefault="007D72B3">
      <w:pPr>
        <w:pStyle w:val="Footnote0"/>
        <w:shd w:val="clear" w:color="auto" w:fill="auto"/>
        <w:tabs>
          <w:tab w:val="left" w:pos="283"/>
        </w:tabs>
        <w:ind w:left="340"/>
        <w:jc w:val="left"/>
      </w:pPr>
      <w:r>
        <w:rPr>
          <w:vertAlign w:val="superscript"/>
        </w:rPr>
        <w:footnoteRef/>
      </w:r>
      <w:r>
        <w:tab/>
        <w:t>So argumentiert auch W</w:t>
      </w:r>
      <w:r>
        <w:rPr>
          <w:rStyle w:val="Footnote7pt"/>
        </w:rPr>
        <w:t xml:space="preserve">EU s </w:t>
      </w:r>
      <w:r>
        <w:t>in se</w:t>
      </w:r>
      <w:r>
        <w:t xml:space="preserve">ine) gründlichen Studie zur Inspiration der Bibel: </w:t>
      </w:r>
      <w:r>
        <w:rPr>
          <w:rStyle w:val="Footnote7ptSmallCaps"/>
        </w:rPr>
        <w:t xml:space="preserve">Wells: </w:t>
      </w:r>
      <w:r>
        <w:t>Dieu a parle, S. 17.</w:t>
      </w:r>
    </w:p>
  </w:footnote>
  <w:footnote w:id="486">
    <w:p w:rsidR="00BB7EDA" w:rsidRDefault="007D72B3">
      <w:pPr>
        <w:pStyle w:val="Footnote0"/>
        <w:shd w:val="clear" w:color="auto" w:fill="auto"/>
        <w:spacing w:line="160" w:lineRule="exact"/>
        <w:ind w:firstLine="0"/>
        <w:jc w:val="left"/>
      </w:pPr>
      <w:r>
        <w:rPr>
          <w:vertAlign w:val="superscript"/>
        </w:rPr>
        <w:footnoteRef/>
      </w:r>
      <w:r>
        <w:t xml:space="preserve"> = elektronische Gesamt-Edition der Werke Augustins.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6" type="#_x0000_t202" style="position:absolute;margin-left:38.3pt;margin-top:36.95pt;width:145.45pt;height:6.7pt;z-index:-18874405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rPr>
                    <w:rStyle w:val="Headerorfooter1"/>
                  </w:rPr>
                  <w:t>1.2.2 Kein nebensächliches Thema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2" type="#_x0000_t202" style="position:absolute;margin-left:38.4pt;margin-top:30.75pt;width:50.9pt;height:6.5pt;z-index:-188744020;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4.4.8 Südsee</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6" type="#_x0000_t202" style="position:absolute;margin-left:41.35pt;margin-top:37.5pt;width:195.6pt;height:9.35pt;z-index:-18874401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6.1.2 Zur Wiederentdeckung des Sumerischen</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05" type="#_x0000_t202" style="position:absolute;margin-left:41.35pt;margin-top:37.5pt;width:195.6pt;height:9.35pt;z-index:-18874401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6.1.2 Zur Wiederentdeckung des Sumerischen</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9" type="#_x0000_t202" style="position:absolute;margin-left:42.65pt;margin-top:37.25pt;width:171.85pt;height:9.1pt;z-index:-18874400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6.1.4 Bemerkungen zum Nominalsystem</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5" type="#_x0000_t202" style="position:absolute;margin-left:66.6pt;margin-top:34.1pt;width:119.3pt;height:20.65pt;z-index:-188744003;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9pt"/>
                  </w:rPr>
                  <w:t>N-Stamm, Präteritum</w:t>
                </w:r>
              </w:p>
              <w:p w:rsidR="00BB7EDA" w:rsidRDefault="007D72B3">
                <w:pPr>
                  <w:pStyle w:val="Headerorfooter30"/>
                  <w:shd w:val="clear" w:color="auto" w:fill="auto"/>
                  <w:spacing w:line="240" w:lineRule="auto"/>
                </w:pPr>
                <w:r>
                  <w:rPr>
                    <w:rStyle w:val="Headerorfooter39pt"/>
                  </w:rPr>
                  <w:t>Singular</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91" type="#_x0000_t202" style="position:absolute;margin-left:83.4pt;margin-top:33.6pt;width:120.7pt;height:20.9pt;z-index:-188743999;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9pt"/>
                  </w:rPr>
                  <w:t>G-Stamm, Ventiv, Präteritum</w:t>
                </w:r>
              </w:p>
              <w:p w:rsidR="00BB7EDA" w:rsidRDefault="007D72B3">
                <w:pPr>
                  <w:pStyle w:val="Headerorfooter30"/>
                  <w:shd w:val="clear" w:color="auto" w:fill="auto"/>
                  <w:spacing w:line="240" w:lineRule="auto"/>
                </w:pPr>
                <w:r>
                  <w:rPr>
                    <w:rStyle w:val="Headerorfooter39pt"/>
                  </w:rPr>
                  <w:t>Singular</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7" type="#_x0000_t202" style="position:absolute;margin-left:48.8pt;margin-top:29.6pt;width:102.25pt;height:9.1pt;z-index:-188743995;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6.3.5 Zum Verbalsystem</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83" type="#_x0000_t202" style="position:absolute;margin-left:48.7pt;margin-top:32.25pt;width:66.5pt;height:6.7pt;z-index:-188743991;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7.1.3 Vokabular</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9" type="#_x0000_t202" style="position:absolute;margin-left:47pt;margin-top:25.55pt;width:166.55pt;height:9.1pt;z-index:-188743987;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Spacing0pt"/>
                  </w:rPr>
                  <w:t xml:space="preserve">7.8.1 Es gibt keine </w:t>
                </w:r>
                <w:r>
                  <w:rPr>
                    <w:rStyle w:val="Headerorfooter385ptSpacing0pt"/>
                  </w:rPr>
                  <w:t>primitiven Sprachen</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73" type="#_x0000_t202" style="position:absolute;margin-left:85.9pt;margin-top:37.05pt;width:137.5pt;height:9.1pt;z-index:-188743981;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tabs>
                    <w:tab w:val="right" w:pos="2750"/>
                  </w:tabs>
                  <w:spacing w:line="240" w:lineRule="auto"/>
                </w:pPr>
                <w:r>
                  <w:rPr>
                    <w:rStyle w:val="Headerorfooter39pt"/>
                  </w:rPr>
                  <w:t>Kasus</w:t>
                </w:r>
                <w:r>
                  <w:rPr>
                    <w:rStyle w:val="Headerorfooter39pt"/>
                  </w:rPr>
                  <w:tab/>
                  <w:t>Singular Plural</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60" type="#_x0000_t202" style="position:absolute;margin-left:46.9pt;margin-top:31.1pt;width:94.8pt;height:8.9pt;z-index:-18874396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9.3.2 Entgegnung zu a)</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6" type="#_x0000_t202" style="position:absolute;margin-left:59.05pt;margin-top:37.55pt;width:129.85pt;height:9.1pt;z-index:-18874396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10.5.4 Apostelgeschichte 2,1-21</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052" type="#_x0000_t202" style="position:absolute;margin-left:54.5pt;margin-top:37.3pt;width:252.25pt;height:9.1pt;z-index:-188743960;mso-wrap-distance-left:5pt;mso-wrap-distance-right:5pt;mso-position-horizontal-relative:page;mso-position-vertical-relative:page" wrapcoords="0 0" filled="f" stroked="f">
          <v:textbox style="mso-fit-shape-to-text:t" inset="0,0,0,0">
            <w:txbxContent>
              <w:p w:rsidR="00BB7EDA" w:rsidRDefault="007D72B3">
                <w:pPr>
                  <w:pStyle w:val="Headerorfooter60"/>
                  <w:shd w:val="clear" w:color="auto" w:fill="auto"/>
                  <w:tabs>
                    <w:tab w:val="right" w:pos="3226"/>
                    <w:tab w:val="right" w:pos="5002"/>
                  </w:tabs>
                  <w:spacing w:line="240" w:lineRule="auto"/>
                </w:pPr>
                <w:r>
                  <w:rPr>
                    <w:rStyle w:val="Headerorfooter6Arial65ptItalicSpacing0pt"/>
                  </w:rPr>
                  <w:t>veAt&amp;r*,</w:t>
                </w:r>
                <w:r>
                  <w:rPr>
                    <w:rStyle w:val="Headerorfooter6Georgia95ptSpacing0pt"/>
                  </w:rPr>
                  <w:t xml:space="preserve"> r.yrnv'a</w:t>
                </w:r>
                <w:r>
                  <w:rPr>
                    <w:rStyle w:val="Headerorfooter6Georgia95ptSpacing0pt"/>
                  </w:rPr>
                  <w:tab/>
                </w:r>
                <w:r>
                  <w:rPr>
                    <w:rStyle w:val="Headerorfooter6Georgia95ptSmallCapsSpacing0pt"/>
                  </w:rPr>
                  <w:t>tücps'k avö 13:</w:t>
                </w:r>
                <w:r>
                  <w:rPr>
                    <w:rStyle w:val="Headerorfooter6Georgia95ptSmallCapsSpacing0pt"/>
                  </w:rPr>
                  <w:tab/>
                  <w:t>*m&gt;</w:t>
                </w:r>
                <w:r>
                  <w:rPr>
                    <w:rStyle w:val="Headerorfooter6Verdana85ptBold"/>
                  </w:rPr>
                  <w:t>9</w:t>
                </w:r>
                <w:r>
                  <w:rPr>
                    <w:rStyle w:val="Headerorfooter6Georgia95ptSmallCapsSpacing0pt"/>
                  </w:rPr>
                  <w:t>j vk</w:t>
                </w:r>
                <w:r>
                  <w:rPr>
                    <w:rStyle w:val="Headerorfooter6Georgia95ptSpacing0pt"/>
                  </w:rPr>
                  <w:t xml:space="preserve"> -Mint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40" type="#_x0000_t202" style="position:absolute;margin-left:38.35pt;margin-top:26.1pt;width:111.1pt;height:8.9pt;z-index:-18874404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rPr>
                    <w:rStyle w:val="HeaderorfooterSpacing0pt0"/>
                  </w:rPr>
                  <w:t>2.1.8 Sprache und Denken</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36" type="#_x0000_t202" style="position:absolute;margin-left:37.1pt;margin-top:33.1pt;width:108.95pt;height:10.8pt;z-index:-188744044;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0"/>
                  <w:shd w:val="clear" w:color="auto" w:fill="auto"/>
                  <w:spacing w:line="240" w:lineRule="auto"/>
                </w:pPr>
                <w:r>
                  <w:rPr>
                    <w:rStyle w:val="HeaderorfooterSpacing0pt0"/>
                  </w:rPr>
                  <w:t>2.1.9 Über 6.800 Sprachen</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BB7ED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8" type="#_x0000_t202" style="position:absolute;margin-left:37.8pt;margin-top:25.55pt;width:134.65pt;height:9.1pt;z-index:-18874403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3.2.4 Die „Ding-Dong-Theorie"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4" type="#_x0000_t202" style="position:absolute;margin-left:30.5pt;margin-top:30.2pt;width:168.7pt;height:9.1pt;z-index:-188744032;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4.3.4 Was heißt „Sprachenverwirrung"?</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20" type="#_x0000_t202" style="position:absolute;margin-left:38.45pt;margin-top:27.5pt;width:222.95pt;height:9.35pt;z-index:-188744028;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4.3.6 Die ersten Völkerwanderungen der Geschichte</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EDA" w:rsidRDefault="007D72B3">
    <w:pPr>
      <w:rPr>
        <w:sz w:val="2"/>
        <w:szCs w:val="2"/>
      </w:rPr>
    </w:pPr>
    <w:r>
      <w:pict>
        <v:shapetype id="_x0000_t202" coordsize="21600,21600" o:spt="202" path="m,l,21600r21600,l21600,xe">
          <v:stroke joinstyle="miter"/>
          <v:path gradientshapeok="t" o:connecttype="rect"/>
        </v:shapetype>
        <v:shape id="_x0000_s2118" type="#_x0000_t202" style="position:absolute;margin-left:38.65pt;margin-top:30.4pt;width:47.05pt;height:6.7pt;z-index:-188744026;mso-wrap-style:none;mso-wrap-distance-left:5pt;mso-wrap-distance-right:5pt;mso-position-horizontal-relative:page;mso-position-vertical-relative:page" wrapcoords="0 0" filled="f" stroked="f">
          <v:textbox style="mso-fit-shape-to-text:t" inset="0,0,0,0">
            <w:txbxContent>
              <w:p w:rsidR="00BB7EDA" w:rsidRDefault="007D72B3">
                <w:pPr>
                  <w:pStyle w:val="Headerorfooter30"/>
                  <w:shd w:val="clear" w:color="auto" w:fill="auto"/>
                  <w:spacing w:line="240" w:lineRule="auto"/>
                </w:pPr>
                <w:r>
                  <w:rPr>
                    <w:rStyle w:val="Headerorfooter385pt"/>
                  </w:rPr>
                  <w:t>4.4.7 China</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936"/>
    <w:multiLevelType w:val="multilevel"/>
    <w:tmpl w:val="24265266"/>
    <w:lvl w:ilvl="0">
      <w:start w:val="5"/>
      <w:numFmt w:val="decimal"/>
      <w:lvlText w:val="4.4.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BD794B"/>
    <w:multiLevelType w:val="multilevel"/>
    <w:tmpl w:val="18284008"/>
    <w:lvl w:ilvl="0">
      <w:start w:val="8"/>
      <w:numFmt w:val="decimal"/>
      <w:lvlText w:val="2.1.%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BF3B06"/>
    <w:multiLevelType w:val="multilevel"/>
    <w:tmpl w:val="37262D5A"/>
    <w:lvl w:ilvl="0">
      <w:start w:val="1"/>
      <w:numFmt w:val="decimal"/>
      <w:lvlText w:val="5.2.2.%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AB0DA6"/>
    <w:multiLevelType w:val="multilevel"/>
    <w:tmpl w:val="8F148196"/>
    <w:lvl w:ilvl="0">
      <w:start w:val="1"/>
      <w:numFmt w:val="decimal"/>
      <w:lvlText w:val="43.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724C26"/>
    <w:multiLevelType w:val="multilevel"/>
    <w:tmpl w:val="0A0CD49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3F0AEB"/>
    <w:multiLevelType w:val="multilevel"/>
    <w:tmpl w:val="136C601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0538F8"/>
    <w:multiLevelType w:val="multilevel"/>
    <w:tmpl w:val="97BA3156"/>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ED0F0B"/>
    <w:multiLevelType w:val="multilevel"/>
    <w:tmpl w:val="9BAEF2DC"/>
    <w:lvl w:ilvl="0">
      <w:start w:val="6"/>
      <w:numFmt w:val="decimal"/>
      <w:lvlText w:val="43.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E2336C"/>
    <w:multiLevelType w:val="multilevel"/>
    <w:tmpl w:val="D6A4C820"/>
    <w:lvl w:ilvl="0">
      <w:start w:val="1"/>
      <w:numFmt w:val="decimal"/>
      <w:lvlText w:val="5.4.2.%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266BAE"/>
    <w:multiLevelType w:val="multilevel"/>
    <w:tmpl w:val="A53A46C0"/>
    <w:lvl w:ilvl="0">
      <w:start w:val="2"/>
      <w:numFmt w:val="decimal"/>
      <w:lvlText w:val="9.3.2.%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38171A"/>
    <w:multiLevelType w:val="multilevel"/>
    <w:tmpl w:val="06240622"/>
    <w:lvl w:ilvl="0">
      <w:start w:val="23"/>
      <w:numFmt w:val="decimal"/>
      <w:lvlText w:val="4.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0008CD"/>
    <w:multiLevelType w:val="multilevel"/>
    <w:tmpl w:val="B98E0548"/>
    <w:lvl w:ilvl="0">
      <w:start w:val="23"/>
      <w:numFmt w:val="decimal"/>
      <w:lvlText w:val="4.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3B66D7"/>
    <w:multiLevelType w:val="multilevel"/>
    <w:tmpl w:val="065404F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647C20"/>
    <w:multiLevelType w:val="multilevel"/>
    <w:tmpl w:val="48765754"/>
    <w:lvl w:ilvl="0">
      <w:start w:val="5"/>
      <w:numFmt w:val="decimal"/>
      <w:lvlText w:val="4.3.%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750B9C"/>
    <w:multiLevelType w:val="multilevel"/>
    <w:tmpl w:val="47A87596"/>
    <w:lvl w:ilvl="0">
      <w:start w:val="5"/>
      <w:numFmt w:val="decimal"/>
      <w:lvlText w:val="1.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9665E8"/>
    <w:multiLevelType w:val="multilevel"/>
    <w:tmpl w:val="945C1722"/>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5E4B21"/>
    <w:multiLevelType w:val="multilevel"/>
    <w:tmpl w:val="01880612"/>
    <w:lvl w:ilvl="0">
      <w:start w:val="4"/>
      <w:numFmt w:val="decimal"/>
      <w:lvlText w:val="3.1.%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711F69"/>
    <w:multiLevelType w:val="multilevel"/>
    <w:tmpl w:val="77B6FF42"/>
    <w:lvl w:ilvl="0">
      <w:start w:val="3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863255"/>
    <w:multiLevelType w:val="multilevel"/>
    <w:tmpl w:val="2B4A3768"/>
    <w:lvl w:ilvl="0">
      <w:numFmt w:val="decimal"/>
      <w:lvlText w:val="32.%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9B60A3"/>
    <w:multiLevelType w:val="multilevel"/>
    <w:tmpl w:val="2682B8E6"/>
    <w:lvl w:ilvl="0">
      <w:start w:val="35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F31AB0"/>
    <w:multiLevelType w:val="multilevel"/>
    <w:tmpl w:val="1E2E2F5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CD39F0"/>
    <w:multiLevelType w:val="multilevel"/>
    <w:tmpl w:val="D2ACA2A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A222E0"/>
    <w:multiLevelType w:val="multilevel"/>
    <w:tmpl w:val="658E8D80"/>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2F481C"/>
    <w:multiLevelType w:val="multilevel"/>
    <w:tmpl w:val="604488AE"/>
    <w:lvl w:ilvl="0">
      <w:start w:val="1"/>
      <w:numFmt w:val="decimal"/>
      <w:lvlText w:val="43.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2D749B"/>
    <w:multiLevelType w:val="multilevel"/>
    <w:tmpl w:val="3C22440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5D44E6"/>
    <w:multiLevelType w:val="multilevel"/>
    <w:tmpl w:val="F1E6AD4C"/>
    <w:lvl w:ilvl="0">
      <w:start w:val="1"/>
      <w:numFmt w:val="decimal"/>
      <w:lvlText w:val="2.2.5.%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start w:val="3"/>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76062C"/>
    <w:multiLevelType w:val="multilevel"/>
    <w:tmpl w:val="E6A6100E"/>
    <w:lvl w:ilvl="0">
      <w:start w:val="1"/>
      <w:numFmt w:val="decimal"/>
      <w:lvlText w:val="2.3.3.%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05480C"/>
    <w:multiLevelType w:val="multilevel"/>
    <w:tmpl w:val="8A3453E6"/>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4F02F2"/>
    <w:multiLevelType w:val="multilevel"/>
    <w:tmpl w:val="7588799A"/>
    <w:lvl w:ilvl="0">
      <w:start w:val="5"/>
      <w:numFmt w:val="decimal"/>
      <w:lvlText w:val="6.1.%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start w:val="2"/>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B942C2"/>
    <w:multiLevelType w:val="multilevel"/>
    <w:tmpl w:val="80C451F2"/>
    <w:lvl w:ilvl="0">
      <w:numFmt w:val="decimal"/>
      <w:lvlText w:val="94.%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DD2721"/>
    <w:multiLevelType w:val="multilevel"/>
    <w:tmpl w:val="C9A41F2A"/>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6A3861"/>
    <w:multiLevelType w:val="multilevel"/>
    <w:tmpl w:val="445A933A"/>
    <w:lvl w:ilvl="0">
      <w:start w:val="3"/>
      <w:numFmt w:val="decimal"/>
      <w:lvlText w:val="7.%1"/>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6EB5A85"/>
    <w:multiLevelType w:val="multilevel"/>
    <w:tmpl w:val="C7186EC2"/>
    <w:lvl w:ilvl="0">
      <w:start w:val="6"/>
      <w:numFmt w:val="decimal"/>
      <w:lvlText w:val="10.6.%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3F4F0C"/>
    <w:multiLevelType w:val="multilevel"/>
    <w:tmpl w:val="AC00E7E2"/>
    <w:lvl w:ilvl="0">
      <w:start w:val="1"/>
      <w:numFmt w:val="decimal"/>
      <w:lvlText w:val="43.3.%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D71565"/>
    <w:multiLevelType w:val="multilevel"/>
    <w:tmpl w:val="EB0A9B50"/>
    <w:lvl w:ilvl="0">
      <w:start w:val="1"/>
      <w:numFmt w:val="decimal"/>
      <w:lvlText w:val="4.4.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0D3DEA"/>
    <w:multiLevelType w:val="multilevel"/>
    <w:tmpl w:val="F2149286"/>
    <w:lvl w:ilvl="0">
      <w:start w:val="2"/>
      <w:numFmt w:val="decimal"/>
      <w:lvlText w:val="3.%1"/>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1D145E"/>
    <w:multiLevelType w:val="multilevel"/>
    <w:tmpl w:val="103073D2"/>
    <w:lvl w:ilvl="0">
      <w:start w:val="1"/>
      <w:numFmt w:val="decimal"/>
      <w:lvlText w:val="6.2.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9283A25"/>
    <w:multiLevelType w:val="multilevel"/>
    <w:tmpl w:val="9A84283E"/>
    <w:lvl w:ilvl="0">
      <w:start w:val="3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661C40"/>
    <w:multiLevelType w:val="multilevel"/>
    <w:tmpl w:val="0F9C10BA"/>
    <w:lvl w:ilvl="0">
      <w:start w:val="1"/>
      <w:numFmt w:val="decimal"/>
      <w:lvlText w:val="2.1.8.%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6E43A0"/>
    <w:multiLevelType w:val="multilevel"/>
    <w:tmpl w:val="0F56A7E6"/>
    <w:lvl w:ilvl="0">
      <w:start w:val="10"/>
      <w:numFmt w:val="decimal"/>
      <w:lvlText w:val="2.1.%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98075AC"/>
    <w:multiLevelType w:val="multilevel"/>
    <w:tmpl w:val="3B602772"/>
    <w:lvl w:ilvl="0">
      <w:start w:val="3"/>
      <w:numFmt w:val="decimal"/>
      <w:lvlText w:val="7.1.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AAA2D1F"/>
    <w:multiLevelType w:val="multilevel"/>
    <w:tmpl w:val="88767C84"/>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73292B"/>
    <w:multiLevelType w:val="multilevel"/>
    <w:tmpl w:val="25A828AE"/>
    <w:lvl w:ilvl="0">
      <w:start w:val="3"/>
      <w:numFmt w:val="decimal"/>
      <w:lvlText w:val="9.3.2.%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9D45D1"/>
    <w:multiLevelType w:val="multilevel"/>
    <w:tmpl w:val="4C1C26B2"/>
    <w:lvl w:ilvl="0">
      <w:start w:val="5"/>
      <w:numFmt w:val="decimal"/>
      <w:lvlText w:val="3.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E0443D7"/>
    <w:multiLevelType w:val="multilevel"/>
    <w:tmpl w:val="B9A69642"/>
    <w:lvl w:ilvl="0">
      <w:start w:val="1"/>
      <w:numFmt w:val="decimal"/>
      <w:lvlText w:val="8.2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E100054"/>
    <w:multiLevelType w:val="multilevel"/>
    <w:tmpl w:val="96027A0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E3765BF"/>
    <w:multiLevelType w:val="multilevel"/>
    <w:tmpl w:val="5762B136"/>
    <w:lvl w:ilvl="0">
      <w:start w:val="1"/>
      <w:numFmt w:val="decimal"/>
      <w:lvlText w:val="5.3.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E486288"/>
    <w:multiLevelType w:val="multilevel"/>
    <w:tmpl w:val="81CCCE46"/>
    <w:lvl w:ilvl="0">
      <w:start w:val="1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EA25D76"/>
    <w:multiLevelType w:val="multilevel"/>
    <w:tmpl w:val="8F121D08"/>
    <w:lvl w:ilvl="0">
      <w:start w:val="1"/>
      <w:numFmt w:val="decimal"/>
      <w:lvlText w:val="53.1.%1"/>
      <w:lvlJc w:val="left"/>
      <w:rPr>
        <w:rFonts w:ascii="Palatino Linotype" w:eastAsia="Palatino Linotype" w:hAnsi="Palatino Linotype" w:cs="Palatino Linotype"/>
        <w:b w:val="0"/>
        <w:bCs w:val="0"/>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F292897"/>
    <w:multiLevelType w:val="multilevel"/>
    <w:tmpl w:val="D018C414"/>
    <w:lvl w:ilvl="0">
      <w:start w:val="1"/>
      <w:numFmt w:val="decimal"/>
      <w:lvlText w:val="2.2.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F4D11A3"/>
    <w:multiLevelType w:val="multilevel"/>
    <w:tmpl w:val="9E1C285E"/>
    <w:lvl w:ilvl="0">
      <w:start w:val="2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58115B"/>
    <w:multiLevelType w:val="multilevel"/>
    <w:tmpl w:val="E16A1DF2"/>
    <w:lvl w:ilvl="0">
      <w:start w:val="1"/>
      <w:numFmt w:val="decimal"/>
      <w:lvlText w:val="5.2.1.%1"/>
      <w:lvlJc w:val="left"/>
      <w:rPr>
        <w:rFonts w:ascii="Palatino Linotype" w:eastAsia="Palatino Linotype" w:hAnsi="Palatino Linotype" w:cs="Palatino Linotype"/>
        <w:b w:val="0"/>
        <w:bCs w:val="0"/>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042439"/>
    <w:multiLevelType w:val="multilevel"/>
    <w:tmpl w:val="B5F8A44A"/>
    <w:lvl w:ilvl="0">
      <w:start w:val="4"/>
      <w:numFmt w:val="decimal"/>
      <w:lvlText w:val="6.4.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2642016"/>
    <w:multiLevelType w:val="multilevel"/>
    <w:tmpl w:val="5308BCF2"/>
    <w:lvl w:ilvl="0">
      <w:start w:val="6"/>
      <w:numFmt w:val="decimal"/>
      <w:lvlText w:val="2.2.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28165F7"/>
    <w:multiLevelType w:val="multilevel"/>
    <w:tmpl w:val="EABA8E8C"/>
    <w:lvl w:ilvl="0">
      <w:start w:val="1"/>
      <w:numFmt w:val="decimal"/>
      <w:lvlText w:val="2.1.7.%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28E5014"/>
    <w:multiLevelType w:val="multilevel"/>
    <w:tmpl w:val="A1F6DAD8"/>
    <w:lvl w:ilvl="0">
      <w:start w:val="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3007A7E"/>
    <w:multiLevelType w:val="multilevel"/>
    <w:tmpl w:val="168ECB5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3C334C4"/>
    <w:multiLevelType w:val="multilevel"/>
    <w:tmpl w:val="0554DB5C"/>
    <w:lvl w:ilvl="0">
      <w:start w:val="11"/>
      <w:numFmt w:val="decimal"/>
      <w:lvlText w:val="6.2.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6A66A5C"/>
    <w:multiLevelType w:val="multilevel"/>
    <w:tmpl w:val="0F604074"/>
    <w:lvl w:ilvl="0">
      <w:start w:val="1"/>
      <w:numFmt w:val="decimal"/>
      <w:lvlText w:val="4.4.5.%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6B34A55"/>
    <w:multiLevelType w:val="multilevel"/>
    <w:tmpl w:val="DB1C3B08"/>
    <w:lvl w:ilvl="0">
      <w:start w:val="19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80A4ACF"/>
    <w:multiLevelType w:val="multilevel"/>
    <w:tmpl w:val="33222350"/>
    <w:lvl w:ilvl="0">
      <w:start w:val="4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6C681A"/>
    <w:multiLevelType w:val="multilevel"/>
    <w:tmpl w:val="FD6CA3DA"/>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8C248A0"/>
    <w:multiLevelType w:val="multilevel"/>
    <w:tmpl w:val="BFD60D52"/>
    <w:lvl w:ilvl="0">
      <w:start w:val="13"/>
      <w:numFmt w:val="decimal"/>
      <w:lvlText w:val="6.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9710F22"/>
    <w:multiLevelType w:val="multilevel"/>
    <w:tmpl w:val="8604B08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A775DC3"/>
    <w:multiLevelType w:val="multilevel"/>
    <w:tmpl w:val="B414EA84"/>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B372715"/>
    <w:multiLevelType w:val="multilevel"/>
    <w:tmpl w:val="19701E5C"/>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C1F6A46"/>
    <w:multiLevelType w:val="multilevel"/>
    <w:tmpl w:val="80EC7AE0"/>
    <w:lvl w:ilvl="0">
      <w:start w:val="2"/>
      <w:numFmt w:val="decimal"/>
      <w:lvlText w:val="2.1.%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D8F785D"/>
    <w:multiLevelType w:val="multilevel"/>
    <w:tmpl w:val="C1EE7034"/>
    <w:lvl w:ilvl="0">
      <w:start w:val="23"/>
      <w:numFmt w:val="decimal"/>
      <w:lvlText w:val="9.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DC63448"/>
    <w:multiLevelType w:val="multilevel"/>
    <w:tmpl w:val="F4FCEC1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start w:val="1"/>
      <w:numFmt w:val="decimal"/>
      <w:lvlText w:val="%1.%2"/>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2">
      <w:start w:val="1"/>
      <w:numFmt w:val="decimal"/>
      <w:lvlText w:val="%1.%2.%3"/>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E982693"/>
    <w:multiLevelType w:val="multilevel"/>
    <w:tmpl w:val="4064B52A"/>
    <w:lvl w:ilvl="0">
      <w:start w:val="1"/>
      <w:numFmt w:val="decimal"/>
      <w:lvlText w:val="12.1.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EB9352C"/>
    <w:multiLevelType w:val="multilevel"/>
    <w:tmpl w:val="376E06AC"/>
    <w:lvl w:ilvl="0">
      <w:start w:val="2"/>
      <w:numFmt w:val="decimal"/>
      <w:lvlText w:val="93.2.%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F7978D2"/>
    <w:multiLevelType w:val="multilevel"/>
    <w:tmpl w:val="C44AD34C"/>
    <w:lvl w:ilvl="0">
      <w:start w:val="1"/>
      <w:numFmt w:val="decimal"/>
      <w:lvlText w:val="3.1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FA32DD6"/>
    <w:multiLevelType w:val="multilevel"/>
    <w:tmpl w:val="4FDC3CB6"/>
    <w:lvl w:ilvl="0">
      <w:start w:val="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0FB39B4"/>
    <w:multiLevelType w:val="multilevel"/>
    <w:tmpl w:val="C37281F8"/>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1565C4E"/>
    <w:multiLevelType w:val="multilevel"/>
    <w:tmpl w:val="C87CC0A2"/>
    <w:lvl w:ilvl="0">
      <w:start w:val="1"/>
      <w:numFmt w:val="decimal"/>
      <w:lvlText w:val="5.1.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16F1BEC"/>
    <w:multiLevelType w:val="multilevel"/>
    <w:tmpl w:val="BC56D368"/>
    <w:lvl w:ilvl="0">
      <w:start w:val="1"/>
      <w:numFmt w:val="decimal"/>
      <w:lvlText w:val="10.6.1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19C6538"/>
    <w:multiLevelType w:val="multilevel"/>
    <w:tmpl w:val="D6F2BCC6"/>
    <w:lvl w:ilvl="0">
      <w:start w:val="5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3481B84"/>
    <w:multiLevelType w:val="multilevel"/>
    <w:tmpl w:val="8494C91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3B60811"/>
    <w:multiLevelType w:val="multilevel"/>
    <w:tmpl w:val="54CC9238"/>
    <w:lvl w:ilvl="0">
      <w:start w:val="9"/>
      <w:numFmt w:val="decimal"/>
      <w:lvlText w:val="11,%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4834278"/>
    <w:multiLevelType w:val="multilevel"/>
    <w:tmpl w:val="80C8134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start w:val="1"/>
      <w:numFmt w:val="decimal"/>
      <w:lvlText w:val="%1.%2"/>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2">
      <w:start w:val="1"/>
      <w:numFmt w:val="decimal"/>
      <w:lvlText w:val="%1.%2.%3"/>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4BA737A"/>
    <w:multiLevelType w:val="multilevel"/>
    <w:tmpl w:val="C9A6A31C"/>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50E1A73"/>
    <w:multiLevelType w:val="multilevel"/>
    <w:tmpl w:val="CFD6BE7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61E5FD5"/>
    <w:multiLevelType w:val="multilevel"/>
    <w:tmpl w:val="64CC8458"/>
    <w:lvl w:ilvl="0">
      <w:start w:val="50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6256A00"/>
    <w:multiLevelType w:val="multilevel"/>
    <w:tmpl w:val="83EA1D0A"/>
    <w:lvl w:ilvl="0">
      <w:start w:val="6"/>
      <w:numFmt w:val="decimal"/>
      <w:lvlText w:val="2.3.1.%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6EB0DAF"/>
    <w:multiLevelType w:val="multilevel"/>
    <w:tmpl w:val="4A589E2E"/>
    <w:lvl w:ilvl="0">
      <w:start w:val="1"/>
      <w:numFmt w:val="decimal"/>
      <w:lvlText w:val="12.6.%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7F72FD8"/>
    <w:multiLevelType w:val="multilevel"/>
    <w:tmpl w:val="6E1826DA"/>
    <w:lvl w:ilvl="0">
      <w:start w:val="2"/>
      <w:numFmt w:val="decimal"/>
      <w:lvlText w:val="4.3.3.%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82A6C65"/>
    <w:multiLevelType w:val="multilevel"/>
    <w:tmpl w:val="6F36DD12"/>
    <w:lvl w:ilvl="0">
      <w:start w:val="10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A02288A"/>
    <w:multiLevelType w:val="multilevel"/>
    <w:tmpl w:val="C0728222"/>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A337BFC"/>
    <w:multiLevelType w:val="multilevel"/>
    <w:tmpl w:val="AFC49AA4"/>
    <w:lvl w:ilvl="0">
      <w:start w:val="1"/>
      <w:numFmt w:val="decimal"/>
      <w:lvlText w:val="4.4.%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A493FFF"/>
    <w:multiLevelType w:val="multilevel"/>
    <w:tmpl w:val="AE6AC0C2"/>
    <w:lvl w:ilvl="0">
      <w:start w:val="1"/>
      <w:numFmt w:val="decimal"/>
      <w:lvlText w:val="4.4.7.%1"/>
      <w:lvlJc w:val="left"/>
      <w:rPr>
        <w:rFonts w:ascii="Palatino Linotype" w:eastAsia="Palatino Linotype" w:hAnsi="Palatino Linotype" w:cs="Palatino Linotype"/>
        <w:b w:val="0"/>
        <w:bCs w:val="0"/>
        <w:i/>
        <w:iCs/>
        <w:smallCaps/>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B6C6F64"/>
    <w:multiLevelType w:val="multilevel"/>
    <w:tmpl w:val="43403DBE"/>
    <w:lvl w:ilvl="0">
      <w:start w:val="100"/>
      <w:numFmt w:val="low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BA56CE1"/>
    <w:multiLevelType w:val="multilevel"/>
    <w:tmpl w:val="75AA882E"/>
    <w:lvl w:ilvl="0">
      <w:start w:val="1"/>
      <w:numFmt w:val="decimal"/>
      <w:lvlText w:val="10.6.6.%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BF025F1"/>
    <w:multiLevelType w:val="multilevel"/>
    <w:tmpl w:val="762E3BDC"/>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C71755D"/>
    <w:multiLevelType w:val="multilevel"/>
    <w:tmpl w:val="71400704"/>
    <w:lvl w:ilvl="0">
      <w:start w:val="5"/>
      <w:numFmt w:val="decimal"/>
      <w:lvlText w:val="10.5.%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CF37BCD"/>
    <w:multiLevelType w:val="multilevel"/>
    <w:tmpl w:val="688672E6"/>
    <w:lvl w:ilvl="0">
      <w:start w:val="14"/>
      <w:numFmt w:val="decimal"/>
      <w:lvlText w:val="14,%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DE4196E"/>
    <w:multiLevelType w:val="multilevel"/>
    <w:tmpl w:val="9B2A1A0A"/>
    <w:lvl w:ilvl="0">
      <w:start w:val="4"/>
      <w:numFmt w:val="decimal"/>
      <w:lvlText w:val="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DEB2BCF"/>
    <w:multiLevelType w:val="multilevel"/>
    <w:tmpl w:val="AA8E9D1C"/>
    <w:lvl w:ilvl="0">
      <w:start w:val="5"/>
      <w:numFmt w:val="decimal"/>
      <w:lvlText w:val="2.3.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E394BB8"/>
    <w:multiLevelType w:val="multilevel"/>
    <w:tmpl w:val="33A6CD2C"/>
    <w:lvl w:ilvl="0">
      <w:start w:val="4"/>
      <w:numFmt w:val="decimal"/>
      <w:lvlText w:val="2.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F381A9F"/>
    <w:multiLevelType w:val="multilevel"/>
    <w:tmpl w:val="190894A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FEF71E7"/>
    <w:multiLevelType w:val="multilevel"/>
    <w:tmpl w:val="D9F4E72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0801D9F"/>
    <w:multiLevelType w:val="multilevel"/>
    <w:tmpl w:val="07D4CB7E"/>
    <w:lvl w:ilvl="0">
      <w:start w:val="2"/>
      <w:numFmt w:val="decimal"/>
      <w:lvlText w:val="3.4.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08E3CD7"/>
    <w:multiLevelType w:val="multilevel"/>
    <w:tmpl w:val="752EE10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09B3420"/>
    <w:multiLevelType w:val="multilevel"/>
    <w:tmpl w:val="BC2EADCA"/>
    <w:lvl w:ilvl="0">
      <w:start w:val="2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09D15D7"/>
    <w:multiLevelType w:val="multilevel"/>
    <w:tmpl w:val="206C2328"/>
    <w:lvl w:ilvl="0">
      <w:start w:val="3"/>
      <w:numFmt w:val="decimal"/>
      <w:lvlText w:val="9.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11B7A80"/>
    <w:multiLevelType w:val="multilevel"/>
    <w:tmpl w:val="9A9A813E"/>
    <w:lvl w:ilvl="0">
      <w:start w:val="1"/>
      <w:numFmt w:val="decimal"/>
      <w:lvlText w:val="2.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16C16A7"/>
    <w:multiLevelType w:val="multilevel"/>
    <w:tmpl w:val="52A63796"/>
    <w:lvl w:ilvl="0">
      <w:start w:val="8"/>
      <w:numFmt w:val="decimal"/>
      <w:lvlText w:val="6.2.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1B56F95"/>
    <w:multiLevelType w:val="multilevel"/>
    <w:tmpl w:val="E2F2FBB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3915BB1"/>
    <w:multiLevelType w:val="multilevel"/>
    <w:tmpl w:val="C4BCE0E0"/>
    <w:lvl w:ilvl="0">
      <w:start w:val="6"/>
      <w:numFmt w:val="decimal"/>
      <w:lvlText w:val="4.4.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39D0D9D"/>
    <w:multiLevelType w:val="multilevel"/>
    <w:tmpl w:val="E3BEAB04"/>
    <w:lvl w:ilvl="0">
      <w:start w:val="2"/>
      <w:numFmt w:val="decimal"/>
      <w:lvlText w:val="7.2.3.%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424538A"/>
    <w:multiLevelType w:val="multilevel"/>
    <w:tmpl w:val="45F092A4"/>
    <w:lvl w:ilvl="0">
      <w:start w:val="1"/>
      <w:numFmt w:val="decimal"/>
      <w:lvlText w:val="10.5.7.%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5796637"/>
    <w:multiLevelType w:val="multilevel"/>
    <w:tmpl w:val="294E13BA"/>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5AD3951"/>
    <w:multiLevelType w:val="multilevel"/>
    <w:tmpl w:val="50CC041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63657D8"/>
    <w:multiLevelType w:val="multilevel"/>
    <w:tmpl w:val="99780BBA"/>
    <w:lvl w:ilvl="0">
      <w:start w:val="1"/>
      <w:numFmt w:val="decimal"/>
      <w:lvlText w:val="10.6.10.%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7EF67A8"/>
    <w:multiLevelType w:val="multilevel"/>
    <w:tmpl w:val="E30615A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80A7D87"/>
    <w:multiLevelType w:val="multilevel"/>
    <w:tmpl w:val="E9D07D70"/>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8924995"/>
    <w:multiLevelType w:val="multilevel"/>
    <w:tmpl w:val="4DB0ED6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BCE7228"/>
    <w:multiLevelType w:val="multilevel"/>
    <w:tmpl w:val="6E24F90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F0E0FEC"/>
    <w:multiLevelType w:val="multilevel"/>
    <w:tmpl w:val="0444006A"/>
    <w:lvl w:ilvl="0">
      <w:start w:val="2"/>
      <w:numFmt w:val="decimal"/>
      <w:lvlText w:val="2.2.1.%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F1F1AA6"/>
    <w:multiLevelType w:val="multilevel"/>
    <w:tmpl w:val="0BFC00D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F4267E6"/>
    <w:multiLevelType w:val="multilevel"/>
    <w:tmpl w:val="621C39A2"/>
    <w:lvl w:ilvl="0">
      <w:start w:val="1"/>
      <w:numFmt w:val="decimal"/>
      <w:lvlText w:val="4.3.6.%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F6633B6"/>
    <w:multiLevelType w:val="multilevel"/>
    <w:tmpl w:val="185CD68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01E507F"/>
    <w:multiLevelType w:val="multilevel"/>
    <w:tmpl w:val="A6C2035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02F6B0F"/>
    <w:multiLevelType w:val="multilevel"/>
    <w:tmpl w:val="CA28DEB6"/>
    <w:lvl w:ilvl="0">
      <w:start w:val="9"/>
      <w:numFmt w:val="decimal"/>
      <w:lvlText w:val="4.4.%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0E2246B"/>
    <w:multiLevelType w:val="multilevel"/>
    <w:tmpl w:val="8F76212C"/>
    <w:lvl w:ilvl="0">
      <w:start w:val="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1073C44"/>
    <w:multiLevelType w:val="multilevel"/>
    <w:tmpl w:val="61986C64"/>
    <w:lvl w:ilvl="0">
      <w:start w:val="4"/>
      <w:numFmt w:val="decimal"/>
      <w:lvlText w:val="8.4.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194612D"/>
    <w:multiLevelType w:val="multilevel"/>
    <w:tmpl w:val="8886EC6A"/>
    <w:lvl w:ilvl="0">
      <w:start w:val="1"/>
      <w:numFmt w:val="decimal"/>
      <w:lvlText w:val="12.1.%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21C3F06"/>
    <w:multiLevelType w:val="multilevel"/>
    <w:tmpl w:val="241E0CDE"/>
    <w:lvl w:ilvl="0">
      <w:start w:val="2"/>
      <w:numFmt w:val="decimal"/>
      <w:lvlText w:val="3.1.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2380336"/>
    <w:multiLevelType w:val="multilevel"/>
    <w:tmpl w:val="A596DACA"/>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34371C8"/>
    <w:multiLevelType w:val="multilevel"/>
    <w:tmpl w:val="A198BB4C"/>
    <w:lvl w:ilvl="0">
      <w:start w:val="8"/>
      <w:numFmt w:val="decimal"/>
      <w:lvlText w:val="4.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36B754B"/>
    <w:multiLevelType w:val="multilevel"/>
    <w:tmpl w:val="3508FB1E"/>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3801E64"/>
    <w:multiLevelType w:val="multilevel"/>
    <w:tmpl w:val="5784B39C"/>
    <w:lvl w:ilvl="0">
      <w:start w:val="3"/>
      <w:numFmt w:val="decimal"/>
      <w:lvlText w:val="4,%1"/>
      <w:lvlJc w:val="left"/>
      <w:rPr>
        <w:rFonts w:ascii="Palatino Linotype" w:eastAsia="Palatino Linotype" w:hAnsi="Palatino Linotype" w:cs="Palatino Linotype"/>
        <w:b w:val="0"/>
        <w:bCs w:val="0"/>
        <w:i w:val="0"/>
        <w:iCs w:val="0"/>
        <w:smallCaps/>
        <w:strike w:val="0"/>
        <w:color w:val="000000"/>
        <w:spacing w:val="0"/>
        <w:w w:val="100"/>
        <w:position w:val="0"/>
        <w:sz w:val="14"/>
        <w:szCs w:val="14"/>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3FA77AE"/>
    <w:multiLevelType w:val="multilevel"/>
    <w:tmpl w:val="1A9ACC5C"/>
    <w:lvl w:ilvl="0">
      <w:start w:val="3"/>
      <w:numFmt w:val="decimal"/>
      <w:lvlText w:val="2.3.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40F094A"/>
    <w:multiLevelType w:val="multilevel"/>
    <w:tmpl w:val="072EE838"/>
    <w:lvl w:ilvl="0">
      <w:start w:val="1"/>
      <w:numFmt w:val="decimal"/>
      <w:lvlText w:val="43.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55A23AA"/>
    <w:multiLevelType w:val="multilevel"/>
    <w:tmpl w:val="D2525292"/>
    <w:lvl w:ilvl="0">
      <w:start w:val="1"/>
      <w:numFmt w:val="decimal"/>
      <w:lvlText w:val="2.3.3.%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5A2787B"/>
    <w:multiLevelType w:val="multilevel"/>
    <w:tmpl w:val="C584E06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69F63C1"/>
    <w:multiLevelType w:val="multilevel"/>
    <w:tmpl w:val="6834EA82"/>
    <w:lvl w:ilvl="0">
      <w:start w:val="3"/>
      <w:numFmt w:val="decimal"/>
      <w:lvlText w:val="43.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6E01301"/>
    <w:multiLevelType w:val="multilevel"/>
    <w:tmpl w:val="A366155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8417FC2"/>
    <w:multiLevelType w:val="multilevel"/>
    <w:tmpl w:val="18503E0E"/>
    <w:lvl w:ilvl="0">
      <w:start w:val="3"/>
      <w:numFmt w:val="decimal"/>
      <w:lvlText w:val="1.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8440131"/>
    <w:multiLevelType w:val="multilevel"/>
    <w:tmpl w:val="C3E81222"/>
    <w:lvl w:ilvl="0">
      <w:start w:val="3"/>
      <w:numFmt w:val="decimal"/>
      <w:lvlText w:val="6.1.%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89B0504"/>
    <w:multiLevelType w:val="multilevel"/>
    <w:tmpl w:val="36EE9328"/>
    <w:lvl w:ilvl="0">
      <w:start w:val="1"/>
      <w:numFmt w:val="decimal"/>
      <w:lvlText w:val="5.2.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8DD6540"/>
    <w:multiLevelType w:val="multilevel"/>
    <w:tmpl w:val="35288A94"/>
    <w:lvl w:ilvl="0">
      <w:start w:val="1"/>
      <w:numFmt w:val="decimal"/>
      <w:lvlText w:val="2.2.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9530177"/>
    <w:multiLevelType w:val="multilevel"/>
    <w:tmpl w:val="E4A2A510"/>
    <w:lvl w:ilvl="0">
      <w:start w:val="1"/>
      <w:numFmt w:val="decimal"/>
      <w:lvlText w:val="7.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9E44EC1"/>
    <w:multiLevelType w:val="multilevel"/>
    <w:tmpl w:val="F55C5BF8"/>
    <w:lvl w:ilvl="0">
      <w:start w:val="1"/>
      <w:numFmt w:val="decimal"/>
      <w:lvlText w:val="2.2.%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A262FF4"/>
    <w:multiLevelType w:val="multilevel"/>
    <w:tmpl w:val="D9D41CB0"/>
    <w:lvl w:ilvl="0">
      <w:start w:val="3"/>
      <w:numFmt w:val="decimal"/>
      <w:lvlText w:val="8.3.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A6C2570"/>
    <w:multiLevelType w:val="multilevel"/>
    <w:tmpl w:val="0ADE5166"/>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2"/>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B1C01CA"/>
    <w:multiLevelType w:val="multilevel"/>
    <w:tmpl w:val="8EDE850A"/>
    <w:lvl w:ilvl="0">
      <w:start w:val="5"/>
      <w:numFmt w:val="decimal"/>
      <w:lvlText w:val="2.3.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C266910"/>
    <w:multiLevelType w:val="multilevel"/>
    <w:tmpl w:val="A210B25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CAD24D0"/>
    <w:multiLevelType w:val="multilevel"/>
    <w:tmpl w:val="D098F3A4"/>
    <w:lvl w:ilvl="0">
      <w:start w:val="5"/>
      <w:numFmt w:val="decimal"/>
      <w:lvlText w:val="8.%1"/>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DC33B56"/>
    <w:multiLevelType w:val="multilevel"/>
    <w:tmpl w:val="FFE8361A"/>
    <w:lvl w:ilvl="0">
      <w:start w:val="443"/>
      <w:numFmt w:val="decimal"/>
      <w:lvlText w:val="%1"/>
      <w:lvlJc w:val="left"/>
      <w:rPr>
        <w:rFonts w:ascii="Palatino Linotype" w:eastAsia="Palatino Linotype" w:hAnsi="Palatino Linotype" w:cs="Palatino Linotype"/>
        <w:b w:val="0"/>
        <w:bCs w:val="0"/>
        <w:i w:val="0"/>
        <w:iCs w:val="0"/>
        <w:smallCaps/>
        <w:strike w:val="0"/>
        <w:color w:val="000000"/>
        <w:spacing w:val="0"/>
        <w:w w:val="100"/>
        <w:position w:val="0"/>
        <w:sz w:val="14"/>
        <w:szCs w:val="14"/>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E17593F"/>
    <w:multiLevelType w:val="multilevel"/>
    <w:tmpl w:val="151EA486"/>
    <w:lvl w:ilvl="0">
      <w:start w:val="3"/>
      <w:numFmt w:val="decimal"/>
      <w:lvlText w:val="7.2.2.%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1.%2"/>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E651E34"/>
    <w:multiLevelType w:val="multilevel"/>
    <w:tmpl w:val="ADA2A2DE"/>
    <w:lvl w:ilvl="0">
      <w:start w:val="2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F2F536A"/>
    <w:multiLevelType w:val="multilevel"/>
    <w:tmpl w:val="B922C41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F631EAC"/>
    <w:multiLevelType w:val="multilevel"/>
    <w:tmpl w:val="BC940D7A"/>
    <w:lvl w:ilvl="0">
      <w:start w:val="2"/>
      <w:numFmt w:val="decimal"/>
      <w:lvlText w:val="12.%1"/>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F7D0F05"/>
    <w:multiLevelType w:val="multilevel"/>
    <w:tmpl w:val="C746727E"/>
    <w:lvl w:ilvl="0">
      <w:start w:val="2"/>
      <w:numFmt w:val="decimal"/>
      <w:lvlText w:val="83.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F8113DA"/>
    <w:multiLevelType w:val="multilevel"/>
    <w:tmpl w:val="9550933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00E5393"/>
    <w:multiLevelType w:val="multilevel"/>
    <w:tmpl w:val="0ADE4CB8"/>
    <w:lvl w:ilvl="0">
      <w:start w:val="1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0817BD4"/>
    <w:multiLevelType w:val="multilevel"/>
    <w:tmpl w:val="6E2C27A8"/>
    <w:lvl w:ilvl="0">
      <w:start w:val="2"/>
      <w:numFmt w:val="decimal"/>
      <w:lvlText w:val="2.2.5.%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1A123EB"/>
    <w:multiLevelType w:val="multilevel"/>
    <w:tmpl w:val="64045BDA"/>
    <w:lvl w:ilvl="0">
      <w:start w:val="38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1B40464"/>
    <w:multiLevelType w:val="multilevel"/>
    <w:tmpl w:val="4E86B9D2"/>
    <w:lvl w:ilvl="0">
      <w:start w:val="1"/>
      <w:numFmt w:val="decimal"/>
      <w:lvlText w:val="3.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2047B14"/>
    <w:multiLevelType w:val="multilevel"/>
    <w:tmpl w:val="0F885A5C"/>
    <w:lvl w:ilvl="0">
      <w:start w:val="4"/>
      <w:numFmt w:val="decimal"/>
      <w:lvlText w:val="43.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21638AB"/>
    <w:multiLevelType w:val="multilevel"/>
    <w:tmpl w:val="9162D840"/>
    <w:lvl w:ilvl="0">
      <w:start w:val="2"/>
      <w:numFmt w:val="decimal"/>
      <w:lvlText w:val="3.4.7.%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3D0629D"/>
    <w:multiLevelType w:val="multilevel"/>
    <w:tmpl w:val="FF4478BE"/>
    <w:lvl w:ilvl="0">
      <w:start w:val="2"/>
      <w:numFmt w:val="decimal"/>
      <w:lvlText w:val="4.3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41B1CBE"/>
    <w:multiLevelType w:val="multilevel"/>
    <w:tmpl w:val="94B8C5D8"/>
    <w:lvl w:ilvl="0">
      <w:start w:val="1"/>
      <w:numFmt w:val="decimal"/>
      <w:lvlText w:val="8.3.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4D1047D"/>
    <w:multiLevelType w:val="multilevel"/>
    <w:tmpl w:val="B5285FEE"/>
    <w:lvl w:ilvl="0">
      <w:start w:val="23"/>
      <w:numFmt w:val="decimal"/>
      <w:lvlText w:val="4.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50D7EBD"/>
    <w:multiLevelType w:val="multilevel"/>
    <w:tmpl w:val="B83C6B88"/>
    <w:lvl w:ilvl="0">
      <w:start w:val="2"/>
      <w:numFmt w:val="decimal"/>
      <w:lvlText w:val="2.2.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55C360C"/>
    <w:multiLevelType w:val="multilevel"/>
    <w:tmpl w:val="51741E18"/>
    <w:lvl w:ilvl="0">
      <w:start w:val="2"/>
      <w:numFmt w:val="decimal"/>
      <w:lvlText w:val="7.8.%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57C23C5"/>
    <w:multiLevelType w:val="multilevel"/>
    <w:tmpl w:val="EF06504E"/>
    <w:lvl w:ilvl="0">
      <w:start w:val="7"/>
      <w:numFmt w:val="decimal"/>
      <w:lvlText w:val="10.%1"/>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5AD78E3"/>
    <w:multiLevelType w:val="multilevel"/>
    <w:tmpl w:val="ED4E6860"/>
    <w:lvl w:ilvl="0">
      <w:start w:val="13"/>
      <w:numFmt w:val="decimal"/>
      <w:lvlText w:val="4.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5CC0B09"/>
    <w:multiLevelType w:val="multilevel"/>
    <w:tmpl w:val="11E286B2"/>
    <w:lvl w:ilvl="0">
      <w:start w:val="2"/>
      <w:numFmt w:val="decimal"/>
      <w:lvlText w:val="2.2.5.%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start w:val="3"/>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2">
      <w:start w:val="1"/>
      <w:numFmt w:val="decimal"/>
      <w:lvlText w:val="%1.%2.%3"/>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6B33FFD"/>
    <w:multiLevelType w:val="multilevel"/>
    <w:tmpl w:val="1B527456"/>
    <w:lvl w:ilvl="0">
      <w:start w:val="1"/>
      <w:numFmt w:val="decimal"/>
      <w:lvlText w:val="2.3.%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6CC7CF2"/>
    <w:multiLevelType w:val="multilevel"/>
    <w:tmpl w:val="6B38DAAA"/>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71135A8"/>
    <w:multiLevelType w:val="multilevel"/>
    <w:tmpl w:val="58FADDDE"/>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72555C1"/>
    <w:multiLevelType w:val="multilevel"/>
    <w:tmpl w:val="4DD8EF14"/>
    <w:lvl w:ilvl="0">
      <w:start w:val="1"/>
      <w:numFmt w:val="decimal"/>
      <w:lvlText w:val="43.5.%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A1A371E"/>
    <w:multiLevelType w:val="multilevel"/>
    <w:tmpl w:val="6C9E7DC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A366B80"/>
    <w:multiLevelType w:val="multilevel"/>
    <w:tmpl w:val="D7545E4C"/>
    <w:lvl w:ilvl="0">
      <w:start w:val="5"/>
      <w:numFmt w:val="decimal"/>
      <w:lvlText w:val="4.3.2.%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A370E7A"/>
    <w:multiLevelType w:val="multilevel"/>
    <w:tmpl w:val="2EFE2496"/>
    <w:lvl w:ilvl="0">
      <w:start w:val="1"/>
      <w:numFmt w:val="decimal"/>
      <w:lvlText w:val="2.2.2.%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AC020C2"/>
    <w:multiLevelType w:val="multilevel"/>
    <w:tmpl w:val="CEE47EA8"/>
    <w:lvl w:ilvl="0">
      <w:start w:val="1"/>
      <w:numFmt w:val="decimal"/>
      <w:lvlText w:val="4.4.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AF574C2"/>
    <w:multiLevelType w:val="multilevel"/>
    <w:tmpl w:val="EF682DC8"/>
    <w:lvl w:ilvl="0">
      <w:start w:val="1"/>
      <w:numFmt w:val="decimal"/>
      <w:lvlText w:val="2.1.8.%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C8921C9"/>
    <w:multiLevelType w:val="multilevel"/>
    <w:tmpl w:val="97FE5F68"/>
    <w:lvl w:ilvl="0">
      <w:start w:val="5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CB8268C"/>
    <w:multiLevelType w:val="multilevel"/>
    <w:tmpl w:val="2902BD2A"/>
    <w:lvl w:ilvl="0">
      <w:start w:val="4"/>
      <w:numFmt w:val="decimal"/>
      <w:lvlText w:val="4.4.2.%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036DD9"/>
    <w:multiLevelType w:val="multilevel"/>
    <w:tmpl w:val="DB527826"/>
    <w:lvl w:ilvl="0">
      <w:start w:val="436"/>
      <w:numFmt w:val="decimal"/>
      <w:lvlText w:val="%1"/>
      <w:lvlJc w:val="left"/>
      <w:rPr>
        <w:rFonts w:ascii="Palatino Linotype" w:eastAsia="Palatino Linotype" w:hAnsi="Palatino Linotype" w:cs="Palatino Linotype"/>
        <w:b w:val="0"/>
        <w:bCs w:val="0"/>
        <w:i w:val="0"/>
        <w:iCs w:val="0"/>
        <w:smallCaps/>
        <w:strike w:val="0"/>
        <w:color w:val="000000"/>
        <w:spacing w:val="0"/>
        <w:w w:val="100"/>
        <w:position w:val="0"/>
        <w:sz w:val="14"/>
        <w:szCs w:val="14"/>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D093D53"/>
    <w:multiLevelType w:val="multilevel"/>
    <w:tmpl w:val="A0F8C030"/>
    <w:lvl w:ilvl="0">
      <w:start w:val="2"/>
      <w:numFmt w:val="decimal"/>
      <w:lvlText w:val="5.5.%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E8C3757"/>
    <w:multiLevelType w:val="multilevel"/>
    <w:tmpl w:val="73A26FB2"/>
    <w:lvl w:ilvl="0">
      <w:start w:val="1"/>
      <w:numFmt w:val="decimal"/>
      <w:lvlText w:val="10.6.7.%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F241A07"/>
    <w:multiLevelType w:val="multilevel"/>
    <w:tmpl w:val="69A670FA"/>
    <w:lvl w:ilvl="0">
      <w:start w:val="4"/>
      <w:numFmt w:val="decimal"/>
      <w:lvlText w:val="6.2.4.%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F4B66FF"/>
    <w:multiLevelType w:val="multilevel"/>
    <w:tmpl w:val="03288B16"/>
    <w:lvl w:ilvl="0">
      <w:start w:val="1"/>
      <w:numFmt w:val="decimal"/>
      <w:lvlText w:val="23.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FEA3276"/>
    <w:multiLevelType w:val="multilevel"/>
    <w:tmpl w:val="3AC28A8E"/>
    <w:lvl w:ilvl="0">
      <w:start w:val="1"/>
      <w:numFmt w:val="decimal"/>
      <w:lvlText w:val="43.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0D0191E"/>
    <w:multiLevelType w:val="multilevel"/>
    <w:tmpl w:val="923C7EAE"/>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15940F3"/>
    <w:multiLevelType w:val="multilevel"/>
    <w:tmpl w:val="FC1A1106"/>
    <w:lvl w:ilvl="0">
      <w:start w:val="4"/>
      <w:numFmt w:val="decimal"/>
      <w:lvlText w:val="4.%1"/>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2E47266"/>
    <w:multiLevelType w:val="multilevel"/>
    <w:tmpl w:val="FFFC079E"/>
    <w:lvl w:ilvl="0">
      <w:start w:val="4"/>
      <w:numFmt w:val="decimal"/>
      <w:lvlText w:val="43.5.%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37F2933"/>
    <w:multiLevelType w:val="multilevel"/>
    <w:tmpl w:val="884EBAC2"/>
    <w:lvl w:ilvl="0">
      <w:start w:val="4"/>
      <w:numFmt w:val="decimal"/>
      <w:lvlText w:val="9.1.2.%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3E02542"/>
    <w:multiLevelType w:val="multilevel"/>
    <w:tmpl w:val="3DE60514"/>
    <w:lvl w:ilvl="0">
      <w:start w:val="1"/>
      <w:numFmt w:val="decimal"/>
      <w:lvlText w:val="7.4.%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6056A93"/>
    <w:multiLevelType w:val="multilevel"/>
    <w:tmpl w:val="AD60CD1A"/>
    <w:lvl w:ilvl="0">
      <w:start w:val="2"/>
      <w:numFmt w:val="decimal"/>
      <w:lvlText w:val="2.1.4.%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64627AF"/>
    <w:multiLevelType w:val="multilevel"/>
    <w:tmpl w:val="2308703E"/>
    <w:lvl w:ilvl="0">
      <w:start w:val="1"/>
      <w:numFmt w:val="decimal"/>
      <w:lvlText w:val="7.6.%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6B83701"/>
    <w:multiLevelType w:val="multilevel"/>
    <w:tmpl w:val="C9F674C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710647D"/>
    <w:multiLevelType w:val="multilevel"/>
    <w:tmpl w:val="C17E9A1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8A22B31"/>
    <w:multiLevelType w:val="multilevel"/>
    <w:tmpl w:val="55E0F540"/>
    <w:lvl w:ilvl="0">
      <w:start w:val="5"/>
      <w:numFmt w:val="decimal"/>
      <w:lvlText w:val="2.2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9382450"/>
    <w:multiLevelType w:val="multilevel"/>
    <w:tmpl w:val="811EE152"/>
    <w:lvl w:ilvl="0">
      <w:start w:val="1"/>
      <w:numFmt w:val="decimal"/>
      <w:lvlText w:val="7.1.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96F759A"/>
    <w:multiLevelType w:val="multilevel"/>
    <w:tmpl w:val="D96CA3F4"/>
    <w:lvl w:ilvl="0">
      <w:start w:val="1"/>
      <w:numFmt w:val="decimal"/>
      <w:lvlText w:val="6.4.1.%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A002FCA"/>
    <w:multiLevelType w:val="multilevel"/>
    <w:tmpl w:val="4280AEEC"/>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A3F275E"/>
    <w:multiLevelType w:val="multilevel"/>
    <w:tmpl w:val="EDE4C886"/>
    <w:lvl w:ilvl="0">
      <w:start w:val="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lvl>
    <w:lvl w:ilvl="1">
      <w:start w:val="1"/>
      <w:numFmt w:val="decimal"/>
      <w:lvlText w:val="%1.%2"/>
      <w:lvlJc w:val="left"/>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lvl>
    <w:lvl w:ilvl="2">
      <w:start w:val="1"/>
      <w:numFmt w:val="decimal"/>
      <w:lvlText w:val="%1.%2.%3"/>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3">
      <w:start w:val="1"/>
      <w:numFmt w:val="decimal"/>
      <w:lvlText w:val="%1.%2.%3.%4"/>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AB94E7B"/>
    <w:multiLevelType w:val="multilevel"/>
    <w:tmpl w:val="0EBCA8CC"/>
    <w:lvl w:ilvl="0">
      <w:start w:val="3"/>
      <w:numFmt w:val="decimal"/>
      <w:lvlText w:val="2.2.4.%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AE97DFA"/>
    <w:multiLevelType w:val="multilevel"/>
    <w:tmpl w:val="7BA62CB8"/>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BED738B"/>
    <w:multiLevelType w:val="multilevel"/>
    <w:tmpl w:val="D90C35EE"/>
    <w:lvl w:ilvl="0">
      <w:start w:val="4"/>
      <w:numFmt w:val="decimal"/>
      <w:lvlText w:val="2.2.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BEF55FF"/>
    <w:multiLevelType w:val="multilevel"/>
    <w:tmpl w:val="A7445A0C"/>
    <w:lvl w:ilvl="0">
      <w:start w:val="1"/>
      <w:numFmt w:val="decimal"/>
      <w:lvlText w:val="43.6.%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C3263B3"/>
    <w:multiLevelType w:val="multilevel"/>
    <w:tmpl w:val="26AAA510"/>
    <w:lvl w:ilvl="0">
      <w:start w:val="2"/>
      <w:numFmt w:val="decimal"/>
      <w:lvlText w:val="4.4.7.%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D493869"/>
    <w:multiLevelType w:val="multilevel"/>
    <w:tmpl w:val="8C8A2700"/>
    <w:lvl w:ilvl="0">
      <w:start w:val="3"/>
      <w:numFmt w:val="decimal"/>
      <w:lvlText w:val="8.5.1.%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DA910C2"/>
    <w:multiLevelType w:val="multilevel"/>
    <w:tmpl w:val="31F83C86"/>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E196033"/>
    <w:multiLevelType w:val="multilevel"/>
    <w:tmpl w:val="A5064888"/>
    <w:lvl w:ilvl="0">
      <w:start w:val="1"/>
      <w:numFmt w:val="decimal"/>
      <w:lvlText w:val="93.2.%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E334364"/>
    <w:multiLevelType w:val="multilevel"/>
    <w:tmpl w:val="273CAE82"/>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E722808"/>
    <w:multiLevelType w:val="multilevel"/>
    <w:tmpl w:val="DE2E39DA"/>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EB52B39"/>
    <w:multiLevelType w:val="multilevel"/>
    <w:tmpl w:val="B270E126"/>
    <w:lvl w:ilvl="0">
      <w:start w:val="1"/>
      <w:numFmt w:val="decimal"/>
      <w:lvlText w:val="43.5.%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ED1696D"/>
    <w:multiLevelType w:val="multilevel"/>
    <w:tmpl w:val="6D5E3048"/>
    <w:lvl w:ilvl="0">
      <w:start w:val="1"/>
      <w:numFmt w:val="decimal"/>
      <w:lvlText w:val="10.6.13.%1"/>
      <w:lvlJc w:val="left"/>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0"/>
  </w:num>
  <w:num w:numId="2">
    <w:abstractNumId w:val="178"/>
  </w:num>
  <w:num w:numId="3">
    <w:abstractNumId w:val="121"/>
  </w:num>
  <w:num w:numId="4">
    <w:abstractNumId w:val="79"/>
  </w:num>
  <w:num w:numId="5">
    <w:abstractNumId w:val="66"/>
  </w:num>
  <w:num w:numId="6">
    <w:abstractNumId w:val="54"/>
  </w:num>
  <w:num w:numId="7">
    <w:abstractNumId w:val="1"/>
  </w:num>
  <w:num w:numId="8">
    <w:abstractNumId w:val="177"/>
  </w:num>
  <w:num w:numId="9">
    <w:abstractNumId w:val="156"/>
  </w:num>
  <w:num w:numId="10">
    <w:abstractNumId w:val="168"/>
  </w:num>
  <w:num w:numId="11">
    <w:abstractNumId w:val="169"/>
  </w:num>
  <w:num w:numId="12">
    <w:abstractNumId w:val="96"/>
  </w:num>
  <w:num w:numId="13">
    <w:abstractNumId w:val="133"/>
  </w:num>
  <w:num w:numId="14">
    <w:abstractNumId w:val="33"/>
  </w:num>
  <w:num w:numId="15">
    <w:abstractNumId w:val="85"/>
  </w:num>
  <w:num w:numId="16">
    <w:abstractNumId w:val="3"/>
  </w:num>
  <w:num w:numId="17">
    <w:abstractNumId w:val="210"/>
  </w:num>
  <w:num w:numId="18">
    <w:abstractNumId w:val="203"/>
  </w:num>
  <w:num w:numId="19">
    <w:abstractNumId w:val="11"/>
  </w:num>
  <w:num w:numId="20">
    <w:abstractNumId w:val="179"/>
  </w:num>
  <w:num w:numId="21">
    <w:abstractNumId w:val="95"/>
  </w:num>
  <w:num w:numId="22">
    <w:abstractNumId w:val="89"/>
  </w:num>
  <w:num w:numId="23">
    <w:abstractNumId w:val="74"/>
  </w:num>
  <w:num w:numId="24">
    <w:abstractNumId w:val="139"/>
  </w:num>
  <w:num w:numId="25">
    <w:abstractNumId w:val="2"/>
  </w:num>
  <w:num w:numId="26">
    <w:abstractNumId w:val="46"/>
  </w:num>
  <w:num w:numId="27">
    <w:abstractNumId w:val="8"/>
  </w:num>
  <w:num w:numId="28">
    <w:abstractNumId w:val="36"/>
  </w:num>
  <w:num w:numId="29">
    <w:abstractNumId w:val="183"/>
  </w:num>
  <w:num w:numId="30">
    <w:abstractNumId w:val="105"/>
  </w:num>
  <w:num w:numId="31">
    <w:abstractNumId w:val="197"/>
  </w:num>
  <w:num w:numId="32">
    <w:abstractNumId w:val="62"/>
  </w:num>
  <w:num w:numId="33">
    <w:abstractNumId w:val="52"/>
  </w:num>
  <w:num w:numId="34">
    <w:abstractNumId w:val="68"/>
  </w:num>
  <w:num w:numId="35">
    <w:abstractNumId w:val="67"/>
  </w:num>
  <w:num w:numId="36">
    <w:abstractNumId w:val="189"/>
  </w:num>
  <w:num w:numId="37">
    <w:abstractNumId w:val="70"/>
  </w:num>
  <w:num w:numId="38">
    <w:abstractNumId w:val="42"/>
  </w:num>
  <w:num w:numId="39">
    <w:abstractNumId w:val="186"/>
  </w:num>
  <w:num w:numId="40">
    <w:abstractNumId w:val="56"/>
  </w:num>
  <w:num w:numId="41">
    <w:abstractNumId w:val="137"/>
  </w:num>
  <w:num w:numId="42">
    <w:abstractNumId w:val="14"/>
  </w:num>
  <w:num w:numId="43">
    <w:abstractNumId w:val="114"/>
  </w:num>
  <w:num w:numId="44">
    <w:abstractNumId w:val="144"/>
  </w:num>
  <w:num w:numId="45">
    <w:abstractNumId w:val="38"/>
  </w:num>
  <w:num w:numId="46">
    <w:abstractNumId w:val="39"/>
  </w:num>
  <w:num w:numId="47">
    <w:abstractNumId w:val="142"/>
  </w:num>
  <w:num w:numId="48">
    <w:abstractNumId w:val="164"/>
  </w:num>
  <w:num w:numId="49">
    <w:abstractNumId w:val="117"/>
  </w:num>
  <w:num w:numId="50">
    <w:abstractNumId w:val="76"/>
  </w:num>
  <w:num w:numId="51">
    <w:abstractNumId w:val="98"/>
  </w:num>
  <w:num w:numId="52">
    <w:abstractNumId w:val="136"/>
  </w:num>
  <w:num w:numId="53">
    <w:abstractNumId w:val="175"/>
  </w:num>
  <w:num w:numId="54">
    <w:abstractNumId w:val="195"/>
  </w:num>
  <w:num w:numId="55">
    <w:abstractNumId w:val="53"/>
  </w:num>
  <w:num w:numId="56">
    <w:abstractNumId w:val="49"/>
  </w:num>
  <w:num w:numId="57">
    <w:abstractNumId w:val="129"/>
  </w:num>
  <w:num w:numId="58">
    <w:abstractNumId w:val="63"/>
  </w:num>
  <w:num w:numId="59">
    <w:abstractNumId w:val="202"/>
  </w:num>
  <w:num w:numId="60">
    <w:abstractNumId w:val="97"/>
  </w:num>
  <w:num w:numId="61">
    <w:abstractNumId w:val="140"/>
  </w:num>
  <w:num w:numId="62">
    <w:abstractNumId w:val="191"/>
  </w:num>
  <w:num w:numId="63">
    <w:abstractNumId w:val="200"/>
  </w:num>
  <w:num w:numId="64">
    <w:abstractNumId w:val="25"/>
  </w:num>
  <w:num w:numId="65">
    <w:abstractNumId w:val="184"/>
  </w:num>
  <w:num w:numId="66">
    <w:abstractNumId w:val="86"/>
  </w:num>
  <w:num w:numId="67">
    <w:abstractNumId w:val="131"/>
  </w:num>
  <w:num w:numId="68">
    <w:abstractNumId w:val="104"/>
  </w:num>
  <w:num w:numId="69">
    <w:abstractNumId w:val="145"/>
  </w:num>
  <w:num w:numId="70">
    <w:abstractNumId w:val="83"/>
  </w:num>
  <w:num w:numId="71">
    <w:abstractNumId w:val="110"/>
  </w:num>
  <w:num w:numId="72">
    <w:abstractNumId w:val="30"/>
  </w:num>
  <w:num w:numId="73">
    <w:abstractNumId w:val="12"/>
  </w:num>
  <w:num w:numId="74">
    <w:abstractNumId w:val="6"/>
  </w:num>
  <w:num w:numId="75">
    <w:abstractNumId w:val="21"/>
  </w:num>
  <w:num w:numId="76">
    <w:abstractNumId w:val="113"/>
  </w:num>
  <w:num w:numId="77">
    <w:abstractNumId w:val="65"/>
  </w:num>
  <w:num w:numId="78">
    <w:abstractNumId w:val="20"/>
  </w:num>
  <w:num w:numId="79">
    <w:abstractNumId w:val="26"/>
  </w:num>
  <w:num w:numId="80">
    <w:abstractNumId w:val="71"/>
  </w:num>
  <w:num w:numId="81">
    <w:abstractNumId w:val="126"/>
  </w:num>
  <w:num w:numId="82">
    <w:abstractNumId w:val="16"/>
  </w:num>
  <w:num w:numId="83">
    <w:abstractNumId w:val="35"/>
  </w:num>
  <w:num w:numId="84">
    <w:abstractNumId w:val="158"/>
  </w:num>
  <w:num w:numId="85">
    <w:abstractNumId w:val="43"/>
  </w:num>
  <w:num w:numId="86">
    <w:abstractNumId w:val="198"/>
  </w:num>
  <w:num w:numId="87">
    <w:abstractNumId w:val="55"/>
  </w:num>
  <w:num w:numId="88">
    <w:abstractNumId w:val="47"/>
  </w:num>
  <w:num w:numId="89">
    <w:abstractNumId w:val="185"/>
  </w:num>
  <w:num w:numId="90">
    <w:abstractNumId w:val="167"/>
  </w:num>
  <w:num w:numId="91">
    <w:abstractNumId w:val="155"/>
  </w:num>
  <w:num w:numId="92">
    <w:abstractNumId w:val="132"/>
  </w:num>
  <w:num w:numId="93">
    <w:abstractNumId w:val="59"/>
  </w:num>
  <w:num w:numId="94">
    <w:abstractNumId w:val="10"/>
  </w:num>
  <w:num w:numId="95">
    <w:abstractNumId w:val="159"/>
  </w:num>
  <w:num w:numId="96">
    <w:abstractNumId w:val="174"/>
  </w:num>
  <w:num w:numId="97">
    <w:abstractNumId w:val="7"/>
  </w:num>
  <w:num w:numId="98">
    <w:abstractNumId w:val="115"/>
  </w:num>
  <w:num w:numId="99">
    <w:abstractNumId w:val="161"/>
  </w:num>
  <w:num w:numId="100">
    <w:abstractNumId w:val="135"/>
  </w:num>
  <w:num w:numId="101">
    <w:abstractNumId w:val="50"/>
  </w:num>
  <w:num w:numId="102">
    <w:abstractNumId w:val="23"/>
  </w:num>
  <w:num w:numId="103">
    <w:abstractNumId w:val="13"/>
  </w:num>
  <w:num w:numId="104">
    <w:abstractNumId w:val="172"/>
  </w:num>
  <w:num w:numId="105">
    <w:abstractNumId w:val="92"/>
  </w:num>
  <w:num w:numId="106">
    <w:abstractNumId w:val="188"/>
  </w:num>
  <w:num w:numId="107">
    <w:abstractNumId w:val="150"/>
  </w:num>
  <w:num w:numId="108">
    <w:abstractNumId w:val="119"/>
  </w:num>
  <w:num w:numId="109">
    <w:abstractNumId w:val="102"/>
  </w:num>
  <w:num w:numId="110">
    <w:abstractNumId w:val="128"/>
  </w:num>
  <w:num w:numId="111">
    <w:abstractNumId w:val="187"/>
  </w:num>
  <w:num w:numId="112">
    <w:abstractNumId w:val="88"/>
  </w:num>
  <w:num w:numId="113">
    <w:abstractNumId w:val="34"/>
  </w:num>
  <w:num w:numId="114">
    <w:abstractNumId w:val="163"/>
  </w:num>
  <w:num w:numId="115">
    <w:abstractNumId w:val="118"/>
  </w:num>
  <w:num w:numId="116">
    <w:abstractNumId w:val="0"/>
  </w:num>
  <w:num w:numId="117">
    <w:abstractNumId w:val="107"/>
  </w:num>
  <w:num w:numId="118">
    <w:abstractNumId w:val="101"/>
  </w:num>
  <w:num w:numId="119">
    <w:abstractNumId w:val="78"/>
  </w:num>
  <w:num w:numId="120">
    <w:abstractNumId w:val="176"/>
  </w:num>
  <w:num w:numId="121">
    <w:abstractNumId w:val="100"/>
  </w:num>
  <w:num w:numId="122">
    <w:abstractNumId w:val="58"/>
  </w:num>
  <w:num w:numId="123">
    <w:abstractNumId w:val="204"/>
  </w:num>
  <w:num w:numId="124">
    <w:abstractNumId w:val="160"/>
  </w:num>
  <w:num w:numId="125">
    <w:abstractNumId w:val="122"/>
  </w:num>
  <w:num w:numId="126">
    <w:abstractNumId w:val="123"/>
  </w:num>
  <w:num w:numId="127">
    <w:abstractNumId w:val="17"/>
  </w:num>
  <w:num w:numId="128">
    <w:abstractNumId w:val="51"/>
  </w:num>
  <w:num w:numId="129">
    <w:abstractNumId w:val="48"/>
  </w:num>
  <w:num w:numId="130">
    <w:abstractNumId w:val="19"/>
  </w:num>
  <w:num w:numId="131">
    <w:abstractNumId w:val="151"/>
  </w:num>
  <w:num w:numId="132">
    <w:abstractNumId w:val="80"/>
  </w:num>
  <w:num w:numId="133">
    <w:abstractNumId w:val="181"/>
  </w:num>
  <w:num w:numId="134">
    <w:abstractNumId w:val="134"/>
  </w:num>
  <w:num w:numId="135">
    <w:abstractNumId w:val="171"/>
  </w:num>
  <w:num w:numId="136">
    <w:abstractNumId w:val="15"/>
  </w:num>
  <w:num w:numId="137">
    <w:abstractNumId w:val="138"/>
  </w:num>
  <w:num w:numId="138">
    <w:abstractNumId w:val="28"/>
  </w:num>
  <w:num w:numId="139">
    <w:abstractNumId w:val="106"/>
  </w:num>
  <w:num w:numId="140">
    <w:abstractNumId w:val="87"/>
  </w:num>
  <w:num w:numId="141">
    <w:abstractNumId w:val="173"/>
  </w:num>
  <w:num w:numId="142">
    <w:abstractNumId w:val="193"/>
  </w:num>
  <w:num w:numId="143">
    <w:abstractNumId w:val="111"/>
  </w:num>
  <w:num w:numId="144">
    <w:abstractNumId w:val="90"/>
  </w:num>
  <w:num w:numId="145">
    <w:abstractNumId w:val="24"/>
  </w:num>
  <w:num w:numId="146">
    <w:abstractNumId w:val="4"/>
  </w:num>
  <w:num w:numId="147">
    <w:abstractNumId w:val="64"/>
  </w:num>
  <w:num w:numId="148">
    <w:abstractNumId w:val="57"/>
  </w:num>
  <w:num w:numId="149">
    <w:abstractNumId w:val="201"/>
  </w:num>
  <w:num w:numId="150">
    <w:abstractNumId w:val="209"/>
  </w:num>
  <w:num w:numId="151">
    <w:abstractNumId w:val="157"/>
  </w:num>
  <w:num w:numId="152">
    <w:abstractNumId w:val="18"/>
  </w:num>
  <w:num w:numId="153">
    <w:abstractNumId w:val="196"/>
  </w:num>
  <w:num w:numId="154">
    <w:abstractNumId w:val="108"/>
  </w:num>
  <w:num w:numId="155">
    <w:abstractNumId w:val="29"/>
  </w:num>
  <w:num w:numId="156">
    <w:abstractNumId w:val="40"/>
  </w:num>
  <w:num w:numId="157">
    <w:abstractNumId w:val="149"/>
  </w:num>
  <w:num w:numId="158">
    <w:abstractNumId w:val="31"/>
  </w:num>
  <w:num w:numId="159">
    <w:abstractNumId w:val="141"/>
  </w:num>
  <w:num w:numId="160">
    <w:abstractNumId w:val="190"/>
  </w:num>
  <w:num w:numId="161">
    <w:abstractNumId w:val="27"/>
  </w:num>
  <w:num w:numId="162">
    <w:abstractNumId w:val="194"/>
  </w:num>
  <w:num w:numId="163">
    <w:abstractNumId w:val="22"/>
  </w:num>
  <w:num w:numId="164">
    <w:abstractNumId w:val="192"/>
  </w:num>
  <w:num w:numId="165">
    <w:abstractNumId w:val="81"/>
  </w:num>
  <w:num w:numId="166">
    <w:abstractNumId w:val="45"/>
  </w:num>
  <w:num w:numId="167">
    <w:abstractNumId w:val="165"/>
  </w:num>
  <w:num w:numId="168">
    <w:abstractNumId w:val="199"/>
  </w:num>
  <w:num w:numId="169">
    <w:abstractNumId w:val="44"/>
  </w:num>
  <w:num w:numId="170">
    <w:abstractNumId w:val="206"/>
  </w:num>
  <w:num w:numId="171">
    <w:abstractNumId w:val="60"/>
  </w:num>
  <w:num w:numId="172">
    <w:abstractNumId w:val="5"/>
  </w:num>
  <w:num w:numId="173">
    <w:abstractNumId w:val="162"/>
  </w:num>
  <w:num w:numId="174">
    <w:abstractNumId w:val="73"/>
  </w:num>
  <w:num w:numId="175">
    <w:abstractNumId w:val="116"/>
  </w:num>
  <w:num w:numId="176">
    <w:abstractNumId w:val="153"/>
  </w:num>
  <w:num w:numId="177">
    <w:abstractNumId w:val="143"/>
  </w:num>
  <w:num w:numId="178">
    <w:abstractNumId w:val="180"/>
  </w:num>
  <w:num w:numId="179">
    <w:abstractNumId w:val="154"/>
  </w:num>
  <w:num w:numId="180">
    <w:abstractNumId w:val="148"/>
  </w:num>
  <w:num w:numId="181">
    <w:abstractNumId w:val="205"/>
  </w:num>
  <w:num w:numId="182">
    <w:abstractNumId w:val="124"/>
  </w:num>
  <w:num w:numId="183">
    <w:abstractNumId w:val="120"/>
  </w:num>
  <w:num w:numId="184">
    <w:abstractNumId w:val="147"/>
  </w:num>
  <w:num w:numId="185">
    <w:abstractNumId w:val="72"/>
  </w:num>
  <w:num w:numId="186">
    <w:abstractNumId w:val="127"/>
  </w:num>
  <w:num w:numId="187">
    <w:abstractNumId w:val="207"/>
  </w:num>
  <w:num w:numId="188">
    <w:abstractNumId w:val="9"/>
  </w:num>
  <w:num w:numId="189">
    <w:abstractNumId w:val="103"/>
  </w:num>
  <w:num w:numId="190">
    <w:abstractNumId w:val="208"/>
  </w:num>
  <w:num w:numId="191">
    <w:abstractNumId w:val="77"/>
  </w:num>
  <w:num w:numId="192">
    <w:abstractNumId w:val="146"/>
  </w:num>
  <w:num w:numId="193">
    <w:abstractNumId w:val="93"/>
  </w:num>
  <w:num w:numId="194">
    <w:abstractNumId w:val="109"/>
  </w:num>
  <w:num w:numId="195">
    <w:abstractNumId w:val="32"/>
  </w:num>
  <w:num w:numId="196">
    <w:abstractNumId w:val="91"/>
  </w:num>
  <w:num w:numId="197">
    <w:abstractNumId w:val="182"/>
  </w:num>
  <w:num w:numId="198">
    <w:abstractNumId w:val="94"/>
  </w:num>
  <w:num w:numId="199">
    <w:abstractNumId w:val="82"/>
  </w:num>
  <w:num w:numId="200">
    <w:abstractNumId w:val="112"/>
  </w:num>
  <w:num w:numId="201">
    <w:abstractNumId w:val="37"/>
  </w:num>
  <w:num w:numId="202">
    <w:abstractNumId w:val="41"/>
  </w:num>
  <w:num w:numId="203">
    <w:abstractNumId w:val="75"/>
  </w:num>
  <w:num w:numId="204">
    <w:abstractNumId w:val="211"/>
  </w:num>
  <w:num w:numId="205">
    <w:abstractNumId w:val="166"/>
  </w:num>
  <w:num w:numId="206">
    <w:abstractNumId w:val="61"/>
  </w:num>
  <w:num w:numId="207">
    <w:abstractNumId w:val="99"/>
  </w:num>
  <w:num w:numId="208">
    <w:abstractNumId w:val="125"/>
  </w:num>
  <w:num w:numId="209">
    <w:abstractNumId w:val="69"/>
  </w:num>
  <w:num w:numId="210">
    <w:abstractNumId w:val="152"/>
  </w:num>
  <w:num w:numId="211">
    <w:abstractNumId w:val="84"/>
  </w:num>
  <w:num w:numId="212">
    <w:abstractNumId w:val="170"/>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16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BB7EDA"/>
    <w:rsid w:val="007D72B3"/>
    <w:rsid w:val="00BB7E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Footnote">
    <w:name w:val="Footnote_"/>
    <w:basedOn w:val="Absatz-Standardschriftart"/>
    <w:link w:val="Footnote0"/>
    <w:rPr>
      <w:rFonts w:ascii="Palatino Linotype" w:eastAsia="Palatino Linotype" w:hAnsi="Palatino Linotype" w:cs="Palatino Linotype"/>
      <w:b w:val="0"/>
      <w:bCs w:val="0"/>
      <w:i w:val="0"/>
      <w:iCs w:val="0"/>
      <w:smallCaps w:val="0"/>
      <w:strike w:val="0"/>
      <w:sz w:val="16"/>
      <w:szCs w:val="16"/>
      <w:u w:val="none"/>
    </w:rPr>
  </w:style>
  <w:style w:type="character" w:customStyle="1" w:styleId="Footnote7pt">
    <w:name w:val="Footnote + 7 pt"/>
    <w:basedOn w:val="Footnote"/>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Footnote7ptSmallCaps">
    <w:name w:val="Footnote + 7 pt;Small Caps"/>
    <w:basedOn w:val="Footnote"/>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Footnote7ptSmallCaps0">
    <w:name w:val="Footnote + 7 pt;Small Caps"/>
    <w:basedOn w:val="Footnote"/>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Footnote7pt0">
    <w:name w:val="Footnote + 7 pt"/>
    <w:basedOn w:val="Footnote"/>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Footnote2">
    <w:name w:val="Footnote (2)_"/>
    <w:basedOn w:val="Absatz-Standardschriftart"/>
    <w:link w:val="Footnote20"/>
    <w:rPr>
      <w:rFonts w:ascii="Palatino Linotype" w:eastAsia="Palatino Linotype" w:hAnsi="Palatino Linotype" w:cs="Palatino Linotype"/>
      <w:b w:val="0"/>
      <w:bCs w:val="0"/>
      <w:i/>
      <w:iCs/>
      <w:smallCaps w:val="0"/>
      <w:strike w:val="0"/>
      <w:sz w:val="15"/>
      <w:szCs w:val="15"/>
      <w:u w:val="none"/>
    </w:rPr>
  </w:style>
  <w:style w:type="character" w:customStyle="1" w:styleId="Footnote28ptNotItalic">
    <w:name w:val="Footnote (2) + 8 pt;Not Italic"/>
    <w:basedOn w:val="Footnote2"/>
    <w:rPr>
      <w:rFonts w:ascii="Palatino Linotype" w:eastAsia="Palatino Linotype" w:hAnsi="Palatino Linotype" w:cs="Palatino Linotype"/>
      <w:b w:val="0"/>
      <w:bCs w:val="0"/>
      <w:i/>
      <w:iCs/>
      <w:smallCaps w:val="0"/>
      <w:strike w:val="0"/>
      <w:color w:val="000000"/>
      <w:spacing w:val="0"/>
      <w:w w:val="100"/>
      <w:position w:val="0"/>
      <w:sz w:val="16"/>
      <w:szCs w:val="16"/>
      <w:u w:val="none"/>
      <w:lang w:val="de-DE" w:eastAsia="de-DE" w:bidi="de-DE"/>
    </w:rPr>
  </w:style>
  <w:style w:type="character" w:customStyle="1" w:styleId="Footnote75ptItalic">
    <w:name w:val="Footnote + 7.5 pt;Italic"/>
    <w:basedOn w:val="Footnote"/>
    <w:rPr>
      <w:rFonts w:ascii="Palatino Linotype" w:eastAsia="Palatino Linotype" w:hAnsi="Palatino Linotype" w:cs="Palatino Linotype"/>
      <w:b w:val="0"/>
      <w:bCs w:val="0"/>
      <w:i/>
      <w:iCs/>
      <w:smallCaps w:val="0"/>
      <w:strike w:val="0"/>
      <w:color w:val="000000"/>
      <w:spacing w:val="0"/>
      <w:w w:val="100"/>
      <w:position w:val="0"/>
      <w:sz w:val="15"/>
      <w:szCs w:val="15"/>
      <w:u w:val="none"/>
      <w:lang w:val="de-DE" w:eastAsia="de-DE" w:bidi="de-DE"/>
    </w:rPr>
  </w:style>
  <w:style w:type="character" w:customStyle="1" w:styleId="FootnoteSmallCaps">
    <w:name w:val="Footnote + Small Caps"/>
    <w:basedOn w:val="Footnote"/>
    <w:rPr>
      <w:rFonts w:ascii="Palatino Linotype" w:eastAsia="Palatino Linotype" w:hAnsi="Palatino Linotype" w:cs="Palatino Linotype"/>
      <w:b w:val="0"/>
      <w:bCs w:val="0"/>
      <w:i w:val="0"/>
      <w:iCs w:val="0"/>
      <w:smallCaps/>
      <w:strike w:val="0"/>
      <w:color w:val="000000"/>
      <w:spacing w:val="0"/>
      <w:w w:val="100"/>
      <w:position w:val="0"/>
      <w:sz w:val="16"/>
      <w:szCs w:val="16"/>
      <w:u w:val="none"/>
      <w:lang w:val="de-DE" w:eastAsia="de-DE" w:bidi="de-DE"/>
    </w:rPr>
  </w:style>
  <w:style w:type="character" w:customStyle="1" w:styleId="Footnote10pt">
    <w:name w:val="Footnote + 10 pt"/>
    <w:basedOn w:val="Footnote"/>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Footnote55ptSmallCapsSpacing0pt">
    <w:name w:val="Footnote + 5.5 pt;Small Caps;Spacing 0 pt"/>
    <w:basedOn w:val="Footnote"/>
    <w:rPr>
      <w:rFonts w:ascii="Palatino Linotype" w:eastAsia="Palatino Linotype" w:hAnsi="Palatino Linotype" w:cs="Palatino Linotype"/>
      <w:b w:val="0"/>
      <w:bCs w:val="0"/>
      <w:i w:val="0"/>
      <w:iCs w:val="0"/>
      <w:smallCaps/>
      <w:strike w:val="0"/>
      <w:color w:val="000000"/>
      <w:spacing w:val="10"/>
      <w:w w:val="100"/>
      <w:position w:val="0"/>
      <w:sz w:val="11"/>
      <w:szCs w:val="11"/>
      <w:u w:val="none"/>
      <w:lang w:val="de-DE" w:eastAsia="de-DE" w:bidi="de-DE"/>
    </w:rPr>
  </w:style>
  <w:style w:type="character" w:customStyle="1" w:styleId="Footnote7ptSmallCapsSpacing0pt">
    <w:name w:val="Footnote + 7 pt;Small Caps;Spacing 0 pt"/>
    <w:basedOn w:val="Footnote"/>
    <w:rPr>
      <w:rFonts w:ascii="Palatino Linotype" w:eastAsia="Palatino Linotype" w:hAnsi="Palatino Linotype" w:cs="Palatino Linotype"/>
      <w:b w:val="0"/>
      <w:bCs w:val="0"/>
      <w:i w:val="0"/>
      <w:iCs w:val="0"/>
      <w:smallCaps/>
      <w:strike w:val="0"/>
      <w:color w:val="000000"/>
      <w:spacing w:val="10"/>
      <w:w w:val="100"/>
      <w:position w:val="0"/>
      <w:sz w:val="14"/>
      <w:szCs w:val="14"/>
      <w:u w:val="none"/>
      <w:lang w:val="de-DE" w:eastAsia="de-DE" w:bidi="de-DE"/>
    </w:rPr>
  </w:style>
  <w:style w:type="character" w:customStyle="1" w:styleId="FootnoteCandara6pt">
    <w:name w:val="Footnote + Candara;6 pt"/>
    <w:basedOn w:val="Footnote"/>
    <w:rPr>
      <w:rFonts w:ascii="Candara" w:eastAsia="Candara" w:hAnsi="Candara" w:cs="Candara"/>
      <w:b w:val="0"/>
      <w:bCs w:val="0"/>
      <w:i w:val="0"/>
      <w:iCs w:val="0"/>
      <w:smallCaps w:val="0"/>
      <w:strike w:val="0"/>
      <w:color w:val="000000"/>
      <w:spacing w:val="0"/>
      <w:w w:val="100"/>
      <w:position w:val="0"/>
      <w:sz w:val="12"/>
      <w:szCs w:val="12"/>
      <w:u w:val="none"/>
      <w:lang w:val="de-DE" w:eastAsia="de-DE" w:bidi="de-DE"/>
    </w:rPr>
  </w:style>
  <w:style w:type="character" w:customStyle="1" w:styleId="Footnote55pt">
    <w:name w:val="Footnote + 5.5 pt"/>
    <w:basedOn w:val="Footnote"/>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Footnote10pt0">
    <w:name w:val="Footnote + 10 pt"/>
    <w:basedOn w:val="Footnote"/>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Footnote3">
    <w:name w:val="Footnote (3)_"/>
    <w:basedOn w:val="Absatz-Standardschriftart"/>
    <w:link w:val="Footnote30"/>
    <w:rPr>
      <w:rFonts w:ascii="Palatino Linotype" w:eastAsia="Palatino Linotype" w:hAnsi="Palatino Linotype" w:cs="Palatino Linotype"/>
      <w:b w:val="0"/>
      <w:bCs w:val="0"/>
      <w:i w:val="0"/>
      <w:iCs w:val="0"/>
      <w:smallCaps w:val="0"/>
      <w:strike w:val="0"/>
      <w:sz w:val="14"/>
      <w:szCs w:val="14"/>
      <w:u w:val="none"/>
    </w:rPr>
  </w:style>
  <w:style w:type="character" w:customStyle="1" w:styleId="Footnote3SmallCaps">
    <w:name w:val="Footnote (3) + Small Caps"/>
    <w:basedOn w:val="Footnote3"/>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Footnote38pt">
    <w:name w:val="Footnote (3) + 8 pt"/>
    <w:basedOn w:val="Footnote3"/>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de-DE" w:eastAsia="de-DE" w:bidi="de-DE"/>
    </w:rPr>
  </w:style>
  <w:style w:type="character" w:customStyle="1" w:styleId="Footnote4">
    <w:name w:val="Footnote (4)_"/>
    <w:basedOn w:val="Absatz-Standardschriftart"/>
    <w:link w:val="Footnote40"/>
    <w:rPr>
      <w:rFonts w:ascii="Palatino Linotype" w:eastAsia="Palatino Linotype" w:hAnsi="Palatino Linotype" w:cs="Palatino Linotype"/>
      <w:b w:val="0"/>
      <w:bCs w:val="0"/>
      <w:i w:val="0"/>
      <w:iCs w:val="0"/>
      <w:smallCaps w:val="0"/>
      <w:strike w:val="0"/>
      <w:sz w:val="16"/>
      <w:szCs w:val="16"/>
      <w:u w:val="none"/>
    </w:rPr>
  </w:style>
  <w:style w:type="character" w:customStyle="1" w:styleId="Footnote47ptSmallCaps">
    <w:name w:val="Footnote (4) + 7 pt;Small Caps"/>
    <w:basedOn w:val="Footnote4"/>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Footnote10pt1">
    <w:name w:val="Footnote + 10 pt"/>
    <w:basedOn w:val="Footnote"/>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Footnote7ptSmallCapsSpacing0pt0">
    <w:name w:val="Footnote + 7 pt;Small Caps;Spacing 0 pt"/>
    <w:basedOn w:val="Footnote"/>
    <w:rPr>
      <w:rFonts w:ascii="Palatino Linotype" w:eastAsia="Palatino Linotype" w:hAnsi="Palatino Linotype" w:cs="Palatino Linotype"/>
      <w:b w:val="0"/>
      <w:bCs w:val="0"/>
      <w:i w:val="0"/>
      <w:iCs w:val="0"/>
      <w:smallCaps/>
      <w:strike w:val="0"/>
      <w:color w:val="000000"/>
      <w:spacing w:val="10"/>
      <w:w w:val="100"/>
      <w:position w:val="0"/>
      <w:sz w:val="14"/>
      <w:szCs w:val="14"/>
      <w:u w:val="none"/>
      <w:lang w:val="de-DE" w:eastAsia="de-DE" w:bidi="de-DE"/>
    </w:rPr>
  </w:style>
  <w:style w:type="character" w:customStyle="1" w:styleId="Footnote7ptSpacing0pt">
    <w:name w:val="Footnote + 7 pt;Spacing 0 pt"/>
    <w:basedOn w:val="Footnote"/>
    <w:rPr>
      <w:rFonts w:ascii="Palatino Linotype" w:eastAsia="Palatino Linotype" w:hAnsi="Palatino Linotype" w:cs="Palatino Linotype"/>
      <w:b w:val="0"/>
      <w:bCs w:val="0"/>
      <w:i w:val="0"/>
      <w:iCs w:val="0"/>
      <w:smallCaps w:val="0"/>
      <w:strike w:val="0"/>
      <w:color w:val="000000"/>
      <w:spacing w:val="10"/>
      <w:w w:val="100"/>
      <w:position w:val="0"/>
      <w:sz w:val="14"/>
      <w:szCs w:val="14"/>
      <w:u w:val="none"/>
      <w:lang w:val="de-DE" w:eastAsia="de-DE" w:bidi="de-DE"/>
    </w:rPr>
  </w:style>
  <w:style w:type="character" w:customStyle="1" w:styleId="Footnote55pt0">
    <w:name w:val="Footnote + 5.5 pt"/>
    <w:basedOn w:val="Footnote"/>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Footnote75pt">
    <w:name w:val="Footnote + 7.5 pt"/>
    <w:basedOn w:val="Footnote"/>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Footnote5ptSmallCaps">
    <w:name w:val="Footnote + 5 pt;Small Caps"/>
    <w:basedOn w:val="Footnote"/>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style>
  <w:style w:type="character" w:customStyle="1" w:styleId="Footnote5pt">
    <w:name w:val="Footnote + 5 pt"/>
    <w:basedOn w:val="Footnote"/>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de-DE" w:eastAsia="de-DE" w:bidi="de-DE"/>
    </w:rPr>
  </w:style>
  <w:style w:type="character" w:customStyle="1" w:styleId="Footnote4SmallCaps">
    <w:name w:val="Footnote (4) + Small Caps"/>
    <w:basedOn w:val="Footnote4"/>
    <w:rPr>
      <w:rFonts w:ascii="Palatino Linotype" w:eastAsia="Palatino Linotype" w:hAnsi="Palatino Linotype" w:cs="Palatino Linotype"/>
      <w:b w:val="0"/>
      <w:bCs w:val="0"/>
      <w:i w:val="0"/>
      <w:iCs w:val="0"/>
      <w:smallCaps/>
      <w:strike w:val="0"/>
      <w:color w:val="000000"/>
      <w:spacing w:val="0"/>
      <w:w w:val="100"/>
      <w:position w:val="0"/>
      <w:sz w:val="16"/>
      <w:szCs w:val="16"/>
      <w:u w:val="none"/>
      <w:lang w:val="de-DE" w:eastAsia="de-DE" w:bidi="de-DE"/>
    </w:rPr>
  </w:style>
  <w:style w:type="character" w:customStyle="1" w:styleId="Bodytext4">
    <w:name w:val="Body text (4)_"/>
    <w:basedOn w:val="Absatz-Standardschriftart"/>
    <w:link w:val="Bodytext40"/>
    <w:rPr>
      <w:rFonts w:ascii="Palatino Linotype" w:eastAsia="Palatino Linotype" w:hAnsi="Palatino Linotype" w:cs="Palatino Linotype"/>
      <w:b w:val="0"/>
      <w:bCs w:val="0"/>
      <w:i w:val="0"/>
      <w:iCs w:val="0"/>
      <w:smallCaps w:val="0"/>
      <w:strike w:val="0"/>
      <w:u w:val="none"/>
    </w:rPr>
  </w:style>
  <w:style w:type="character" w:customStyle="1" w:styleId="Heading1">
    <w:name w:val="Heading #1_"/>
    <w:basedOn w:val="Absatz-Standardschriftart"/>
    <w:link w:val="Heading10"/>
    <w:rPr>
      <w:rFonts w:ascii="Palatino Linotype" w:eastAsia="Palatino Linotype" w:hAnsi="Palatino Linotype" w:cs="Palatino Linotype"/>
      <w:b/>
      <w:bCs/>
      <w:i w:val="0"/>
      <w:iCs w:val="0"/>
      <w:smallCaps w:val="0"/>
      <w:strike w:val="0"/>
      <w:sz w:val="46"/>
      <w:szCs w:val="46"/>
      <w:u w:val="none"/>
    </w:rPr>
  </w:style>
  <w:style w:type="character" w:customStyle="1" w:styleId="Bodytext5">
    <w:name w:val="Body text (5)_"/>
    <w:basedOn w:val="Absatz-Standardschriftart"/>
    <w:link w:val="Bodytext50"/>
    <w:rPr>
      <w:rFonts w:ascii="Palatino Linotype" w:eastAsia="Palatino Linotype" w:hAnsi="Palatino Linotype" w:cs="Palatino Linotype"/>
      <w:b/>
      <w:bCs/>
      <w:i w:val="0"/>
      <w:iCs w:val="0"/>
      <w:smallCaps w:val="0"/>
      <w:strike w:val="0"/>
      <w:sz w:val="26"/>
      <w:szCs w:val="26"/>
      <w:u w:val="none"/>
    </w:rPr>
  </w:style>
  <w:style w:type="character" w:customStyle="1" w:styleId="Bodytext6">
    <w:name w:val="Body text (6)_"/>
    <w:basedOn w:val="Absatz-Standardschriftart"/>
    <w:link w:val="Bodytext60"/>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2Exact">
    <w:name w:val="Body text (2) Exact"/>
    <w:basedOn w:val="Absatz-Standardschriftart"/>
    <w:rPr>
      <w:rFonts w:ascii="Palatino Linotype" w:eastAsia="Palatino Linotype" w:hAnsi="Palatino Linotype" w:cs="Palatino Linotype"/>
      <w:b w:val="0"/>
      <w:bCs w:val="0"/>
      <w:i w:val="0"/>
      <w:iCs w:val="0"/>
      <w:smallCaps w:val="0"/>
      <w:strike w:val="0"/>
      <w:sz w:val="18"/>
      <w:szCs w:val="18"/>
      <w:u w:val="none"/>
    </w:rPr>
  </w:style>
  <w:style w:type="character" w:customStyle="1" w:styleId="Bodytext2">
    <w:name w:val="Body text (2)_"/>
    <w:basedOn w:val="Absatz-Standardschriftart"/>
    <w:link w:val="Bodytext20"/>
    <w:rPr>
      <w:rFonts w:ascii="Palatino Linotype" w:eastAsia="Palatino Linotype" w:hAnsi="Palatino Linotype" w:cs="Palatino Linotype"/>
      <w:b w:val="0"/>
      <w:bCs w:val="0"/>
      <w:i w:val="0"/>
      <w:iCs w:val="0"/>
      <w:smallCaps w:val="0"/>
      <w:strike w:val="0"/>
      <w:sz w:val="18"/>
      <w:szCs w:val="18"/>
      <w:u w:val="none"/>
    </w:rPr>
  </w:style>
  <w:style w:type="character" w:customStyle="1" w:styleId="Bodytext2Italic">
    <w:name w:val="Body text (2) + Italic"/>
    <w:basedOn w:val="Body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21">
    <w:name w:val="Body text (2)"/>
    <w:basedOn w:val="Bodytext2"/>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style>
  <w:style w:type="character" w:customStyle="1" w:styleId="Bodytext275pt">
    <w:name w:val="Body text (2) + 7.5 pt"/>
    <w:basedOn w:val="Bodytext2"/>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212pt">
    <w:name w:val="Body text (2) + 12 pt"/>
    <w:basedOn w:val="Bodytext2"/>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de-DE" w:eastAsia="de-DE" w:bidi="de-DE"/>
    </w:rPr>
  </w:style>
  <w:style w:type="character" w:customStyle="1" w:styleId="Bodytext255pt">
    <w:name w:val="Body text (2) + 5.5 pt"/>
    <w:basedOn w:val="Bodytext2"/>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Bodytext2Constantia95pt">
    <w:name w:val="Body text (2) + Constantia;9.5 pt"/>
    <w:basedOn w:val="Bodytext2"/>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style>
  <w:style w:type="character" w:customStyle="1" w:styleId="Heading3">
    <w:name w:val="Heading #3_"/>
    <w:basedOn w:val="Absatz-Standardschriftart"/>
    <w:link w:val="Heading30"/>
    <w:rPr>
      <w:rFonts w:ascii="Palatino Linotype" w:eastAsia="Palatino Linotype" w:hAnsi="Palatino Linotype" w:cs="Palatino Linotype"/>
      <w:b/>
      <w:bCs/>
      <w:i w:val="0"/>
      <w:iCs w:val="0"/>
      <w:smallCaps w:val="0"/>
      <w:strike w:val="0"/>
      <w:sz w:val="26"/>
      <w:szCs w:val="26"/>
      <w:u w:val="none"/>
    </w:rPr>
  </w:style>
  <w:style w:type="character" w:customStyle="1" w:styleId="Headerorfooter">
    <w:name w:val="Header or footer_"/>
    <w:basedOn w:val="Absatz-Standardschriftart"/>
    <w:link w:val="Headerorfooter0"/>
    <w:rPr>
      <w:rFonts w:ascii="Palatino Linotype" w:eastAsia="Palatino Linotype" w:hAnsi="Palatino Linotype" w:cs="Palatino Linotype"/>
      <w:b w:val="0"/>
      <w:bCs w:val="0"/>
      <w:i w:val="0"/>
      <w:iCs w:val="0"/>
      <w:smallCaps w:val="0"/>
      <w:strike w:val="0"/>
      <w:spacing w:val="10"/>
      <w:sz w:val="17"/>
      <w:szCs w:val="17"/>
      <w:u w:val="none"/>
    </w:rPr>
  </w:style>
  <w:style w:type="character" w:customStyle="1" w:styleId="Headerorfooter1">
    <w:name w:val="Header or footer"/>
    <w:basedOn w:val="Headerorfooter"/>
    <w:rPr>
      <w:rFonts w:ascii="Palatino Linotype" w:eastAsia="Palatino Linotype" w:hAnsi="Palatino Linotype" w:cs="Palatino Linotype"/>
      <w:b w:val="0"/>
      <w:bCs w:val="0"/>
      <w:i w:val="0"/>
      <w:iCs w:val="0"/>
      <w:smallCaps w:val="0"/>
      <w:strike w:val="0"/>
      <w:color w:val="000000"/>
      <w:spacing w:val="10"/>
      <w:w w:val="100"/>
      <w:position w:val="0"/>
      <w:sz w:val="17"/>
      <w:szCs w:val="17"/>
      <w:u w:val="none"/>
      <w:lang w:val="de-DE" w:eastAsia="de-DE" w:bidi="de-DE"/>
    </w:rPr>
  </w:style>
  <w:style w:type="character" w:customStyle="1" w:styleId="Verzeichnis3Zchn">
    <w:name w:val="Verzeichnis 3 Zchn"/>
    <w:basedOn w:val="Absatz-Standardschriftart"/>
    <w:link w:val="Verzeichnis3"/>
    <w:rPr>
      <w:rFonts w:ascii="Palatino Linotype" w:eastAsia="Palatino Linotype" w:hAnsi="Palatino Linotype" w:cs="Palatino Linotype"/>
      <w:b w:val="0"/>
      <w:bCs w:val="0"/>
      <w:i w:val="0"/>
      <w:iCs w:val="0"/>
      <w:smallCaps w:val="0"/>
      <w:strike w:val="0"/>
      <w:sz w:val="18"/>
      <w:szCs w:val="18"/>
      <w:u w:val="none"/>
    </w:rPr>
  </w:style>
  <w:style w:type="character" w:customStyle="1" w:styleId="Tableofcontents">
    <w:name w:val="Table of contents_"/>
    <w:basedOn w:val="Absatz-Standardschriftart"/>
    <w:link w:val="Tableofcontents0"/>
    <w:rPr>
      <w:rFonts w:ascii="Palatino Linotype" w:eastAsia="Palatino Linotype" w:hAnsi="Palatino Linotype" w:cs="Palatino Linotype"/>
      <w:b w:val="0"/>
      <w:bCs w:val="0"/>
      <w:i/>
      <w:iCs/>
      <w:smallCaps w:val="0"/>
      <w:strike w:val="0"/>
      <w:sz w:val="18"/>
      <w:szCs w:val="18"/>
      <w:u w:val="none"/>
    </w:rPr>
  </w:style>
  <w:style w:type="character" w:customStyle="1" w:styleId="TableofcontentsNotItalic">
    <w:name w:val="Table of contents + Not Italic"/>
    <w:basedOn w:val="Tableofcontents"/>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Tableofcontents2SmallCaps">
    <w:name w:val="Table of contents (2) + Small Caps"/>
    <w:basedOn w:val="Verzeichnis3Zchn"/>
    <w:rPr>
      <w:rFonts w:ascii="Palatino Linotype" w:eastAsia="Palatino Linotype" w:hAnsi="Palatino Linotype" w:cs="Palatino Linotype"/>
      <w:b w:val="0"/>
      <w:bCs w:val="0"/>
      <w:i w:val="0"/>
      <w:iCs w:val="0"/>
      <w:smallCaps/>
      <w:strike w:val="0"/>
      <w:color w:val="000000"/>
      <w:spacing w:val="0"/>
      <w:w w:val="100"/>
      <w:position w:val="0"/>
      <w:sz w:val="18"/>
      <w:szCs w:val="18"/>
      <w:u w:val="none"/>
      <w:lang w:val="de-DE" w:eastAsia="de-DE" w:bidi="de-DE"/>
    </w:rPr>
  </w:style>
  <w:style w:type="character" w:customStyle="1" w:styleId="TableofcontentsSmallCaps">
    <w:name w:val="Table of contents + Small Caps"/>
    <w:basedOn w:val="Tableofcontents"/>
    <w:rPr>
      <w:rFonts w:ascii="Palatino Linotype" w:eastAsia="Palatino Linotype" w:hAnsi="Palatino Linotype" w:cs="Palatino Linotype"/>
      <w:b w:val="0"/>
      <w:bCs w:val="0"/>
      <w:i/>
      <w:iCs/>
      <w:smallCaps/>
      <w:strike w:val="0"/>
      <w:color w:val="000000"/>
      <w:spacing w:val="0"/>
      <w:w w:val="100"/>
      <w:position w:val="0"/>
      <w:sz w:val="18"/>
      <w:szCs w:val="18"/>
      <w:u w:val="none"/>
      <w:lang w:val="de-DE" w:eastAsia="de-DE" w:bidi="de-DE"/>
    </w:rPr>
  </w:style>
  <w:style w:type="character" w:customStyle="1" w:styleId="Tableofcontents3">
    <w:name w:val="Table of contents (3)_"/>
    <w:basedOn w:val="Absatz-Standardschriftart"/>
    <w:link w:val="Tableofcontents30"/>
    <w:rPr>
      <w:rFonts w:ascii="Palatino Linotype" w:eastAsia="Palatino Linotype" w:hAnsi="Palatino Linotype" w:cs="Palatino Linotype"/>
      <w:b/>
      <w:bCs/>
      <w:i w:val="0"/>
      <w:iCs w:val="0"/>
      <w:smallCaps w:val="0"/>
      <w:strike w:val="0"/>
      <w:sz w:val="18"/>
      <w:szCs w:val="18"/>
      <w:u w:val="none"/>
    </w:rPr>
  </w:style>
  <w:style w:type="character" w:customStyle="1" w:styleId="Tableofcontents3NotBold">
    <w:name w:val="Table of contents (3) + Not Bold"/>
    <w:basedOn w:val="Tableofcontents3"/>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style>
  <w:style w:type="character" w:customStyle="1" w:styleId="Tableofcontents2Italic">
    <w:name w:val="Table of contents (2) + Italic"/>
    <w:basedOn w:val="Verzeichnis3Zchn"/>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7">
    <w:name w:val="Body text (7)_"/>
    <w:basedOn w:val="Absatz-Standardschriftart"/>
    <w:link w:val="Bodytext70"/>
    <w:rPr>
      <w:rFonts w:ascii="Palatino Linotype" w:eastAsia="Palatino Linotype" w:hAnsi="Palatino Linotype" w:cs="Palatino Linotype"/>
      <w:b w:val="0"/>
      <w:bCs w:val="0"/>
      <w:i/>
      <w:iCs/>
      <w:smallCaps w:val="0"/>
      <w:strike w:val="0"/>
      <w:sz w:val="18"/>
      <w:szCs w:val="18"/>
      <w:u w:val="none"/>
    </w:rPr>
  </w:style>
  <w:style w:type="character" w:customStyle="1" w:styleId="Bodytext7NotItalic">
    <w:name w:val="Body text (7) + Not Italic"/>
    <w:basedOn w:val="Bodytext7"/>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7SmallCaps">
    <w:name w:val="Body text (7) + Small Caps"/>
    <w:basedOn w:val="Bodytext7"/>
    <w:rPr>
      <w:rFonts w:ascii="Palatino Linotype" w:eastAsia="Palatino Linotype" w:hAnsi="Palatino Linotype" w:cs="Palatino Linotype"/>
      <w:b w:val="0"/>
      <w:bCs w:val="0"/>
      <w:i/>
      <w:iCs/>
      <w:smallCaps/>
      <w:strike w:val="0"/>
      <w:color w:val="000000"/>
      <w:spacing w:val="0"/>
      <w:w w:val="100"/>
      <w:position w:val="0"/>
      <w:sz w:val="18"/>
      <w:szCs w:val="18"/>
      <w:u w:val="none"/>
      <w:lang w:val="de-DE" w:eastAsia="de-DE" w:bidi="de-DE"/>
    </w:rPr>
  </w:style>
  <w:style w:type="character" w:customStyle="1" w:styleId="Bodytext8">
    <w:name w:val="Body text (8)_"/>
    <w:basedOn w:val="Absatz-Standardschriftart"/>
    <w:link w:val="Bodytext80"/>
    <w:rPr>
      <w:rFonts w:ascii="Palatino Linotype" w:eastAsia="Palatino Linotype" w:hAnsi="Palatino Linotype" w:cs="Palatino Linotype"/>
      <w:b w:val="0"/>
      <w:bCs w:val="0"/>
      <w:i/>
      <w:iCs/>
      <w:smallCaps w:val="0"/>
      <w:strike w:val="0"/>
      <w:sz w:val="18"/>
      <w:szCs w:val="18"/>
      <w:u w:val="none"/>
    </w:rPr>
  </w:style>
  <w:style w:type="character" w:customStyle="1" w:styleId="Bodytext8NotItalic">
    <w:name w:val="Body text (8) + Not Italic"/>
    <w:basedOn w:val="Bodytext8"/>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Tableofcontents28ptSmallCaps">
    <w:name w:val="Table of contents (2) + 8 pt;Small Caps"/>
    <w:basedOn w:val="Verzeichnis3Zchn"/>
    <w:rPr>
      <w:rFonts w:ascii="Palatino Linotype" w:eastAsia="Palatino Linotype" w:hAnsi="Palatino Linotype" w:cs="Palatino Linotype"/>
      <w:b w:val="0"/>
      <w:bCs w:val="0"/>
      <w:i w:val="0"/>
      <w:iCs w:val="0"/>
      <w:smallCaps/>
      <w:strike w:val="0"/>
      <w:color w:val="000000"/>
      <w:spacing w:val="0"/>
      <w:w w:val="100"/>
      <w:position w:val="0"/>
      <w:sz w:val="16"/>
      <w:szCs w:val="16"/>
      <w:u w:val="none"/>
      <w:lang w:val="de-DE" w:eastAsia="de-DE" w:bidi="de-DE"/>
    </w:rPr>
  </w:style>
  <w:style w:type="character" w:customStyle="1" w:styleId="Bodytext9">
    <w:name w:val="Body text (9)_"/>
    <w:basedOn w:val="Absatz-Standardschriftart"/>
    <w:link w:val="Bodytext90"/>
    <w:rPr>
      <w:rFonts w:ascii="Palatino Linotype" w:eastAsia="Palatino Linotype" w:hAnsi="Palatino Linotype" w:cs="Palatino Linotype"/>
      <w:b/>
      <w:bCs/>
      <w:i w:val="0"/>
      <w:iCs w:val="0"/>
      <w:smallCaps w:val="0"/>
      <w:strike w:val="0"/>
      <w:sz w:val="18"/>
      <w:szCs w:val="18"/>
      <w:u w:val="none"/>
    </w:rPr>
  </w:style>
  <w:style w:type="character" w:customStyle="1" w:styleId="Tableofcontents4">
    <w:name w:val="Table of contents (4)_"/>
    <w:basedOn w:val="Absatz-Standardschriftart"/>
    <w:link w:val="Tableofcontents40"/>
    <w:rPr>
      <w:rFonts w:ascii="Palatino Linotype" w:eastAsia="Palatino Linotype" w:hAnsi="Palatino Linotype" w:cs="Palatino Linotype"/>
      <w:b w:val="0"/>
      <w:bCs w:val="0"/>
      <w:i/>
      <w:iCs/>
      <w:smallCaps w:val="0"/>
      <w:strike w:val="0"/>
      <w:sz w:val="16"/>
      <w:szCs w:val="16"/>
      <w:u w:val="none"/>
    </w:rPr>
  </w:style>
  <w:style w:type="character" w:customStyle="1" w:styleId="Tableofcontents4SmallCaps">
    <w:name w:val="Table of contents (4) + Small Caps"/>
    <w:basedOn w:val="Tableofcontents4"/>
    <w:rPr>
      <w:rFonts w:ascii="Palatino Linotype" w:eastAsia="Palatino Linotype" w:hAnsi="Palatino Linotype" w:cs="Palatino Linotype"/>
      <w:b w:val="0"/>
      <w:bCs w:val="0"/>
      <w:i/>
      <w:iCs/>
      <w:smallCaps/>
      <w:strike w:val="0"/>
      <w:color w:val="000000"/>
      <w:spacing w:val="0"/>
      <w:w w:val="100"/>
      <w:position w:val="0"/>
      <w:sz w:val="16"/>
      <w:szCs w:val="16"/>
      <w:u w:val="none"/>
      <w:lang w:val="de-DE" w:eastAsia="de-DE" w:bidi="de-DE"/>
    </w:rPr>
  </w:style>
  <w:style w:type="character" w:customStyle="1" w:styleId="Tableofcontents49ptNotItalic">
    <w:name w:val="Table of contents (4) + 9 pt;Not Italic"/>
    <w:basedOn w:val="Tableofcontents4"/>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Tableofcontents8ptSmallCaps">
    <w:name w:val="Table of contents + 8 pt;Small Caps"/>
    <w:basedOn w:val="Tableofcontents"/>
    <w:rPr>
      <w:rFonts w:ascii="Palatino Linotype" w:eastAsia="Palatino Linotype" w:hAnsi="Palatino Linotype" w:cs="Palatino Linotype"/>
      <w:b w:val="0"/>
      <w:bCs w:val="0"/>
      <w:i/>
      <w:iCs/>
      <w:smallCaps/>
      <w:strike w:val="0"/>
      <w:color w:val="000000"/>
      <w:spacing w:val="0"/>
      <w:w w:val="100"/>
      <w:position w:val="0"/>
      <w:sz w:val="16"/>
      <w:szCs w:val="16"/>
      <w:u w:val="none"/>
      <w:lang w:val="de-DE" w:eastAsia="de-DE" w:bidi="de-DE"/>
    </w:rPr>
  </w:style>
  <w:style w:type="character" w:customStyle="1" w:styleId="Bodytext81">
    <w:name w:val="Body text (8)"/>
    <w:basedOn w:val="Bodytext8"/>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Tableofcontents1">
    <w:name w:val="Table of contents"/>
    <w:basedOn w:val="Tableofcontents"/>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Tablecaption">
    <w:name w:val="Table caption_"/>
    <w:basedOn w:val="Absatz-Standardschriftart"/>
    <w:link w:val="Tablecaption0"/>
    <w:rPr>
      <w:rFonts w:ascii="Palatino Linotype" w:eastAsia="Palatino Linotype" w:hAnsi="Palatino Linotype" w:cs="Palatino Linotype"/>
      <w:b w:val="0"/>
      <w:bCs w:val="0"/>
      <w:i w:val="0"/>
      <w:iCs w:val="0"/>
      <w:smallCaps w:val="0"/>
      <w:strike w:val="0"/>
      <w:sz w:val="18"/>
      <w:szCs w:val="18"/>
      <w:u w:val="none"/>
    </w:rPr>
  </w:style>
  <w:style w:type="character" w:customStyle="1" w:styleId="Bodytext2Bold">
    <w:name w:val="Body text (2) + Bold"/>
    <w:basedOn w:val="Bodytext2"/>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style>
  <w:style w:type="character" w:customStyle="1" w:styleId="Heading4">
    <w:name w:val="Heading #4_"/>
    <w:basedOn w:val="Absatz-Standardschriftart"/>
    <w:link w:val="Heading40"/>
    <w:rPr>
      <w:rFonts w:ascii="Palatino Linotype" w:eastAsia="Palatino Linotype" w:hAnsi="Palatino Linotype" w:cs="Palatino Linotype"/>
      <w:b/>
      <w:bCs/>
      <w:i w:val="0"/>
      <w:iCs w:val="0"/>
      <w:smallCaps w:val="0"/>
      <w:strike w:val="0"/>
      <w:sz w:val="21"/>
      <w:szCs w:val="21"/>
      <w:u w:val="none"/>
    </w:rPr>
  </w:style>
  <w:style w:type="character" w:customStyle="1" w:styleId="Bodytext28pt">
    <w:name w:val="Body text (2) + 8 pt"/>
    <w:basedOn w:val="Bodytext2"/>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de-DE" w:eastAsia="de-DE" w:bidi="de-DE"/>
    </w:rPr>
  </w:style>
  <w:style w:type="character" w:customStyle="1" w:styleId="Bodytext28ptSmallCaps">
    <w:name w:val="Body text (2) + 8 pt;Small Caps"/>
    <w:basedOn w:val="Bodytext2"/>
    <w:rPr>
      <w:rFonts w:ascii="Palatino Linotype" w:eastAsia="Palatino Linotype" w:hAnsi="Palatino Linotype" w:cs="Palatino Linotype"/>
      <w:b w:val="0"/>
      <w:bCs w:val="0"/>
      <w:i w:val="0"/>
      <w:iCs w:val="0"/>
      <w:smallCaps/>
      <w:strike w:val="0"/>
      <w:color w:val="000000"/>
      <w:spacing w:val="0"/>
      <w:w w:val="100"/>
      <w:position w:val="0"/>
      <w:sz w:val="16"/>
      <w:szCs w:val="16"/>
      <w:u w:val="none"/>
      <w:lang w:val="de-DE" w:eastAsia="de-DE" w:bidi="de-DE"/>
    </w:rPr>
  </w:style>
  <w:style w:type="character" w:customStyle="1" w:styleId="Heading5">
    <w:name w:val="Heading #5_"/>
    <w:basedOn w:val="Absatz-Standardschriftart"/>
    <w:link w:val="Heading50"/>
    <w:rPr>
      <w:rFonts w:ascii="Palatino Linotype" w:eastAsia="Palatino Linotype" w:hAnsi="Palatino Linotype" w:cs="Palatino Linotype"/>
      <w:b/>
      <w:bCs/>
      <w:i w:val="0"/>
      <w:iCs w:val="0"/>
      <w:smallCaps w:val="0"/>
      <w:strike w:val="0"/>
      <w:sz w:val="18"/>
      <w:szCs w:val="18"/>
      <w:u w:val="none"/>
    </w:rPr>
  </w:style>
  <w:style w:type="character" w:customStyle="1" w:styleId="Bodytext2Italic0">
    <w:name w:val="Body text (2) + Italic"/>
    <w:basedOn w:val="Body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2Italic1">
    <w:name w:val="Body text (2) + Italic"/>
    <w:basedOn w:val="Body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25ptSpacing2pt">
    <w:name w:val="Body text (2) + 5 pt;Spacing 2 pt"/>
    <w:basedOn w:val="Bodytext2"/>
    <w:rPr>
      <w:rFonts w:ascii="Palatino Linotype" w:eastAsia="Palatino Linotype" w:hAnsi="Palatino Linotype" w:cs="Palatino Linotype"/>
      <w:b w:val="0"/>
      <w:bCs w:val="0"/>
      <w:i w:val="0"/>
      <w:iCs w:val="0"/>
      <w:smallCaps w:val="0"/>
      <w:strike w:val="0"/>
      <w:color w:val="000000"/>
      <w:spacing w:val="40"/>
      <w:w w:val="100"/>
      <w:position w:val="0"/>
      <w:sz w:val="10"/>
      <w:szCs w:val="10"/>
      <w:u w:val="none"/>
      <w:lang w:val="de-DE" w:eastAsia="de-DE" w:bidi="de-DE"/>
    </w:rPr>
  </w:style>
  <w:style w:type="character" w:customStyle="1" w:styleId="Bodytext2ItalicSmallCaps">
    <w:name w:val="Body text (2) + Italic;Small Caps"/>
    <w:basedOn w:val="Bodytext2"/>
    <w:rPr>
      <w:rFonts w:ascii="Palatino Linotype" w:eastAsia="Palatino Linotype" w:hAnsi="Palatino Linotype" w:cs="Palatino Linotype"/>
      <w:b w:val="0"/>
      <w:bCs w:val="0"/>
      <w:i/>
      <w:iCs/>
      <w:smallCaps/>
      <w:strike w:val="0"/>
      <w:color w:val="000000"/>
      <w:spacing w:val="0"/>
      <w:w w:val="100"/>
      <w:position w:val="0"/>
      <w:sz w:val="18"/>
      <w:szCs w:val="18"/>
      <w:u w:val="none"/>
      <w:lang w:val="de-DE" w:eastAsia="de-DE" w:bidi="de-DE"/>
    </w:rPr>
  </w:style>
  <w:style w:type="character" w:customStyle="1" w:styleId="Bodytext2Tahoma85ptItalic">
    <w:name w:val="Body text (2) + Tahoma;8.5 pt;Italic"/>
    <w:basedOn w:val="Bodytext2"/>
    <w:rPr>
      <w:rFonts w:ascii="Tahoma" w:eastAsia="Tahoma" w:hAnsi="Tahoma" w:cs="Tahoma"/>
      <w:b w:val="0"/>
      <w:bCs w:val="0"/>
      <w:i/>
      <w:iCs/>
      <w:smallCaps w:val="0"/>
      <w:strike w:val="0"/>
      <w:color w:val="000000"/>
      <w:spacing w:val="0"/>
      <w:w w:val="100"/>
      <w:position w:val="0"/>
      <w:sz w:val="17"/>
      <w:szCs w:val="17"/>
      <w:u w:val="none"/>
      <w:lang w:val="de-DE" w:eastAsia="de-DE" w:bidi="de-DE"/>
    </w:rPr>
  </w:style>
  <w:style w:type="character" w:customStyle="1" w:styleId="Bodytext285ptItalic">
    <w:name w:val="Body text (2) + 8.5 pt;Italic"/>
    <w:basedOn w:val="Bodytext2"/>
    <w:rPr>
      <w:rFonts w:ascii="Palatino Linotype" w:eastAsia="Palatino Linotype" w:hAnsi="Palatino Linotype" w:cs="Palatino Linotype"/>
      <w:b w:val="0"/>
      <w:bCs w:val="0"/>
      <w:i/>
      <w:iCs/>
      <w:smallCaps w:val="0"/>
      <w:strike w:val="0"/>
      <w:color w:val="000000"/>
      <w:spacing w:val="0"/>
      <w:w w:val="100"/>
      <w:position w:val="0"/>
      <w:sz w:val="17"/>
      <w:szCs w:val="17"/>
      <w:u w:val="none"/>
      <w:lang w:val="de-DE" w:eastAsia="de-DE" w:bidi="de-DE"/>
    </w:rPr>
  </w:style>
  <w:style w:type="character" w:customStyle="1" w:styleId="Bodytext2TrebuchetMS5ptItalicSpacing-1pt">
    <w:name w:val="Body text (2) + Trebuchet MS;5 pt;Italic;Spacing -1 pt"/>
    <w:basedOn w:val="Bodytext2"/>
    <w:rPr>
      <w:rFonts w:ascii="Trebuchet MS" w:eastAsia="Trebuchet MS" w:hAnsi="Trebuchet MS" w:cs="Trebuchet MS"/>
      <w:b w:val="0"/>
      <w:bCs w:val="0"/>
      <w:i/>
      <w:iCs/>
      <w:smallCaps w:val="0"/>
      <w:strike w:val="0"/>
      <w:color w:val="000000"/>
      <w:spacing w:val="-20"/>
      <w:w w:val="100"/>
      <w:position w:val="0"/>
      <w:sz w:val="10"/>
      <w:szCs w:val="10"/>
      <w:u w:val="none"/>
      <w:lang w:val="de-DE" w:eastAsia="de-DE" w:bidi="de-DE"/>
    </w:rPr>
  </w:style>
  <w:style w:type="character" w:customStyle="1" w:styleId="Heading58ptSmallCaps">
    <w:name w:val="Heading #5 + 8 pt;Small Caps"/>
    <w:basedOn w:val="Heading5"/>
    <w:rPr>
      <w:rFonts w:ascii="Palatino Linotype" w:eastAsia="Palatino Linotype" w:hAnsi="Palatino Linotype" w:cs="Palatino Linotype"/>
      <w:b/>
      <w:bCs/>
      <w:i w:val="0"/>
      <w:iCs w:val="0"/>
      <w:smallCaps/>
      <w:strike w:val="0"/>
      <w:color w:val="000000"/>
      <w:spacing w:val="0"/>
      <w:w w:val="100"/>
      <w:position w:val="0"/>
      <w:sz w:val="16"/>
      <w:szCs w:val="16"/>
      <w:u w:val="none"/>
      <w:lang w:val="de-DE" w:eastAsia="de-DE" w:bidi="de-DE"/>
    </w:rPr>
  </w:style>
  <w:style w:type="character" w:customStyle="1" w:styleId="Bodytext28ptSmallCapsSpacing0pt">
    <w:name w:val="Body text (2) + 8 pt;Small Caps;Spacing 0 pt"/>
    <w:basedOn w:val="Bodytext2"/>
    <w:rPr>
      <w:rFonts w:ascii="Palatino Linotype" w:eastAsia="Palatino Linotype" w:hAnsi="Palatino Linotype" w:cs="Palatino Linotype"/>
      <w:b w:val="0"/>
      <w:bCs w:val="0"/>
      <w:i w:val="0"/>
      <w:iCs w:val="0"/>
      <w:smallCaps/>
      <w:strike w:val="0"/>
      <w:color w:val="000000"/>
      <w:spacing w:val="10"/>
      <w:w w:val="100"/>
      <w:position w:val="0"/>
      <w:sz w:val="16"/>
      <w:szCs w:val="16"/>
      <w:u w:val="none"/>
      <w:lang w:val="de-DE" w:eastAsia="de-DE" w:bidi="de-DE"/>
    </w:rPr>
  </w:style>
  <w:style w:type="character" w:customStyle="1" w:styleId="Bodytext98ptSmallCaps">
    <w:name w:val="Body text (9) + 8 pt;Small Caps"/>
    <w:basedOn w:val="Bodytext9"/>
    <w:rPr>
      <w:rFonts w:ascii="Palatino Linotype" w:eastAsia="Palatino Linotype" w:hAnsi="Palatino Linotype" w:cs="Palatino Linotype"/>
      <w:b/>
      <w:bCs/>
      <w:i w:val="0"/>
      <w:iCs w:val="0"/>
      <w:smallCaps/>
      <w:strike w:val="0"/>
      <w:color w:val="000000"/>
      <w:spacing w:val="0"/>
      <w:w w:val="100"/>
      <w:position w:val="0"/>
      <w:sz w:val="16"/>
      <w:szCs w:val="16"/>
      <w:u w:val="none"/>
      <w:lang w:val="de-DE" w:eastAsia="de-DE" w:bidi="de-DE"/>
    </w:rPr>
  </w:style>
  <w:style w:type="character" w:customStyle="1" w:styleId="HeaderorfooterSpacing0pt">
    <w:name w:val="Header or footer + Spacing 0 pt"/>
    <w:basedOn w:val="Headerorfooter"/>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de-DE" w:eastAsia="de-DE" w:bidi="de-DE"/>
    </w:rPr>
  </w:style>
  <w:style w:type="character" w:customStyle="1" w:styleId="Bodytext675ptItalic">
    <w:name w:val="Body text (6) + 7.5 pt;Italic"/>
    <w:basedOn w:val="Bodytext6"/>
    <w:rPr>
      <w:rFonts w:ascii="Palatino Linotype" w:eastAsia="Palatino Linotype" w:hAnsi="Palatino Linotype" w:cs="Palatino Linotype"/>
      <w:b w:val="0"/>
      <w:bCs w:val="0"/>
      <w:i/>
      <w:iCs/>
      <w:smallCaps w:val="0"/>
      <w:strike w:val="0"/>
      <w:color w:val="000000"/>
      <w:spacing w:val="0"/>
      <w:w w:val="100"/>
      <w:position w:val="0"/>
      <w:sz w:val="15"/>
      <w:szCs w:val="15"/>
      <w:u w:val="none"/>
      <w:lang w:val="de-DE" w:eastAsia="de-DE" w:bidi="de-DE"/>
    </w:rPr>
  </w:style>
  <w:style w:type="character" w:customStyle="1" w:styleId="Bodytext67ptSmallCaps">
    <w:name w:val="Body text (6) + 7 pt;Small Caps"/>
    <w:basedOn w:val="Bodytext6"/>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11Exact">
    <w:name w:val="Body text (11) Exact"/>
    <w:basedOn w:val="Absatz-Standardschriftart"/>
    <w:link w:val="Bodytext11"/>
    <w:rPr>
      <w:rFonts w:ascii="Palatino Linotype" w:eastAsia="Palatino Linotype" w:hAnsi="Palatino Linotype" w:cs="Palatino Linotype"/>
      <w:b w:val="0"/>
      <w:bCs w:val="0"/>
      <w:i w:val="0"/>
      <w:iCs w:val="0"/>
      <w:smallCaps w:val="0"/>
      <w:strike w:val="0"/>
      <w:sz w:val="11"/>
      <w:szCs w:val="11"/>
      <w:u w:val="none"/>
    </w:rPr>
  </w:style>
  <w:style w:type="character" w:customStyle="1" w:styleId="PicturecaptionExact">
    <w:name w:val="Picture caption Exact"/>
    <w:basedOn w:val="Absatz-Standardschriftart"/>
    <w:rPr>
      <w:rFonts w:ascii="Arial" w:eastAsia="Arial" w:hAnsi="Arial" w:cs="Arial"/>
      <w:b w:val="0"/>
      <w:bCs w:val="0"/>
      <w:i w:val="0"/>
      <w:iCs w:val="0"/>
      <w:smallCaps w:val="0"/>
      <w:strike w:val="0"/>
      <w:sz w:val="15"/>
      <w:szCs w:val="15"/>
      <w:u w:val="none"/>
    </w:rPr>
  </w:style>
  <w:style w:type="character" w:customStyle="1" w:styleId="Bodytext28ptBoldSmallCaps">
    <w:name w:val="Body text (2) + 8 pt;Bold;Small Caps"/>
    <w:basedOn w:val="Bodytext2"/>
    <w:rPr>
      <w:rFonts w:ascii="Palatino Linotype" w:eastAsia="Palatino Linotype" w:hAnsi="Palatino Linotype" w:cs="Palatino Linotype"/>
      <w:b/>
      <w:bCs/>
      <w:i w:val="0"/>
      <w:iCs w:val="0"/>
      <w:smallCaps/>
      <w:strike w:val="0"/>
      <w:color w:val="000000"/>
      <w:spacing w:val="0"/>
      <w:w w:val="100"/>
      <w:position w:val="0"/>
      <w:sz w:val="16"/>
      <w:szCs w:val="16"/>
      <w:u w:val="none"/>
      <w:lang w:val="de-DE" w:eastAsia="de-DE" w:bidi="de-DE"/>
    </w:rPr>
  </w:style>
  <w:style w:type="character" w:customStyle="1" w:styleId="Bodytext10">
    <w:name w:val="Body text (10)_"/>
    <w:basedOn w:val="Absatz-Standardschriftart"/>
    <w:link w:val="Bodytext100"/>
    <w:rPr>
      <w:rFonts w:ascii="Palatino Linotype" w:eastAsia="Palatino Linotype" w:hAnsi="Palatino Linotype" w:cs="Palatino Linotype"/>
      <w:b/>
      <w:bCs/>
      <w:i/>
      <w:iCs/>
      <w:smallCaps w:val="0"/>
      <w:strike w:val="0"/>
      <w:sz w:val="17"/>
      <w:szCs w:val="17"/>
      <w:u w:val="none"/>
    </w:rPr>
  </w:style>
  <w:style w:type="character" w:customStyle="1" w:styleId="Bodytext109ptNotItalic">
    <w:name w:val="Body text (10) + 9 pt;Not Italic"/>
    <w:basedOn w:val="Bodytext10"/>
    <w:rPr>
      <w:rFonts w:ascii="Palatino Linotype" w:eastAsia="Palatino Linotype" w:hAnsi="Palatino Linotype" w:cs="Palatino Linotype"/>
      <w:b/>
      <w:bCs/>
      <w:i/>
      <w:iCs/>
      <w:smallCaps w:val="0"/>
      <w:strike w:val="0"/>
      <w:color w:val="000000"/>
      <w:spacing w:val="0"/>
      <w:w w:val="100"/>
      <w:position w:val="0"/>
      <w:sz w:val="18"/>
      <w:szCs w:val="18"/>
      <w:u w:val="none"/>
      <w:lang w:val="de-DE" w:eastAsia="de-DE" w:bidi="de-DE"/>
    </w:rPr>
  </w:style>
  <w:style w:type="character" w:customStyle="1" w:styleId="Bodytext12">
    <w:name w:val="Body text (12)_"/>
    <w:basedOn w:val="Absatz-Standardschriftart"/>
    <w:link w:val="Bodytext120"/>
    <w:rPr>
      <w:rFonts w:ascii="Arial" w:eastAsia="Arial" w:hAnsi="Arial" w:cs="Arial"/>
      <w:b w:val="0"/>
      <w:bCs w:val="0"/>
      <w:i w:val="0"/>
      <w:iCs w:val="0"/>
      <w:smallCaps w:val="0"/>
      <w:strike w:val="0"/>
      <w:sz w:val="15"/>
      <w:szCs w:val="15"/>
      <w:u w:val="none"/>
    </w:rPr>
  </w:style>
  <w:style w:type="character" w:customStyle="1" w:styleId="Bodytext285ptBoldItalic">
    <w:name w:val="Body text (2) + 8.5 pt;Bold;Italic"/>
    <w:basedOn w:val="Bodytext2"/>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style>
  <w:style w:type="character" w:customStyle="1" w:styleId="HeaderorfooterSpacing0pt0">
    <w:name w:val="Header or footer + Spacing 0 pt"/>
    <w:basedOn w:val="Headerorfooter"/>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de-DE" w:eastAsia="de-DE" w:bidi="de-DE"/>
    </w:rPr>
  </w:style>
  <w:style w:type="character" w:customStyle="1" w:styleId="HeaderorfooterSpacing0pt1">
    <w:name w:val="Header or footer + Spacing 0 pt"/>
    <w:basedOn w:val="Headerorfooter"/>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de-DE" w:eastAsia="de-DE" w:bidi="de-DE"/>
    </w:rPr>
  </w:style>
  <w:style w:type="character" w:customStyle="1" w:styleId="Bodytext108ptNotBoldNotItalicSmallCaps">
    <w:name w:val="Body text (10) + 8 pt;Not Bold;Not Italic;Small Caps"/>
    <w:basedOn w:val="Bodytext10"/>
    <w:rPr>
      <w:rFonts w:ascii="Palatino Linotype" w:eastAsia="Palatino Linotype" w:hAnsi="Palatino Linotype" w:cs="Palatino Linotype"/>
      <w:b/>
      <w:bCs/>
      <w:i/>
      <w:iCs/>
      <w:smallCaps/>
      <w:strike w:val="0"/>
      <w:color w:val="000000"/>
      <w:spacing w:val="0"/>
      <w:w w:val="100"/>
      <w:position w:val="0"/>
      <w:sz w:val="16"/>
      <w:szCs w:val="16"/>
      <w:u w:val="none"/>
      <w:lang w:val="de-DE" w:eastAsia="de-DE" w:bidi="de-DE"/>
    </w:rPr>
  </w:style>
  <w:style w:type="character" w:customStyle="1" w:styleId="Bodytext109ptNotBoldNotItalic">
    <w:name w:val="Body text (10) + 9 pt;Not Bold;Not Italic"/>
    <w:basedOn w:val="Bodytext10"/>
    <w:rPr>
      <w:rFonts w:ascii="Palatino Linotype" w:eastAsia="Palatino Linotype" w:hAnsi="Palatino Linotype" w:cs="Palatino Linotype"/>
      <w:b/>
      <w:bCs/>
      <w:i/>
      <w:iCs/>
      <w:smallCaps w:val="0"/>
      <w:strike w:val="0"/>
      <w:color w:val="000000"/>
      <w:spacing w:val="0"/>
      <w:w w:val="100"/>
      <w:position w:val="0"/>
      <w:sz w:val="18"/>
      <w:szCs w:val="18"/>
      <w:u w:val="none"/>
      <w:lang w:val="de-DE" w:eastAsia="de-DE" w:bidi="de-DE"/>
    </w:rPr>
  </w:style>
  <w:style w:type="character" w:customStyle="1" w:styleId="Bodytext13Exact">
    <w:name w:val="Body text (13) Exact"/>
    <w:basedOn w:val="Absatz-Standardschriftart"/>
    <w:link w:val="Bodytext13"/>
    <w:rPr>
      <w:rFonts w:ascii="Palatino Linotype" w:eastAsia="Palatino Linotype" w:hAnsi="Palatino Linotype" w:cs="Palatino Linotype"/>
      <w:b w:val="0"/>
      <w:bCs w:val="0"/>
      <w:i w:val="0"/>
      <w:iCs w:val="0"/>
      <w:smallCaps w:val="0"/>
      <w:strike w:val="0"/>
      <w:sz w:val="10"/>
      <w:szCs w:val="10"/>
      <w:u w:val="none"/>
    </w:rPr>
  </w:style>
  <w:style w:type="character" w:customStyle="1" w:styleId="Bodytext2Arial75pt">
    <w:name w:val="Body text (2) + Arial;7.5 pt"/>
    <w:basedOn w:val="Bodytext2"/>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275pt0">
    <w:name w:val="Body text (2) + 7.5 pt"/>
    <w:basedOn w:val="Bodytext2"/>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2ArialSpacing0pt">
    <w:name w:val="Body text (2) + Arial;Spacing 0 pt"/>
    <w:basedOn w:val="Bodytext2"/>
    <w:rPr>
      <w:rFonts w:ascii="Arial" w:eastAsia="Arial" w:hAnsi="Arial" w:cs="Arial"/>
      <w:b/>
      <w:bCs/>
      <w:i w:val="0"/>
      <w:iCs w:val="0"/>
      <w:smallCaps w:val="0"/>
      <w:strike w:val="0"/>
      <w:color w:val="000000"/>
      <w:spacing w:val="-10"/>
      <w:w w:val="100"/>
      <w:position w:val="0"/>
      <w:sz w:val="18"/>
      <w:szCs w:val="18"/>
      <w:u w:val="none"/>
      <w:lang w:val="de-DE" w:eastAsia="de-DE" w:bidi="de-DE"/>
    </w:rPr>
  </w:style>
  <w:style w:type="character" w:customStyle="1" w:styleId="Bodytext295ptBoldSpacing0pt">
    <w:name w:val="Body text (2) + 9.5 pt;Bold;Spacing 0 pt"/>
    <w:basedOn w:val="Bodytext2"/>
    <w:rPr>
      <w:rFonts w:ascii="Palatino Linotype" w:eastAsia="Palatino Linotype" w:hAnsi="Palatino Linotype" w:cs="Palatino Linotype"/>
      <w:b/>
      <w:bCs/>
      <w:i w:val="0"/>
      <w:iCs w:val="0"/>
      <w:smallCaps w:val="0"/>
      <w:strike w:val="0"/>
      <w:color w:val="000000"/>
      <w:spacing w:val="-10"/>
      <w:w w:val="100"/>
      <w:position w:val="0"/>
      <w:sz w:val="19"/>
      <w:szCs w:val="19"/>
      <w:u w:val="none"/>
      <w:lang w:val="de-DE" w:eastAsia="de-DE" w:bidi="de-DE"/>
    </w:rPr>
  </w:style>
  <w:style w:type="character" w:customStyle="1" w:styleId="Bodytext275ptSpacing0pt">
    <w:name w:val="Body text (2) + 7.5 pt;Spacing 0 pt"/>
    <w:basedOn w:val="Bodytext2"/>
    <w:rPr>
      <w:rFonts w:ascii="Palatino Linotype" w:eastAsia="Palatino Linotype" w:hAnsi="Palatino Linotype" w:cs="Palatino Linotype"/>
      <w:b w:val="0"/>
      <w:bCs w:val="0"/>
      <w:i w:val="0"/>
      <w:iCs w:val="0"/>
      <w:smallCaps w:val="0"/>
      <w:strike w:val="0"/>
      <w:color w:val="000000"/>
      <w:spacing w:val="-10"/>
      <w:w w:val="100"/>
      <w:position w:val="0"/>
      <w:sz w:val="15"/>
      <w:szCs w:val="15"/>
      <w:u w:val="none"/>
      <w:lang w:val="de-DE" w:eastAsia="de-DE" w:bidi="de-DE"/>
    </w:rPr>
  </w:style>
  <w:style w:type="character" w:customStyle="1" w:styleId="Bodytext275ptSmallCaps">
    <w:name w:val="Body text (2) + 7.5 pt;Small Caps"/>
    <w:basedOn w:val="Bodytext2"/>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de-DE" w:eastAsia="de-DE" w:bidi="de-DE"/>
    </w:rPr>
  </w:style>
  <w:style w:type="character" w:customStyle="1" w:styleId="Bodytext14Exact">
    <w:name w:val="Body text (14) Exact"/>
    <w:basedOn w:val="Absatz-Standardschriftart"/>
    <w:link w:val="Bodytext14"/>
    <w:rPr>
      <w:rFonts w:ascii="Arial" w:eastAsia="Arial" w:hAnsi="Arial" w:cs="Arial"/>
      <w:b/>
      <w:bCs/>
      <w:i w:val="0"/>
      <w:iCs w:val="0"/>
      <w:smallCaps w:val="0"/>
      <w:strike w:val="0"/>
      <w:sz w:val="15"/>
      <w:szCs w:val="15"/>
      <w:u w:val="none"/>
    </w:rPr>
  </w:style>
  <w:style w:type="character" w:customStyle="1" w:styleId="Bodytext6SmallCaps">
    <w:name w:val="Body text (6) + Small Caps"/>
    <w:basedOn w:val="Bodytext6"/>
    <w:rPr>
      <w:rFonts w:ascii="Palatino Linotype" w:eastAsia="Palatino Linotype" w:hAnsi="Palatino Linotype" w:cs="Palatino Linotype"/>
      <w:b w:val="0"/>
      <w:bCs w:val="0"/>
      <w:i w:val="0"/>
      <w:iCs w:val="0"/>
      <w:smallCaps/>
      <w:strike w:val="0"/>
      <w:color w:val="000000"/>
      <w:spacing w:val="0"/>
      <w:w w:val="100"/>
      <w:position w:val="0"/>
      <w:sz w:val="16"/>
      <w:szCs w:val="16"/>
      <w:u w:val="none"/>
      <w:lang w:val="de-DE" w:eastAsia="de-DE" w:bidi="de-DE"/>
    </w:rPr>
  </w:style>
  <w:style w:type="character" w:customStyle="1" w:styleId="Bodytext67pt">
    <w:name w:val="Body text (6) + 7 pt"/>
    <w:basedOn w:val="Bodytext6"/>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Bodytext210ptItalic">
    <w:name w:val="Body text (2) + 10 pt;Italic"/>
    <w:basedOn w:val="Bodytext2"/>
    <w:rPr>
      <w:rFonts w:ascii="Palatino Linotype" w:eastAsia="Palatino Linotype" w:hAnsi="Palatino Linotype" w:cs="Palatino Linotype"/>
      <w:b w:val="0"/>
      <w:bCs w:val="0"/>
      <w:i/>
      <w:iCs/>
      <w:smallCaps w:val="0"/>
      <w:strike w:val="0"/>
      <w:color w:val="000000"/>
      <w:spacing w:val="0"/>
      <w:w w:val="100"/>
      <w:position w:val="0"/>
      <w:sz w:val="20"/>
      <w:szCs w:val="20"/>
      <w:u w:val="none"/>
      <w:lang w:val="de-DE" w:eastAsia="de-DE" w:bidi="de-DE"/>
    </w:rPr>
  </w:style>
  <w:style w:type="character" w:customStyle="1" w:styleId="Bodytext210pt">
    <w:name w:val="Body text (2) + 10 pt"/>
    <w:basedOn w:val="Body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12SmallCaps">
    <w:name w:val="Body text (12) + Small Caps"/>
    <w:basedOn w:val="Bodytext12"/>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Headerorfooter7ptSpacing0pt">
    <w:name w:val="Header or footer + 7 pt;Spacing 0 pt"/>
    <w:basedOn w:val="Headerorfooter"/>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Headerorfooter7ptSmallCaps">
    <w:name w:val="Header or footer + 7 pt;Small Caps"/>
    <w:basedOn w:val="Headerorfooter"/>
    <w:rPr>
      <w:rFonts w:ascii="Palatino Linotype" w:eastAsia="Palatino Linotype" w:hAnsi="Palatino Linotype" w:cs="Palatino Linotype"/>
      <w:b w:val="0"/>
      <w:bCs w:val="0"/>
      <w:i w:val="0"/>
      <w:iCs w:val="0"/>
      <w:smallCaps/>
      <w:strike w:val="0"/>
      <w:color w:val="000000"/>
      <w:spacing w:val="10"/>
      <w:w w:val="100"/>
      <w:position w:val="0"/>
      <w:sz w:val="14"/>
      <w:szCs w:val="14"/>
      <w:u w:val="none"/>
      <w:lang w:val="de-DE" w:eastAsia="de-DE" w:bidi="de-DE"/>
    </w:rPr>
  </w:style>
  <w:style w:type="character" w:customStyle="1" w:styleId="Headerorfooter75ptSpacing0pt">
    <w:name w:val="Header or footer + 7.5 pt;Spacing 0 pt"/>
    <w:basedOn w:val="Headerorfooter"/>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2Bold0">
    <w:name w:val="Body text (2) + Bold"/>
    <w:basedOn w:val="Bodytext2"/>
    <w:rPr>
      <w:rFonts w:ascii="Palatino Linotype" w:eastAsia="Palatino Linotype" w:hAnsi="Palatino Linotype" w:cs="Palatino Linotype"/>
      <w:b/>
      <w:bCs/>
      <w:i w:val="0"/>
      <w:iCs w:val="0"/>
      <w:smallCaps w:val="0"/>
      <w:strike w:val="0"/>
      <w:color w:val="000000"/>
      <w:spacing w:val="0"/>
      <w:w w:val="100"/>
      <w:position w:val="0"/>
      <w:sz w:val="18"/>
      <w:szCs w:val="18"/>
      <w:u w:val="none"/>
      <w:lang w:val="de-DE" w:eastAsia="de-DE" w:bidi="de-DE"/>
    </w:rPr>
  </w:style>
  <w:style w:type="character" w:customStyle="1" w:styleId="Bodytext210pt0">
    <w:name w:val="Body text (2) + 10 pt"/>
    <w:basedOn w:val="Body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Headerorfooter3">
    <w:name w:val="Header or footer (3)_"/>
    <w:basedOn w:val="Absatz-Standardschriftart"/>
    <w:link w:val="Headerorfooter30"/>
    <w:rPr>
      <w:rFonts w:ascii="Palatino Linotype" w:eastAsia="Palatino Linotype" w:hAnsi="Palatino Linotype" w:cs="Palatino Linotype"/>
      <w:b w:val="0"/>
      <w:bCs w:val="0"/>
      <w:i w:val="0"/>
      <w:iCs w:val="0"/>
      <w:smallCaps w:val="0"/>
      <w:strike w:val="0"/>
      <w:sz w:val="15"/>
      <w:szCs w:val="15"/>
      <w:u w:val="none"/>
    </w:rPr>
  </w:style>
  <w:style w:type="character" w:customStyle="1" w:styleId="Headerorfooter385pt">
    <w:name w:val="Header or footer (3) + 8.5 pt"/>
    <w:basedOn w:val="Headerorfooter3"/>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de-DE" w:eastAsia="de-DE" w:bidi="de-DE"/>
    </w:rPr>
  </w:style>
  <w:style w:type="character" w:customStyle="1" w:styleId="Headerorfooter3Spacing0pt">
    <w:name w:val="Header or footer (3) + Spacing 0 pt"/>
    <w:basedOn w:val="Headerorfooter3"/>
    <w:rPr>
      <w:rFonts w:ascii="Palatino Linotype" w:eastAsia="Palatino Linotype" w:hAnsi="Palatino Linotype" w:cs="Palatino Linotype"/>
      <w:b w:val="0"/>
      <w:bCs w:val="0"/>
      <w:i w:val="0"/>
      <w:iCs w:val="0"/>
      <w:smallCaps w:val="0"/>
      <w:strike w:val="0"/>
      <w:color w:val="000000"/>
      <w:spacing w:val="10"/>
      <w:w w:val="100"/>
      <w:position w:val="0"/>
      <w:sz w:val="15"/>
      <w:szCs w:val="15"/>
      <w:u w:val="none"/>
      <w:lang w:val="de-DE" w:eastAsia="de-DE" w:bidi="de-DE"/>
    </w:rPr>
  </w:style>
  <w:style w:type="character" w:customStyle="1" w:styleId="Bodytext28ptBold">
    <w:name w:val="Body text (2) + 8 pt;Bold"/>
    <w:basedOn w:val="Bodytext2"/>
    <w:rPr>
      <w:rFonts w:ascii="Palatino Linotype" w:eastAsia="Palatino Linotype" w:hAnsi="Palatino Linotype" w:cs="Palatino Linotype"/>
      <w:b/>
      <w:bCs/>
      <w:i w:val="0"/>
      <w:iCs w:val="0"/>
      <w:smallCaps w:val="0"/>
      <w:strike w:val="0"/>
      <w:color w:val="000000"/>
      <w:spacing w:val="0"/>
      <w:w w:val="100"/>
      <w:position w:val="0"/>
      <w:sz w:val="16"/>
      <w:szCs w:val="16"/>
      <w:u w:val="none"/>
      <w:lang w:val="de-DE" w:eastAsia="de-DE" w:bidi="de-DE"/>
    </w:rPr>
  </w:style>
  <w:style w:type="character" w:customStyle="1" w:styleId="Bodytext2Arial85ptExact">
    <w:name w:val="Body text (2) + Arial;8.5 pt Exact"/>
    <w:basedOn w:val="Bodytext2"/>
    <w:rPr>
      <w:rFonts w:ascii="Arial" w:eastAsia="Arial" w:hAnsi="Arial" w:cs="Arial"/>
      <w:b w:val="0"/>
      <w:bCs w:val="0"/>
      <w:i w:val="0"/>
      <w:iCs w:val="0"/>
      <w:smallCaps w:val="0"/>
      <w:strike w:val="0"/>
      <w:color w:val="000000"/>
      <w:spacing w:val="0"/>
      <w:w w:val="100"/>
      <w:position w:val="0"/>
      <w:sz w:val="17"/>
      <w:szCs w:val="17"/>
      <w:u w:val="none"/>
      <w:lang w:val="de-DE" w:eastAsia="de-DE" w:bidi="de-DE"/>
    </w:rPr>
  </w:style>
  <w:style w:type="character" w:customStyle="1" w:styleId="Bodytext210ptExact">
    <w:name w:val="Body text (2) + 10 pt Exact"/>
    <w:basedOn w:val="Body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2AngsanaUPC14ptExact">
    <w:name w:val="Body text (2) + AngsanaUPC;14 pt Exact"/>
    <w:basedOn w:val="Bodytext2"/>
    <w:rPr>
      <w:rFonts w:ascii="AngsanaUPC" w:eastAsia="AngsanaUPC" w:hAnsi="AngsanaUPC" w:cs="AngsanaUPC"/>
      <w:b w:val="0"/>
      <w:bCs w:val="0"/>
      <w:i w:val="0"/>
      <w:iCs w:val="0"/>
      <w:smallCaps w:val="0"/>
      <w:strike w:val="0"/>
      <w:color w:val="000000"/>
      <w:spacing w:val="0"/>
      <w:w w:val="100"/>
      <w:position w:val="0"/>
      <w:sz w:val="28"/>
      <w:szCs w:val="28"/>
      <w:u w:val="none"/>
      <w:lang w:val="de-DE" w:eastAsia="de-DE" w:bidi="de-DE"/>
    </w:rPr>
  </w:style>
  <w:style w:type="character" w:customStyle="1" w:styleId="Bodytext2ArialExact">
    <w:name w:val="Body text (2) + Arial Exact"/>
    <w:basedOn w:val="Bodytext2"/>
    <w:rPr>
      <w:rFonts w:ascii="Arial" w:eastAsia="Arial" w:hAnsi="Arial" w:cs="Arial"/>
      <w:b w:val="0"/>
      <w:bCs w:val="0"/>
      <w:i w:val="0"/>
      <w:iCs w:val="0"/>
      <w:smallCaps w:val="0"/>
      <w:strike w:val="0"/>
      <w:color w:val="000000"/>
      <w:spacing w:val="0"/>
      <w:w w:val="100"/>
      <w:position w:val="0"/>
      <w:sz w:val="18"/>
      <w:szCs w:val="18"/>
      <w:u w:val="none"/>
      <w:lang w:val="de-DE" w:eastAsia="de-DE" w:bidi="de-DE"/>
    </w:rPr>
  </w:style>
  <w:style w:type="character" w:customStyle="1" w:styleId="Bodytext255ptSmallCapsSpacing1pt">
    <w:name w:val="Body text (2) + 5.5 pt;Small Caps;Spacing 1 pt"/>
    <w:basedOn w:val="Bodytext2"/>
    <w:rPr>
      <w:rFonts w:ascii="Palatino Linotype" w:eastAsia="Palatino Linotype" w:hAnsi="Palatino Linotype" w:cs="Palatino Linotype"/>
      <w:b w:val="0"/>
      <w:bCs w:val="0"/>
      <w:i w:val="0"/>
      <w:iCs w:val="0"/>
      <w:smallCaps/>
      <w:strike w:val="0"/>
      <w:color w:val="000000"/>
      <w:spacing w:val="20"/>
      <w:w w:val="100"/>
      <w:position w:val="0"/>
      <w:sz w:val="11"/>
      <w:szCs w:val="11"/>
      <w:u w:val="none"/>
      <w:lang w:val="de-DE" w:eastAsia="de-DE" w:bidi="de-DE"/>
    </w:rPr>
  </w:style>
  <w:style w:type="character" w:customStyle="1" w:styleId="Bodytext69ptItalic">
    <w:name w:val="Body text (6) + 9 pt;Italic"/>
    <w:basedOn w:val="Bodytext6"/>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69pt">
    <w:name w:val="Body text (6) + 9 pt"/>
    <w:basedOn w:val="Bodytext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style>
  <w:style w:type="character" w:customStyle="1" w:styleId="Heading52">
    <w:name w:val="Heading #5 (2)_"/>
    <w:basedOn w:val="Absatz-Standardschriftart"/>
    <w:link w:val="Heading520"/>
    <w:rPr>
      <w:rFonts w:ascii="Palatino Linotype" w:eastAsia="Palatino Linotype" w:hAnsi="Palatino Linotype" w:cs="Palatino Linotype"/>
      <w:b w:val="0"/>
      <w:bCs w:val="0"/>
      <w:i w:val="0"/>
      <w:iCs w:val="0"/>
      <w:smallCaps w:val="0"/>
      <w:strike w:val="0"/>
      <w:sz w:val="18"/>
      <w:szCs w:val="18"/>
      <w:u w:val="none"/>
    </w:rPr>
  </w:style>
  <w:style w:type="character" w:customStyle="1" w:styleId="Bodytext6Candara6pt">
    <w:name w:val="Body text (6) + Candara;6 pt"/>
    <w:basedOn w:val="Bodytext6"/>
    <w:rPr>
      <w:rFonts w:ascii="Candara" w:eastAsia="Candara" w:hAnsi="Candara" w:cs="Candara"/>
      <w:b w:val="0"/>
      <w:bCs w:val="0"/>
      <w:i w:val="0"/>
      <w:iCs w:val="0"/>
      <w:smallCaps w:val="0"/>
      <w:strike w:val="0"/>
      <w:color w:val="000000"/>
      <w:spacing w:val="0"/>
      <w:w w:val="100"/>
      <w:position w:val="0"/>
      <w:sz w:val="12"/>
      <w:szCs w:val="12"/>
      <w:u w:val="none"/>
      <w:lang w:val="de-DE" w:eastAsia="de-DE" w:bidi="de-DE"/>
    </w:rPr>
  </w:style>
  <w:style w:type="character" w:customStyle="1" w:styleId="Picturecaption">
    <w:name w:val="Picture caption_"/>
    <w:basedOn w:val="Absatz-Standardschriftart"/>
    <w:link w:val="Picturecaption0"/>
    <w:rPr>
      <w:rFonts w:ascii="Arial" w:eastAsia="Arial" w:hAnsi="Arial" w:cs="Arial"/>
      <w:b w:val="0"/>
      <w:bCs w:val="0"/>
      <w:i w:val="0"/>
      <w:iCs w:val="0"/>
      <w:smallCaps w:val="0"/>
      <w:strike w:val="0"/>
      <w:sz w:val="15"/>
      <w:szCs w:val="15"/>
      <w:u w:val="none"/>
    </w:rPr>
  </w:style>
  <w:style w:type="character" w:customStyle="1" w:styleId="Bodytext675pt">
    <w:name w:val="Body text (6) + 7.5 pt"/>
    <w:basedOn w:val="Bodytext6"/>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6Arial5ptBoldSpacing0pt">
    <w:name w:val="Body text (6) + Arial;5 pt;Bold;Spacing 0 pt"/>
    <w:basedOn w:val="Bodytext6"/>
    <w:rPr>
      <w:rFonts w:ascii="Arial" w:eastAsia="Arial" w:hAnsi="Arial" w:cs="Arial"/>
      <w:b/>
      <w:bCs/>
      <w:i w:val="0"/>
      <w:iCs w:val="0"/>
      <w:smallCaps w:val="0"/>
      <w:strike w:val="0"/>
      <w:color w:val="000000"/>
      <w:spacing w:val="10"/>
      <w:w w:val="100"/>
      <w:position w:val="0"/>
      <w:sz w:val="10"/>
      <w:szCs w:val="10"/>
      <w:u w:val="none"/>
      <w:lang w:val="de-DE" w:eastAsia="de-DE" w:bidi="de-DE"/>
    </w:rPr>
  </w:style>
  <w:style w:type="character" w:customStyle="1" w:styleId="Bodytext15Exact">
    <w:name w:val="Body text (15) Exact"/>
    <w:basedOn w:val="Absatz-Standardschriftart"/>
    <w:rPr>
      <w:rFonts w:ascii="Palatino Linotype" w:eastAsia="Palatino Linotype" w:hAnsi="Palatino Linotype" w:cs="Palatino Linotype"/>
      <w:b w:val="0"/>
      <w:bCs w:val="0"/>
      <w:i w:val="0"/>
      <w:iCs w:val="0"/>
      <w:smallCaps w:val="0"/>
      <w:strike w:val="0"/>
      <w:sz w:val="14"/>
      <w:szCs w:val="14"/>
      <w:u w:val="none"/>
    </w:rPr>
  </w:style>
  <w:style w:type="character" w:customStyle="1" w:styleId="Bodytext27pt">
    <w:name w:val="Body text (2) + 7 pt"/>
    <w:basedOn w:val="Bodytext2"/>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Bodytext27ptSmallCaps">
    <w:name w:val="Body text (2) + 7 pt;Small Caps"/>
    <w:basedOn w:val="Bodytext2"/>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11Exact0">
    <w:name w:val="Body text (11) Exact"/>
    <w:basedOn w:val="Bodytext11Exact"/>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Bodytext10TrebuchetMS5ptNotBoldSmallCaps">
    <w:name w:val="Body text (10) + Trebuchet MS;5 pt;Not Bold;Small Caps"/>
    <w:basedOn w:val="Bodytext10"/>
    <w:rPr>
      <w:rFonts w:ascii="Trebuchet MS" w:eastAsia="Trebuchet MS" w:hAnsi="Trebuchet MS" w:cs="Trebuchet MS"/>
      <w:b/>
      <w:bCs/>
      <w:i/>
      <w:iCs/>
      <w:smallCaps/>
      <w:strike w:val="0"/>
      <w:color w:val="000000"/>
      <w:spacing w:val="0"/>
      <w:w w:val="100"/>
      <w:position w:val="0"/>
      <w:sz w:val="10"/>
      <w:szCs w:val="10"/>
      <w:u w:val="none"/>
      <w:lang w:val="de-DE" w:eastAsia="de-DE" w:bidi="de-DE"/>
    </w:rPr>
  </w:style>
  <w:style w:type="character" w:customStyle="1" w:styleId="Bodytext67ptSmallCapsSpacing0pt">
    <w:name w:val="Body text (6) + 7 pt;Small Caps;Spacing 0 pt"/>
    <w:basedOn w:val="Bodytext6"/>
    <w:rPr>
      <w:rFonts w:ascii="Palatino Linotype" w:eastAsia="Palatino Linotype" w:hAnsi="Palatino Linotype" w:cs="Palatino Linotype"/>
      <w:b w:val="0"/>
      <w:bCs w:val="0"/>
      <w:i w:val="0"/>
      <w:iCs w:val="0"/>
      <w:smallCaps/>
      <w:strike w:val="0"/>
      <w:color w:val="000000"/>
      <w:spacing w:val="10"/>
      <w:w w:val="100"/>
      <w:position w:val="0"/>
      <w:sz w:val="14"/>
      <w:szCs w:val="14"/>
      <w:u w:val="none"/>
      <w:lang w:val="de-DE" w:eastAsia="de-DE" w:bidi="de-DE"/>
    </w:rPr>
  </w:style>
  <w:style w:type="character" w:customStyle="1" w:styleId="Bodytext2Arial6pt">
    <w:name w:val="Body text (2) + Arial;6 pt"/>
    <w:basedOn w:val="Bodytext2"/>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Bodytext24ptBoldItalic">
    <w:name w:val="Body text (2) + 4 pt;Bold;Italic"/>
    <w:basedOn w:val="Bodytext2"/>
    <w:rPr>
      <w:rFonts w:ascii="Palatino Linotype" w:eastAsia="Palatino Linotype" w:hAnsi="Palatino Linotype" w:cs="Palatino Linotype"/>
      <w:b/>
      <w:bCs/>
      <w:i/>
      <w:iCs/>
      <w:smallCaps w:val="0"/>
      <w:strike w:val="0"/>
      <w:color w:val="000000"/>
      <w:spacing w:val="0"/>
      <w:w w:val="100"/>
      <w:position w:val="0"/>
      <w:sz w:val="8"/>
      <w:szCs w:val="8"/>
      <w:u w:val="none"/>
      <w:lang w:val="de-DE" w:eastAsia="de-DE" w:bidi="de-DE"/>
    </w:rPr>
  </w:style>
  <w:style w:type="character" w:customStyle="1" w:styleId="Bodytext15">
    <w:name w:val="Body text (15)_"/>
    <w:basedOn w:val="Absatz-Standardschriftart"/>
    <w:link w:val="Bodytext150"/>
    <w:rPr>
      <w:rFonts w:ascii="Palatino Linotype" w:eastAsia="Palatino Linotype" w:hAnsi="Palatino Linotype" w:cs="Palatino Linotype"/>
      <w:b w:val="0"/>
      <w:bCs w:val="0"/>
      <w:i w:val="0"/>
      <w:iCs w:val="0"/>
      <w:smallCaps w:val="0"/>
      <w:strike w:val="0"/>
      <w:sz w:val="14"/>
      <w:szCs w:val="14"/>
      <w:u w:val="none"/>
    </w:rPr>
  </w:style>
  <w:style w:type="character" w:customStyle="1" w:styleId="Bodytext10NotBold">
    <w:name w:val="Body text (10) + Not Bold"/>
    <w:basedOn w:val="Bodytext10"/>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style>
  <w:style w:type="character" w:customStyle="1" w:styleId="Bodytext10NotBoldSmallCaps">
    <w:name w:val="Body text (10) + Not Bold;Small Caps"/>
    <w:basedOn w:val="Bodytext10"/>
    <w:rPr>
      <w:rFonts w:ascii="Palatino Linotype" w:eastAsia="Palatino Linotype" w:hAnsi="Palatino Linotype" w:cs="Palatino Linotype"/>
      <w:b/>
      <w:bCs/>
      <w:i/>
      <w:iCs/>
      <w:smallCaps/>
      <w:strike w:val="0"/>
      <w:color w:val="000000"/>
      <w:spacing w:val="0"/>
      <w:w w:val="100"/>
      <w:position w:val="0"/>
      <w:sz w:val="17"/>
      <w:szCs w:val="17"/>
      <w:u w:val="none"/>
      <w:lang w:val="de-DE" w:eastAsia="de-DE" w:bidi="de-DE"/>
    </w:rPr>
  </w:style>
  <w:style w:type="character" w:customStyle="1" w:styleId="Bodytext16">
    <w:name w:val="Body text (16)_"/>
    <w:basedOn w:val="Absatz-Standardschriftart"/>
    <w:link w:val="Bodytext160"/>
    <w:rPr>
      <w:rFonts w:ascii="Palatino Linotype" w:eastAsia="Palatino Linotype" w:hAnsi="Palatino Linotype" w:cs="Palatino Linotype"/>
      <w:b w:val="0"/>
      <w:bCs w:val="0"/>
      <w:i/>
      <w:iCs/>
      <w:smallCaps w:val="0"/>
      <w:strike w:val="0"/>
      <w:sz w:val="17"/>
      <w:szCs w:val="17"/>
      <w:u w:val="none"/>
    </w:rPr>
  </w:style>
  <w:style w:type="character" w:customStyle="1" w:styleId="Bodytext16Bold">
    <w:name w:val="Body text (16) + Bold"/>
    <w:basedOn w:val="Bodytext16"/>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style>
  <w:style w:type="character" w:customStyle="1" w:styleId="Bodytext16SmallCaps">
    <w:name w:val="Body text (16) + Small Caps"/>
    <w:basedOn w:val="Bodytext16"/>
    <w:rPr>
      <w:rFonts w:ascii="Palatino Linotype" w:eastAsia="Palatino Linotype" w:hAnsi="Palatino Linotype" w:cs="Palatino Linotype"/>
      <w:b w:val="0"/>
      <w:bCs w:val="0"/>
      <w:i/>
      <w:iCs/>
      <w:smallCaps/>
      <w:strike w:val="0"/>
      <w:color w:val="000000"/>
      <w:spacing w:val="0"/>
      <w:w w:val="100"/>
      <w:position w:val="0"/>
      <w:sz w:val="17"/>
      <w:szCs w:val="17"/>
      <w:u w:val="none"/>
      <w:lang w:val="de-DE" w:eastAsia="de-DE" w:bidi="de-DE"/>
    </w:rPr>
  </w:style>
  <w:style w:type="character" w:customStyle="1" w:styleId="Bodytext665ptSmallCapsSpacing0pt">
    <w:name w:val="Body text (6) + 6.5 pt;Small Caps;Spacing 0 pt"/>
    <w:basedOn w:val="Bodytext6"/>
    <w:rPr>
      <w:rFonts w:ascii="Palatino Linotype" w:eastAsia="Palatino Linotype" w:hAnsi="Palatino Linotype" w:cs="Palatino Linotype"/>
      <w:b w:val="0"/>
      <w:bCs w:val="0"/>
      <w:i w:val="0"/>
      <w:iCs w:val="0"/>
      <w:smallCaps/>
      <w:strike w:val="0"/>
      <w:color w:val="000000"/>
      <w:spacing w:val="10"/>
      <w:w w:val="100"/>
      <w:position w:val="0"/>
      <w:sz w:val="13"/>
      <w:szCs w:val="13"/>
      <w:u w:val="none"/>
      <w:lang w:val="de-DE" w:eastAsia="de-DE" w:bidi="de-DE"/>
    </w:rPr>
  </w:style>
  <w:style w:type="character" w:customStyle="1" w:styleId="Bodytext17Exact">
    <w:name w:val="Body text (17) Exact"/>
    <w:basedOn w:val="Absatz-Standardschriftart"/>
    <w:link w:val="Bodytext17"/>
    <w:rPr>
      <w:rFonts w:ascii="Times New Roman" w:eastAsia="Times New Roman" w:hAnsi="Times New Roman" w:cs="Times New Roman"/>
      <w:b w:val="0"/>
      <w:bCs w:val="0"/>
      <w:i w:val="0"/>
      <w:iCs w:val="0"/>
      <w:smallCaps w:val="0"/>
      <w:strike w:val="0"/>
      <w:sz w:val="20"/>
      <w:szCs w:val="20"/>
      <w:u w:val="none"/>
    </w:rPr>
  </w:style>
  <w:style w:type="character" w:customStyle="1" w:styleId="Bodytext2105ptBold">
    <w:name w:val="Body text (2) + 10.5 pt;Bold"/>
    <w:basedOn w:val="Bodytext2"/>
    <w:rPr>
      <w:rFonts w:ascii="Palatino Linotype" w:eastAsia="Palatino Linotype" w:hAnsi="Palatino Linotype" w:cs="Palatino Linotype"/>
      <w:b/>
      <w:bCs/>
      <w:i w:val="0"/>
      <w:iCs w:val="0"/>
      <w:smallCaps w:val="0"/>
      <w:strike w:val="0"/>
      <w:color w:val="000000"/>
      <w:spacing w:val="0"/>
      <w:w w:val="100"/>
      <w:position w:val="0"/>
      <w:sz w:val="21"/>
      <w:szCs w:val="21"/>
      <w:u w:val="none"/>
      <w:lang w:val="de-DE" w:eastAsia="de-DE" w:bidi="de-DE"/>
    </w:rPr>
  </w:style>
  <w:style w:type="character" w:customStyle="1" w:styleId="Bodytext217ptSpacing0pt">
    <w:name w:val="Body text (2) + 17 pt;Spacing 0 pt"/>
    <w:basedOn w:val="Bodytext2"/>
    <w:rPr>
      <w:rFonts w:ascii="Palatino Linotype" w:eastAsia="Palatino Linotype" w:hAnsi="Palatino Linotype" w:cs="Palatino Linotype"/>
      <w:b/>
      <w:bCs/>
      <w:i w:val="0"/>
      <w:iCs w:val="0"/>
      <w:smallCaps w:val="0"/>
      <w:strike w:val="0"/>
      <w:color w:val="000000"/>
      <w:spacing w:val="-10"/>
      <w:w w:val="100"/>
      <w:position w:val="0"/>
      <w:sz w:val="34"/>
      <w:szCs w:val="34"/>
      <w:u w:val="none"/>
      <w:lang w:val="de-DE" w:eastAsia="de-DE" w:bidi="de-DE"/>
    </w:rPr>
  </w:style>
  <w:style w:type="character" w:customStyle="1" w:styleId="Bodytext220ptItalicSpacing-2pt">
    <w:name w:val="Body text (2) + 20 pt;Italic;Spacing -2 pt"/>
    <w:basedOn w:val="Bodytext2"/>
    <w:rPr>
      <w:rFonts w:ascii="Palatino Linotype" w:eastAsia="Palatino Linotype" w:hAnsi="Palatino Linotype" w:cs="Palatino Linotype"/>
      <w:b/>
      <w:bCs/>
      <w:i/>
      <w:iCs/>
      <w:smallCaps w:val="0"/>
      <w:strike w:val="0"/>
      <w:color w:val="000000"/>
      <w:spacing w:val="-50"/>
      <w:w w:val="100"/>
      <w:position w:val="0"/>
      <w:sz w:val="40"/>
      <w:szCs w:val="40"/>
      <w:u w:val="none"/>
      <w:lang w:val="de-DE" w:eastAsia="de-DE" w:bidi="de-DE"/>
    </w:rPr>
  </w:style>
  <w:style w:type="character" w:customStyle="1" w:styleId="Headerorfooter31">
    <w:name w:val="Header or footer (3)"/>
    <w:basedOn w:val="Headerorfooter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12Exact">
    <w:name w:val="Body text (12) Exact"/>
    <w:basedOn w:val="Absatz-Standardschriftart"/>
    <w:rPr>
      <w:rFonts w:ascii="Arial" w:eastAsia="Arial" w:hAnsi="Arial" w:cs="Arial"/>
      <w:b w:val="0"/>
      <w:bCs w:val="0"/>
      <w:i w:val="0"/>
      <w:iCs w:val="0"/>
      <w:smallCaps w:val="0"/>
      <w:strike w:val="0"/>
      <w:sz w:val="15"/>
      <w:szCs w:val="15"/>
      <w:u w:val="none"/>
    </w:rPr>
  </w:style>
  <w:style w:type="character" w:customStyle="1" w:styleId="Bodytext18Exact">
    <w:name w:val="Body text (18) Exact"/>
    <w:basedOn w:val="Absatz-Standardschriftart"/>
    <w:link w:val="Bodytext18"/>
    <w:rPr>
      <w:rFonts w:ascii="Arial" w:eastAsia="Arial" w:hAnsi="Arial" w:cs="Arial"/>
      <w:b w:val="0"/>
      <w:bCs w:val="0"/>
      <w:i w:val="0"/>
      <w:iCs w:val="0"/>
      <w:smallCaps w:val="0"/>
      <w:strike w:val="0"/>
      <w:sz w:val="16"/>
      <w:szCs w:val="16"/>
      <w:u w:val="none"/>
    </w:rPr>
  </w:style>
  <w:style w:type="character" w:customStyle="1" w:styleId="Bodytext18PalatinoLinotype65ptExact">
    <w:name w:val="Body text (18) + Palatino Linotype;6.5 pt Exact"/>
    <w:basedOn w:val="Bodytext18Exac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19Exact">
    <w:name w:val="Body text (19) Exact"/>
    <w:basedOn w:val="Absatz-Standardschriftart"/>
    <w:link w:val="Bodytext19"/>
    <w:rPr>
      <w:rFonts w:ascii="Arial" w:eastAsia="Arial" w:hAnsi="Arial" w:cs="Arial"/>
      <w:b w:val="0"/>
      <w:bCs w:val="0"/>
      <w:i w:val="0"/>
      <w:iCs w:val="0"/>
      <w:smallCaps w:val="0"/>
      <w:strike w:val="0"/>
      <w:sz w:val="18"/>
      <w:szCs w:val="18"/>
      <w:u w:val="none"/>
    </w:rPr>
  </w:style>
  <w:style w:type="character" w:customStyle="1" w:styleId="Bodytext196ptItalicSpacing0ptExact">
    <w:name w:val="Body text (19) + 6 pt;Italic;Spacing 0 pt Exact"/>
    <w:basedOn w:val="Bodytext19Exact"/>
    <w:rPr>
      <w:rFonts w:ascii="Arial" w:eastAsia="Arial" w:hAnsi="Arial" w:cs="Arial"/>
      <w:b w:val="0"/>
      <w:bCs w:val="0"/>
      <w:i/>
      <w:iCs/>
      <w:smallCaps w:val="0"/>
      <w:strike w:val="0"/>
      <w:color w:val="000000"/>
      <w:spacing w:val="10"/>
      <w:w w:val="100"/>
      <w:position w:val="0"/>
      <w:sz w:val="12"/>
      <w:szCs w:val="12"/>
      <w:u w:val="none"/>
      <w:lang w:val="de-DE" w:eastAsia="de-DE" w:bidi="de-DE"/>
    </w:rPr>
  </w:style>
  <w:style w:type="character" w:customStyle="1" w:styleId="Bodytext19SmallCapsExact">
    <w:name w:val="Body text (19) + Small Caps Exact"/>
    <w:basedOn w:val="Bodytext19Exact"/>
    <w:rPr>
      <w:rFonts w:ascii="Arial" w:eastAsia="Arial" w:hAnsi="Arial" w:cs="Arial"/>
      <w:b w:val="0"/>
      <w:bCs w:val="0"/>
      <w:i w:val="0"/>
      <w:iCs w:val="0"/>
      <w:smallCaps/>
      <w:strike w:val="0"/>
      <w:color w:val="000000"/>
      <w:spacing w:val="0"/>
      <w:w w:val="100"/>
      <w:position w:val="0"/>
      <w:sz w:val="18"/>
      <w:szCs w:val="18"/>
      <w:u w:val="none"/>
      <w:lang w:val="de-DE" w:eastAsia="de-DE" w:bidi="de-DE"/>
    </w:rPr>
  </w:style>
  <w:style w:type="character" w:customStyle="1" w:styleId="Bodytext20Exact">
    <w:name w:val="Body text (20) Exact"/>
    <w:basedOn w:val="Absatz-Standardschriftart"/>
    <w:link w:val="Bodytext200"/>
    <w:rPr>
      <w:rFonts w:ascii="Arial" w:eastAsia="Arial" w:hAnsi="Arial" w:cs="Arial"/>
      <w:b w:val="0"/>
      <w:bCs w:val="0"/>
      <w:i w:val="0"/>
      <w:iCs w:val="0"/>
      <w:smallCaps w:val="0"/>
      <w:strike w:val="0"/>
      <w:sz w:val="19"/>
      <w:szCs w:val="19"/>
      <w:u w:val="none"/>
    </w:rPr>
  </w:style>
  <w:style w:type="character" w:customStyle="1" w:styleId="Bodytext21Exact">
    <w:name w:val="Body text (21) Exact"/>
    <w:basedOn w:val="Absatz-Standardschriftart"/>
    <w:link w:val="Bodytext210"/>
    <w:rPr>
      <w:rFonts w:ascii="Palatino Linotype" w:eastAsia="Palatino Linotype" w:hAnsi="Palatino Linotype" w:cs="Palatino Linotype"/>
      <w:b w:val="0"/>
      <w:bCs w:val="0"/>
      <w:i w:val="0"/>
      <w:iCs w:val="0"/>
      <w:smallCaps w:val="0"/>
      <w:strike w:val="0"/>
      <w:spacing w:val="20"/>
      <w:sz w:val="15"/>
      <w:szCs w:val="15"/>
      <w:u w:val="none"/>
    </w:rPr>
  </w:style>
  <w:style w:type="character" w:customStyle="1" w:styleId="Bodytext21SmallCapsExact">
    <w:name w:val="Body text (21) + Small Caps Exact"/>
    <w:basedOn w:val="Bodytext21Exact"/>
    <w:rPr>
      <w:rFonts w:ascii="Palatino Linotype" w:eastAsia="Palatino Linotype" w:hAnsi="Palatino Linotype" w:cs="Palatino Linotype"/>
      <w:b w:val="0"/>
      <w:bCs w:val="0"/>
      <w:i w:val="0"/>
      <w:iCs w:val="0"/>
      <w:smallCaps/>
      <w:strike w:val="0"/>
      <w:color w:val="000000"/>
      <w:spacing w:val="20"/>
      <w:w w:val="100"/>
      <w:position w:val="0"/>
      <w:sz w:val="15"/>
      <w:szCs w:val="15"/>
      <w:u w:val="none"/>
      <w:lang w:val="de-DE" w:eastAsia="de-DE" w:bidi="de-DE"/>
    </w:rPr>
  </w:style>
  <w:style w:type="character" w:customStyle="1" w:styleId="Bodytext2Spacing19ptExact">
    <w:name w:val="Body text (2) + Spacing 19 pt Exact"/>
    <w:basedOn w:val="Bodytext2"/>
    <w:rPr>
      <w:rFonts w:ascii="Palatino Linotype" w:eastAsia="Palatino Linotype" w:hAnsi="Palatino Linotype" w:cs="Palatino Linotype"/>
      <w:b w:val="0"/>
      <w:bCs w:val="0"/>
      <w:i w:val="0"/>
      <w:iCs w:val="0"/>
      <w:smallCaps w:val="0"/>
      <w:strike w:val="0"/>
      <w:color w:val="000000"/>
      <w:spacing w:val="380"/>
      <w:w w:val="100"/>
      <w:position w:val="0"/>
      <w:sz w:val="18"/>
      <w:szCs w:val="18"/>
      <w:u w:val="none"/>
      <w:lang w:val="de-DE" w:eastAsia="de-DE" w:bidi="de-DE"/>
    </w:rPr>
  </w:style>
  <w:style w:type="character" w:customStyle="1" w:styleId="Bodytext2Spacing33ptExact">
    <w:name w:val="Body text (2) + Spacing 33 pt Exact"/>
    <w:basedOn w:val="Bodytext2"/>
    <w:rPr>
      <w:rFonts w:ascii="Palatino Linotype" w:eastAsia="Palatino Linotype" w:hAnsi="Palatino Linotype" w:cs="Palatino Linotype"/>
      <w:b w:val="0"/>
      <w:bCs w:val="0"/>
      <w:i w:val="0"/>
      <w:iCs w:val="0"/>
      <w:smallCaps w:val="0"/>
      <w:strike w:val="0"/>
      <w:color w:val="000000"/>
      <w:spacing w:val="670"/>
      <w:w w:val="100"/>
      <w:position w:val="0"/>
      <w:sz w:val="18"/>
      <w:szCs w:val="18"/>
      <w:u w:val="none"/>
      <w:lang w:val="de-DE" w:eastAsia="de-DE" w:bidi="de-DE"/>
    </w:rPr>
  </w:style>
  <w:style w:type="character" w:customStyle="1" w:styleId="Bodytext2SmallCapsExact">
    <w:name w:val="Body text (2) + Small Caps Exact"/>
    <w:basedOn w:val="Bodytext2"/>
    <w:rPr>
      <w:rFonts w:ascii="Palatino Linotype" w:eastAsia="Palatino Linotype" w:hAnsi="Palatino Linotype" w:cs="Palatino Linotype"/>
      <w:b w:val="0"/>
      <w:bCs w:val="0"/>
      <w:i w:val="0"/>
      <w:iCs w:val="0"/>
      <w:smallCaps/>
      <w:strike w:val="0"/>
      <w:color w:val="000000"/>
      <w:spacing w:val="0"/>
      <w:w w:val="100"/>
      <w:position w:val="0"/>
      <w:sz w:val="18"/>
      <w:szCs w:val="18"/>
      <w:u w:val="none"/>
      <w:lang w:val="de-DE" w:eastAsia="de-DE" w:bidi="de-DE"/>
    </w:rPr>
  </w:style>
  <w:style w:type="character" w:customStyle="1" w:styleId="Bodytext8Exact">
    <w:name w:val="Body text (8) Exact"/>
    <w:basedOn w:val="Absatz-Standardschriftart"/>
    <w:rPr>
      <w:rFonts w:ascii="Palatino Linotype" w:eastAsia="Palatino Linotype" w:hAnsi="Palatino Linotype" w:cs="Palatino Linotype"/>
      <w:b w:val="0"/>
      <w:bCs w:val="0"/>
      <w:i/>
      <w:iCs/>
      <w:smallCaps w:val="0"/>
      <w:strike w:val="0"/>
      <w:sz w:val="18"/>
      <w:szCs w:val="18"/>
      <w:u w:val="none"/>
    </w:rPr>
  </w:style>
  <w:style w:type="character" w:customStyle="1" w:styleId="Bodytext22Exact">
    <w:name w:val="Body text (22) Exact"/>
    <w:basedOn w:val="Absatz-Standardschriftart"/>
    <w:link w:val="Bodytext22"/>
    <w:rPr>
      <w:b/>
      <w:bCs/>
      <w:i w:val="0"/>
      <w:iCs w:val="0"/>
      <w:smallCaps w:val="0"/>
      <w:strike w:val="0"/>
      <w:sz w:val="14"/>
      <w:szCs w:val="14"/>
      <w:u w:val="none"/>
    </w:rPr>
  </w:style>
  <w:style w:type="character" w:customStyle="1" w:styleId="Headerorfooter39pt">
    <w:name w:val="Header or footer (3) + 9 pt"/>
    <w:basedOn w:val="Headerorfooter3"/>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style>
  <w:style w:type="character" w:customStyle="1" w:styleId="Bodytext2ItalicExact">
    <w:name w:val="Body text (2) + Italic Exact"/>
    <w:basedOn w:val="Bodytext2"/>
    <w:rPr>
      <w:rFonts w:ascii="Palatino Linotype" w:eastAsia="Palatino Linotype" w:hAnsi="Palatino Linotype" w:cs="Palatino Linotype"/>
      <w:b w:val="0"/>
      <w:bCs w:val="0"/>
      <w:i/>
      <w:iCs/>
      <w:smallCaps w:val="0"/>
      <w:strike w:val="0"/>
      <w:color w:val="000000"/>
      <w:spacing w:val="0"/>
      <w:w w:val="100"/>
      <w:position w:val="0"/>
      <w:sz w:val="18"/>
      <w:szCs w:val="18"/>
      <w:u w:val="none"/>
      <w:lang w:val="de-DE" w:eastAsia="de-DE" w:bidi="de-DE"/>
    </w:rPr>
  </w:style>
  <w:style w:type="character" w:customStyle="1" w:styleId="Bodytext10Exact">
    <w:name w:val="Body text (10) Exact"/>
    <w:basedOn w:val="Absatz-Standardschriftart"/>
    <w:rPr>
      <w:rFonts w:ascii="Palatino Linotype" w:eastAsia="Palatino Linotype" w:hAnsi="Palatino Linotype" w:cs="Palatino Linotype"/>
      <w:b/>
      <w:bCs/>
      <w:i/>
      <w:iCs/>
      <w:smallCaps w:val="0"/>
      <w:strike w:val="0"/>
      <w:sz w:val="17"/>
      <w:szCs w:val="17"/>
      <w:u w:val="none"/>
    </w:rPr>
  </w:style>
  <w:style w:type="character" w:customStyle="1" w:styleId="Bodytext109ptNotBoldNotItalicExact">
    <w:name w:val="Body text (10) + 9 pt;Not Bold;Not Italic Exact"/>
    <w:basedOn w:val="Bodytext10"/>
    <w:rPr>
      <w:rFonts w:ascii="Palatino Linotype" w:eastAsia="Palatino Linotype" w:hAnsi="Palatino Linotype" w:cs="Palatino Linotype"/>
      <w:b/>
      <w:bCs/>
      <w:i/>
      <w:iCs/>
      <w:smallCaps w:val="0"/>
      <w:strike w:val="0"/>
      <w:color w:val="000000"/>
      <w:spacing w:val="0"/>
      <w:w w:val="100"/>
      <w:position w:val="0"/>
      <w:sz w:val="18"/>
      <w:szCs w:val="18"/>
      <w:u w:val="none"/>
      <w:lang w:val="de-DE" w:eastAsia="de-DE" w:bidi="de-DE"/>
    </w:rPr>
  </w:style>
  <w:style w:type="character" w:customStyle="1" w:styleId="Bodytext6Exact">
    <w:name w:val="Body text (6) Exact"/>
    <w:basedOn w:val="Absatz-Standardschriftart"/>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69ptExact">
    <w:name w:val="Body text (6) + 9 pt Exact"/>
    <w:basedOn w:val="Bodytext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style>
  <w:style w:type="character" w:customStyle="1" w:styleId="Bodytext23Exact">
    <w:name w:val="Body text (23) Exact"/>
    <w:basedOn w:val="Absatz-Standardschriftart"/>
    <w:link w:val="Bodytext23"/>
    <w:rPr>
      <w:rFonts w:ascii="Palatino Linotype" w:eastAsia="Palatino Linotype" w:hAnsi="Palatino Linotype" w:cs="Palatino Linotype"/>
      <w:b w:val="0"/>
      <w:bCs w:val="0"/>
      <w:i w:val="0"/>
      <w:iCs w:val="0"/>
      <w:smallCaps w:val="0"/>
      <w:strike w:val="0"/>
      <w:sz w:val="18"/>
      <w:szCs w:val="18"/>
      <w:u w:val="none"/>
    </w:rPr>
  </w:style>
  <w:style w:type="character" w:customStyle="1" w:styleId="Tablecaption2">
    <w:name w:val="Table caption (2)_"/>
    <w:basedOn w:val="Absatz-Standardschriftart"/>
    <w:link w:val="Tablecaption20"/>
    <w:rPr>
      <w:rFonts w:ascii="Palatino Linotype" w:eastAsia="Palatino Linotype" w:hAnsi="Palatino Linotype" w:cs="Palatino Linotype"/>
      <w:b/>
      <w:bCs/>
      <w:i/>
      <w:iCs/>
      <w:smallCaps w:val="0"/>
      <w:strike w:val="0"/>
      <w:sz w:val="17"/>
      <w:szCs w:val="17"/>
      <w:u w:val="none"/>
    </w:rPr>
  </w:style>
  <w:style w:type="character" w:customStyle="1" w:styleId="PicturecaptionPalatinoLinotype7ptSmallCaps">
    <w:name w:val="Picture caption + Palatino Linotype;7 pt;Small Caps"/>
    <w:basedOn w:val="Picturecaption"/>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285ptSpacing0pt">
    <w:name w:val="Body text (2) + 8.5 pt;Spacing 0 pt"/>
    <w:basedOn w:val="Bodytext2"/>
    <w:rPr>
      <w:rFonts w:ascii="Palatino Linotype" w:eastAsia="Palatino Linotype" w:hAnsi="Palatino Linotype" w:cs="Palatino Linotype"/>
      <w:b w:val="0"/>
      <w:bCs w:val="0"/>
      <w:i w:val="0"/>
      <w:iCs w:val="0"/>
      <w:smallCaps w:val="0"/>
      <w:strike w:val="0"/>
      <w:color w:val="000000"/>
      <w:spacing w:val="10"/>
      <w:w w:val="100"/>
      <w:position w:val="0"/>
      <w:sz w:val="17"/>
      <w:szCs w:val="17"/>
      <w:u w:val="none"/>
      <w:lang w:val="de-DE" w:eastAsia="de-DE" w:bidi="de-DE"/>
    </w:rPr>
  </w:style>
  <w:style w:type="character" w:customStyle="1" w:styleId="Bodytext24">
    <w:name w:val="Body text (24)_"/>
    <w:basedOn w:val="Absatz-Standardschriftart"/>
    <w:link w:val="Bodytext240"/>
    <w:rPr>
      <w:rFonts w:ascii="Palatino Linotype" w:eastAsia="Palatino Linotype" w:hAnsi="Palatino Linotype" w:cs="Palatino Linotype"/>
      <w:b w:val="0"/>
      <w:bCs w:val="0"/>
      <w:i w:val="0"/>
      <w:iCs w:val="0"/>
      <w:smallCaps w:val="0"/>
      <w:strike w:val="0"/>
      <w:sz w:val="16"/>
      <w:szCs w:val="16"/>
      <w:u w:val="none"/>
    </w:rPr>
  </w:style>
  <w:style w:type="character" w:customStyle="1" w:styleId="Bodytext247pt">
    <w:name w:val="Body text (24) + 7 pt"/>
    <w:basedOn w:val="Bodytext24"/>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Bodytext247ptSmallCaps">
    <w:name w:val="Body text (24) + 7 pt;Small Caps"/>
    <w:basedOn w:val="Bodytext24"/>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24SmallCaps">
    <w:name w:val="Body text (24) + Small Caps"/>
    <w:basedOn w:val="Bodytext24"/>
    <w:rPr>
      <w:rFonts w:ascii="Palatino Linotype" w:eastAsia="Palatino Linotype" w:hAnsi="Palatino Linotype" w:cs="Palatino Linotype"/>
      <w:b w:val="0"/>
      <w:bCs w:val="0"/>
      <w:i w:val="0"/>
      <w:iCs w:val="0"/>
      <w:smallCaps/>
      <w:strike w:val="0"/>
      <w:color w:val="000000"/>
      <w:spacing w:val="0"/>
      <w:w w:val="100"/>
      <w:position w:val="0"/>
      <w:sz w:val="16"/>
      <w:szCs w:val="16"/>
      <w:u w:val="none"/>
      <w:lang w:val="de-DE" w:eastAsia="de-DE" w:bidi="de-DE"/>
    </w:rPr>
  </w:style>
  <w:style w:type="character" w:customStyle="1" w:styleId="Bodytext98pt">
    <w:name w:val="Body text (9) + 8 pt"/>
    <w:basedOn w:val="Bodytext9"/>
    <w:rPr>
      <w:rFonts w:ascii="Palatino Linotype" w:eastAsia="Palatino Linotype" w:hAnsi="Palatino Linotype" w:cs="Palatino Linotype"/>
      <w:b/>
      <w:bCs/>
      <w:i w:val="0"/>
      <w:iCs w:val="0"/>
      <w:smallCaps w:val="0"/>
      <w:strike w:val="0"/>
      <w:color w:val="000000"/>
      <w:spacing w:val="0"/>
      <w:w w:val="100"/>
      <w:position w:val="0"/>
      <w:sz w:val="16"/>
      <w:szCs w:val="16"/>
      <w:u w:val="none"/>
      <w:lang w:val="de-DE" w:eastAsia="de-DE" w:bidi="de-DE"/>
    </w:rPr>
  </w:style>
  <w:style w:type="character" w:customStyle="1" w:styleId="Headerorfooter385ptSpacing0pt">
    <w:name w:val="Header or footer (3) + 8.5 pt;Spacing 0 pt"/>
    <w:basedOn w:val="Headerorfooter3"/>
    <w:rPr>
      <w:rFonts w:ascii="Palatino Linotype" w:eastAsia="Palatino Linotype" w:hAnsi="Palatino Linotype" w:cs="Palatino Linotype"/>
      <w:b w:val="0"/>
      <w:bCs w:val="0"/>
      <w:i w:val="0"/>
      <w:iCs w:val="0"/>
      <w:smallCaps w:val="0"/>
      <w:strike w:val="0"/>
      <w:color w:val="000000"/>
      <w:spacing w:val="10"/>
      <w:w w:val="100"/>
      <w:position w:val="0"/>
      <w:sz w:val="17"/>
      <w:szCs w:val="17"/>
      <w:u w:val="none"/>
      <w:lang w:val="de-DE" w:eastAsia="de-DE" w:bidi="de-DE"/>
    </w:rPr>
  </w:style>
  <w:style w:type="character" w:customStyle="1" w:styleId="Bodytext275ptSmallCaps0">
    <w:name w:val="Body text (2) + 7.5 pt;Small Caps"/>
    <w:basedOn w:val="Bodytext2"/>
    <w:rPr>
      <w:rFonts w:ascii="Palatino Linotype" w:eastAsia="Palatino Linotype" w:hAnsi="Palatino Linotype" w:cs="Palatino Linotype"/>
      <w:b w:val="0"/>
      <w:bCs w:val="0"/>
      <w:i w:val="0"/>
      <w:iCs w:val="0"/>
      <w:smallCaps/>
      <w:strike w:val="0"/>
      <w:color w:val="000000"/>
      <w:spacing w:val="0"/>
      <w:w w:val="100"/>
      <w:position w:val="0"/>
      <w:sz w:val="15"/>
      <w:szCs w:val="15"/>
      <w:u w:val="none"/>
      <w:lang w:val="de-DE" w:eastAsia="de-DE" w:bidi="de-DE"/>
    </w:rPr>
  </w:style>
  <w:style w:type="character" w:customStyle="1" w:styleId="Bodytext25Exact">
    <w:name w:val="Body text (25) Exact"/>
    <w:basedOn w:val="Absatz-Standardschriftart"/>
    <w:link w:val="Bodytext25"/>
    <w:rPr>
      <w:rFonts w:ascii="Palatino Linotype" w:eastAsia="Palatino Linotype" w:hAnsi="Palatino Linotype" w:cs="Palatino Linotype"/>
      <w:b/>
      <w:bCs/>
      <w:i w:val="0"/>
      <w:iCs w:val="0"/>
      <w:smallCaps w:val="0"/>
      <w:strike w:val="0"/>
      <w:spacing w:val="0"/>
      <w:sz w:val="14"/>
      <w:szCs w:val="14"/>
      <w:u w:val="none"/>
    </w:rPr>
  </w:style>
  <w:style w:type="character" w:customStyle="1" w:styleId="Bodytext25Arial9ptNotBoldExact">
    <w:name w:val="Body text (25) + Arial;9 pt;Not Bold Exact"/>
    <w:basedOn w:val="Bodytext25Exact"/>
    <w:rPr>
      <w:rFonts w:ascii="Arial" w:eastAsia="Arial" w:hAnsi="Arial" w:cs="Arial"/>
      <w:b/>
      <w:bCs/>
      <w:i w:val="0"/>
      <w:iCs w:val="0"/>
      <w:smallCaps w:val="0"/>
      <w:strike w:val="0"/>
      <w:color w:val="000000"/>
      <w:spacing w:val="0"/>
      <w:w w:val="100"/>
      <w:position w:val="0"/>
      <w:sz w:val="18"/>
      <w:szCs w:val="18"/>
      <w:u w:val="none"/>
      <w:lang w:val="de-DE" w:eastAsia="de-DE" w:bidi="de-DE"/>
    </w:rPr>
  </w:style>
  <w:style w:type="character" w:customStyle="1" w:styleId="Bodytext25TrebuchetMS5ptNotBoldItalicExact">
    <w:name w:val="Body text (25) + Trebuchet MS;5 pt;Not Bold;Italic Exact"/>
    <w:basedOn w:val="Bodytext25Exact"/>
    <w:rPr>
      <w:rFonts w:ascii="Trebuchet MS" w:eastAsia="Trebuchet MS" w:hAnsi="Trebuchet MS" w:cs="Trebuchet MS"/>
      <w:b/>
      <w:bCs/>
      <w:i/>
      <w:iCs/>
      <w:smallCaps w:val="0"/>
      <w:strike w:val="0"/>
      <w:color w:val="000000"/>
      <w:spacing w:val="0"/>
      <w:w w:val="100"/>
      <w:position w:val="0"/>
      <w:sz w:val="10"/>
      <w:szCs w:val="10"/>
      <w:u w:val="none"/>
      <w:lang w:val="de-DE" w:eastAsia="de-DE" w:bidi="de-DE"/>
    </w:rPr>
  </w:style>
  <w:style w:type="character" w:customStyle="1" w:styleId="Bodytext25TrebuchetMS6ptNotBoldExact">
    <w:name w:val="Body text (25) + Trebuchet MS;6 pt;Not Bold Exact"/>
    <w:basedOn w:val="Bodytext25Exact"/>
    <w:rPr>
      <w:rFonts w:ascii="Trebuchet MS" w:eastAsia="Trebuchet MS" w:hAnsi="Trebuchet MS" w:cs="Trebuchet MS"/>
      <w:b/>
      <w:bCs/>
      <w:i w:val="0"/>
      <w:iCs w:val="0"/>
      <w:smallCaps w:val="0"/>
      <w:strike w:val="0"/>
      <w:color w:val="000000"/>
      <w:spacing w:val="0"/>
      <w:w w:val="100"/>
      <w:position w:val="0"/>
      <w:sz w:val="12"/>
      <w:szCs w:val="12"/>
      <w:u w:val="none"/>
      <w:lang w:val="de-DE" w:eastAsia="de-DE" w:bidi="de-DE"/>
    </w:rPr>
  </w:style>
  <w:style w:type="character" w:customStyle="1" w:styleId="Bodytext2575ptNotBoldExact">
    <w:name w:val="Body text (25) + 7.5 pt;Not Bold Exact"/>
    <w:basedOn w:val="Bodytext25Exact"/>
    <w:rPr>
      <w:rFonts w:ascii="Palatino Linotype" w:eastAsia="Palatino Linotype" w:hAnsi="Palatino Linotype" w:cs="Palatino Linotype"/>
      <w:b/>
      <w:bCs/>
      <w:i w:val="0"/>
      <w:iCs w:val="0"/>
      <w:smallCaps w:val="0"/>
      <w:strike w:val="0"/>
      <w:color w:val="000000"/>
      <w:spacing w:val="0"/>
      <w:w w:val="100"/>
      <w:position w:val="0"/>
      <w:sz w:val="15"/>
      <w:szCs w:val="15"/>
      <w:u w:val="none"/>
      <w:lang w:val="de-DE" w:eastAsia="de-DE" w:bidi="de-DE"/>
    </w:rPr>
  </w:style>
  <w:style w:type="character" w:customStyle="1" w:styleId="Bodytext25SmallCapsExact">
    <w:name w:val="Body text (25) + Small Caps Exact"/>
    <w:basedOn w:val="Bodytext25Exact"/>
    <w:rPr>
      <w:rFonts w:ascii="Palatino Linotype" w:eastAsia="Palatino Linotype" w:hAnsi="Palatino Linotype" w:cs="Palatino Linotype"/>
      <w:b/>
      <w:bCs/>
      <w:i w:val="0"/>
      <w:iCs w:val="0"/>
      <w:smallCaps/>
      <w:strike w:val="0"/>
      <w:color w:val="000000"/>
      <w:spacing w:val="0"/>
      <w:w w:val="100"/>
      <w:position w:val="0"/>
      <w:sz w:val="14"/>
      <w:szCs w:val="14"/>
      <w:u w:val="none"/>
      <w:lang w:val="de-DE" w:eastAsia="de-DE" w:bidi="de-DE"/>
    </w:rPr>
  </w:style>
  <w:style w:type="character" w:customStyle="1" w:styleId="Heading22Exact">
    <w:name w:val="Heading #2 (2) Exact"/>
    <w:basedOn w:val="Absatz-Standardschriftart"/>
    <w:link w:val="Heading22"/>
    <w:rPr>
      <w:rFonts w:ascii="Palatino Linotype" w:eastAsia="Palatino Linotype" w:hAnsi="Palatino Linotype" w:cs="Palatino Linotype"/>
      <w:b w:val="0"/>
      <w:bCs w:val="0"/>
      <w:i w:val="0"/>
      <w:iCs w:val="0"/>
      <w:smallCaps w:val="0"/>
      <w:strike w:val="0"/>
      <w:spacing w:val="0"/>
      <w:sz w:val="28"/>
      <w:szCs w:val="28"/>
      <w:u w:val="none"/>
    </w:rPr>
  </w:style>
  <w:style w:type="character" w:customStyle="1" w:styleId="Heading2Exact">
    <w:name w:val="Heading #2 Exact"/>
    <w:basedOn w:val="Absatz-Standardschriftart"/>
    <w:link w:val="Heading2"/>
    <w:rPr>
      <w:rFonts w:ascii="Arial" w:eastAsia="Arial" w:hAnsi="Arial" w:cs="Arial"/>
      <w:b w:val="0"/>
      <w:bCs w:val="0"/>
      <w:i w:val="0"/>
      <w:iCs w:val="0"/>
      <w:smallCaps w:val="0"/>
      <w:strike w:val="0"/>
      <w:spacing w:val="-20"/>
      <w:u w:val="none"/>
    </w:rPr>
  </w:style>
  <w:style w:type="character" w:customStyle="1" w:styleId="Heading214ptItalicSpacing1ptExact">
    <w:name w:val="Heading #2 + 14 pt;Italic;Spacing 1 pt Exact"/>
    <w:basedOn w:val="Heading2Exact"/>
    <w:rPr>
      <w:rFonts w:ascii="Arial" w:eastAsia="Arial" w:hAnsi="Arial" w:cs="Arial"/>
      <w:b w:val="0"/>
      <w:bCs w:val="0"/>
      <w:i/>
      <w:iCs/>
      <w:smallCaps w:val="0"/>
      <w:strike w:val="0"/>
      <w:color w:val="000000"/>
      <w:spacing w:val="20"/>
      <w:w w:val="100"/>
      <w:position w:val="0"/>
      <w:sz w:val="28"/>
      <w:szCs w:val="28"/>
      <w:u w:val="none"/>
      <w:lang w:val="de-DE" w:eastAsia="de-DE" w:bidi="de-DE"/>
    </w:rPr>
  </w:style>
  <w:style w:type="character" w:customStyle="1" w:styleId="Bodytext26">
    <w:name w:val="Body text (26)_"/>
    <w:basedOn w:val="Absatz-Standardschriftart"/>
    <w:link w:val="Bodytext260"/>
    <w:rPr>
      <w:rFonts w:ascii="Palatino Linotype" w:eastAsia="Palatino Linotype" w:hAnsi="Palatino Linotype" w:cs="Palatino Linotype"/>
      <w:b w:val="0"/>
      <w:bCs w:val="0"/>
      <w:i w:val="0"/>
      <w:iCs w:val="0"/>
      <w:smallCaps w:val="0"/>
      <w:strike w:val="0"/>
      <w:sz w:val="13"/>
      <w:szCs w:val="13"/>
      <w:u w:val="none"/>
    </w:rPr>
  </w:style>
  <w:style w:type="character" w:customStyle="1" w:styleId="Bodytext26TrebuchetMS8ptBold">
    <w:name w:val="Body text (26) + Trebuchet MS;8 pt;Bold"/>
    <w:basedOn w:val="Bodytext26"/>
    <w:rPr>
      <w:rFonts w:ascii="Trebuchet MS" w:eastAsia="Trebuchet MS" w:hAnsi="Trebuchet MS" w:cs="Trebuchet MS"/>
      <w:b/>
      <w:bCs/>
      <w:i w:val="0"/>
      <w:iCs w:val="0"/>
      <w:smallCaps w:val="0"/>
      <w:strike w:val="0"/>
      <w:color w:val="000000"/>
      <w:spacing w:val="0"/>
      <w:w w:val="100"/>
      <w:position w:val="0"/>
      <w:sz w:val="16"/>
      <w:szCs w:val="16"/>
      <w:u w:val="none"/>
      <w:lang w:val="de-DE" w:eastAsia="de-DE" w:bidi="de-DE"/>
    </w:rPr>
  </w:style>
  <w:style w:type="character" w:customStyle="1" w:styleId="Bodytext267ptItalic">
    <w:name w:val="Body text (26) + 7 pt;Italic"/>
    <w:basedOn w:val="Bodytext26"/>
    <w:rPr>
      <w:rFonts w:ascii="Palatino Linotype" w:eastAsia="Palatino Linotype" w:hAnsi="Palatino Linotype" w:cs="Palatino Linotype"/>
      <w:b w:val="0"/>
      <w:bCs w:val="0"/>
      <w:i/>
      <w:iCs/>
      <w:smallCaps w:val="0"/>
      <w:strike w:val="0"/>
      <w:color w:val="000000"/>
      <w:spacing w:val="0"/>
      <w:w w:val="100"/>
      <w:position w:val="0"/>
      <w:sz w:val="14"/>
      <w:szCs w:val="14"/>
      <w:u w:val="none"/>
      <w:lang w:val="de-DE" w:eastAsia="de-DE" w:bidi="de-DE"/>
    </w:rPr>
  </w:style>
  <w:style w:type="character" w:customStyle="1" w:styleId="Bodytext26SmallCaps">
    <w:name w:val="Body text (26) + Small Caps"/>
    <w:basedOn w:val="Bodytext26"/>
    <w:rPr>
      <w:rFonts w:ascii="Palatino Linotype" w:eastAsia="Palatino Linotype" w:hAnsi="Palatino Linotype" w:cs="Palatino Linotype"/>
      <w:b w:val="0"/>
      <w:bCs w:val="0"/>
      <w:i w:val="0"/>
      <w:iCs w:val="0"/>
      <w:smallCaps/>
      <w:strike w:val="0"/>
      <w:color w:val="000000"/>
      <w:spacing w:val="0"/>
      <w:w w:val="100"/>
      <w:position w:val="0"/>
      <w:sz w:val="13"/>
      <w:szCs w:val="13"/>
      <w:u w:val="none"/>
      <w:lang w:val="de-DE" w:eastAsia="de-DE" w:bidi="de-DE"/>
    </w:rPr>
  </w:style>
  <w:style w:type="character" w:customStyle="1" w:styleId="Bodytext27">
    <w:name w:val="Body text (27)_"/>
    <w:basedOn w:val="Absatz-Standardschriftart"/>
    <w:link w:val="Bodytext270"/>
    <w:rPr>
      <w:rFonts w:ascii="Palatino Linotype" w:eastAsia="Palatino Linotype" w:hAnsi="Palatino Linotype" w:cs="Palatino Linotype"/>
      <w:b w:val="0"/>
      <w:bCs w:val="0"/>
      <w:i w:val="0"/>
      <w:iCs w:val="0"/>
      <w:smallCaps w:val="0"/>
      <w:strike w:val="0"/>
      <w:sz w:val="14"/>
      <w:szCs w:val="14"/>
      <w:u w:val="none"/>
    </w:rPr>
  </w:style>
  <w:style w:type="character" w:customStyle="1" w:styleId="Bodytext27Arial65ptItalic">
    <w:name w:val="Body text (27) + Arial;6.5 pt;Italic"/>
    <w:basedOn w:val="Bodytext27"/>
    <w:rPr>
      <w:rFonts w:ascii="Arial" w:eastAsia="Arial" w:hAnsi="Arial" w:cs="Arial"/>
      <w:b/>
      <w:bCs/>
      <w:i/>
      <w:iCs/>
      <w:smallCaps w:val="0"/>
      <w:strike w:val="0"/>
      <w:color w:val="000000"/>
      <w:spacing w:val="0"/>
      <w:w w:val="100"/>
      <w:position w:val="0"/>
      <w:sz w:val="13"/>
      <w:szCs w:val="13"/>
      <w:u w:val="none"/>
      <w:lang w:val="de-DE" w:eastAsia="de-DE" w:bidi="de-DE"/>
    </w:rPr>
  </w:style>
  <w:style w:type="character" w:customStyle="1" w:styleId="Bodytext27SmallCaps">
    <w:name w:val="Body text (27) + Small Caps"/>
    <w:basedOn w:val="Bodytext27"/>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12PalatinoLinotype55ptSmallCaps">
    <w:name w:val="Body text (12) + Palatino Linotype;5.5 pt;Small Caps"/>
    <w:basedOn w:val="Bodytext12"/>
    <w:rPr>
      <w:rFonts w:ascii="Palatino Linotype" w:eastAsia="Palatino Linotype" w:hAnsi="Palatino Linotype" w:cs="Palatino Linotype"/>
      <w:b w:val="0"/>
      <w:bCs w:val="0"/>
      <w:i w:val="0"/>
      <w:iCs w:val="0"/>
      <w:smallCaps/>
      <w:strike w:val="0"/>
      <w:color w:val="000000"/>
      <w:spacing w:val="0"/>
      <w:w w:val="100"/>
      <w:position w:val="0"/>
      <w:sz w:val="11"/>
      <w:szCs w:val="11"/>
      <w:u w:val="none"/>
      <w:lang w:val="de-DE" w:eastAsia="de-DE" w:bidi="de-DE"/>
    </w:rPr>
  </w:style>
  <w:style w:type="character" w:customStyle="1" w:styleId="Tablecaption3">
    <w:name w:val="Table caption (3)_"/>
    <w:basedOn w:val="Absatz-Standardschriftart"/>
    <w:link w:val="Tablecaption30"/>
    <w:rPr>
      <w:rFonts w:ascii="Palatino Linotype" w:eastAsia="Palatino Linotype" w:hAnsi="Palatino Linotype" w:cs="Palatino Linotype"/>
      <w:b w:val="0"/>
      <w:bCs w:val="0"/>
      <w:i w:val="0"/>
      <w:iCs w:val="0"/>
      <w:smallCaps w:val="0"/>
      <w:strike w:val="0"/>
      <w:sz w:val="16"/>
      <w:szCs w:val="16"/>
      <w:u w:val="none"/>
    </w:rPr>
  </w:style>
  <w:style w:type="character" w:customStyle="1" w:styleId="Tablecaption37ptSmallCaps">
    <w:name w:val="Table caption (3) + 7 pt;Small Caps"/>
    <w:basedOn w:val="Tablecaption3"/>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Tablecaption37pt">
    <w:name w:val="Table caption (3) + 7 pt"/>
    <w:basedOn w:val="Tablecaption3"/>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Bodytext215ptBold">
    <w:name w:val="Body text (2) + 15 pt;Bold"/>
    <w:basedOn w:val="Bodytext2"/>
    <w:rPr>
      <w:rFonts w:ascii="Palatino Linotype" w:eastAsia="Palatino Linotype" w:hAnsi="Palatino Linotype" w:cs="Palatino Linotype"/>
      <w:b/>
      <w:bCs/>
      <w:i w:val="0"/>
      <w:iCs w:val="0"/>
      <w:smallCaps w:val="0"/>
      <w:strike w:val="0"/>
      <w:color w:val="000000"/>
      <w:spacing w:val="0"/>
      <w:w w:val="100"/>
      <w:position w:val="0"/>
      <w:sz w:val="30"/>
      <w:szCs w:val="30"/>
      <w:u w:val="none"/>
      <w:lang w:val="de-DE" w:eastAsia="de-DE" w:bidi="de-DE"/>
    </w:rPr>
  </w:style>
  <w:style w:type="character" w:customStyle="1" w:styleId="Bodytext217ptItalicSpacing-1pt">
    <w:name w:val="Body text (2) + 17 pt;Italic;Spacing -1 pt"/>
    <w:basedOn w:val="Bodytext2"/>
    <w:rPr>
      <w:rFonts w:ascii="Palatino Linotype" w:eastAsia="Palatino Linotype" w:hAnsi="Palatino Linotype" w:cs="Palatino Linotype"/>
      <w:b w:val="0"/>
      <w:bCs w:val="0"/>
      <w:i/>
      <w:iCs/>
      <w:smallCaps w:val="0"/>
      <w:strike w:val="0"/>
      <w:color w:val="000000"/>
      <w:spacing w:val="-30"/>
      <w:w w:val="100"/>
      <w:position w:val="0"/>
      <w:sz w:val="34"/>
      <w:szCs w:val="34"/>
      <w:u w:val="none"/>
      <w:lang w:val="de-DE" w:eastAsia="de-DE" w:bidi="de-DE"/>
    </w:rPr>
  </w:style>
  <w:style w:type="character" w:customStyle="1" w:styleId="Bodytext275ptItalicSpacing-1pt">
    <w:name w:val="Body text (2) + 7.5 pt;Italic;Spacing -1 pt"/>
    <w:basedOn w:val="Bodytext2"/>
    <w:rPr>
      <w:rFonts w:ascii="Palatino Linotype" w:eastAsia="Palatino Linotype" w:hAnsi="Palatino Linotype" w:cs="Palatino Linotype"/>
      <w:b w:val="0"/>
      <w:bCs w:val="0"/>
      <w:i/>
      <w:iCs/>
      <w:smallCaps w:val="0"/>
      <w:strike w:val="0"/>
      <w:color w:val="000000"/>
      <w:spacing w:val="-20"/>
      <w:w w:val="100"/>
      <w:position w:val="0"/>
      <w:sz w:val="15"/>
      <w:szCs w:val="15"/>
      <w:u w:val="none"/>
      <w:lang w:val="de-DE" w:eastAsia="de-DE" w:bidi="de-DE"/>
    </w:rPr>
  </w:style>
  <w:style w:type="character" w:customStyle="1" w:styleId="Bodytext210ptItalic0">
    <w:name w:val="Body text (2) + 10 pt;Italic"/>
    <w:basedOn w:val="Bodytext2"/>
    <w:rPr>
      <w:rFonts w:ascii="Palatino Linotype" w:eastAsia="Palatino Linotype" w:hAnsi="Palatino Linotype" w:cs="Palatino Linotype"/>
      <w:b w:val="0"/>
      <w:bCs w:val="0"/>
      <w:i/>
      <w:iCs/>
      <w:smallCaps w:val="0"/>
      <w:strike w:val="0"/>
      <w:color w:val="000000"/>
      <w:spacing w:val="0"/>
      <w:w w:val="100"/>
      <w:position w:val="0"/>
      <w:sz w:val="20"/>
      <w:szCs w:val="20"/>
      <w:u w:val="none"/>
      <w:lang w:val="de-DE" w:eastAsia="de-DE" w:bidi="de-DE"/>
    </w:rPr>
  </w:style>
  <w:style w:type="character" w:customStyle="1" w:styleId="Bodytext210pt1">
    <w:name w:val="Body text (2) + 10 pt"/>
    <w:basedOn w:val="Body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285ptItalicSmallCaps">
    <w:name w:val="Body text (2) + 8.5 pt;Italic;Small Caps"/>
    <w:basedOn w:val="Bodytext2"/>
    <w:rPr>
      <w:rFonts w:ascii="Palatino Linotype" w:eastAsia="Palatino Linotype" w:hAnsi="Palatino Linotype" w:cs="Palatino Linotype"/>
      <w:b w:val="0"/>
      <w:bCs w:val="0"/>
      <w:i/>
      <w:iCs/>
      <w:smallCaps/>
      <w:strike w:val="0"/>
      <w:color w:val="000000"/>
      <w:spacing w:val="0"/>
      <w:w w:val="100"/>
      <w:position w:val="0"/>
      <w:sz w:val="17"/>
      <w:szCs w:val="17"/>
      <w:u w:val="none"/>
      <w:lang w:val="de-DE" w:eastAsia="de-DE" w:bidi="de-DE"/>
    </w:rPr>
  </w:style>
  <w:style w:type="character" w:customStyle="1" w:styleId="Bodytext10NotBoldSmallCaps0">
    <w:name w:val="Body text (10) + Not Bold;Small Caps"/>
    <w:basedOn w:val="Bodytext10"/>
    <w:rPr>
      <w:rFonts w:ascii="Palatino Linotype" w:eastAsia="Palatino Linotype" w:hAnsi="Palatino Linotype" w:cs="Palatino Linotype"/>
      <w:b/>
      <w:bCs/>
      <w:i/>
      <w:iCs/>
      <w:smallCaps/>
      <w:strike w:val="0"/>
      <w:color w:val="000000"/>
      <w:spacing w:val="0"/>
      <w:w w:val="100"/>
      <w:position w:val="0"/>
      <w:sz w:val="17"/>
      <w:szCs w:val="17"/>
      <w:u w:val="none"/>
      <w:lang w:val="de-DE" w:eastAsia="de-DE" w:bidi="de-DE"/>
    </w:rPr>
  </w:style>
  <w:style w:type="character" w:customStyle="1" w:styleId="Bodytext28">
    <w:name w:val="Body text (28)_"/>
    <w:basedOn w:val="Absatz-Standardschriftart"/>
    <w:link w:val="Bodytext280"/>
    <w:rPr>
      <w:rFonts w:ascii="Palatino Linotype" w:eastAsia="Palatino Linotype" w:hAnsi="Palatino Linotype" w:cs="Palatino Linotype"/>
      <w:b w:val="0"/>
      <w:bCs w:val="0"/>
      <w:i w:val="0"/>
      <w:iCs w:val="0"/>
      <w:smallCaps w:val="0"/>
      <w:strike w:val="0"/>
      <w:sz w:val="18"/>
      <w:szCs w:val="18"/>
      <w:u w:val="none"/>
    </w:rPr>
  </w:style>
  <w:style w:type="character" w:customStyle="1" w:styleId="Bodytext288ptBold">
    <w:name w:val="Body text (28) + 8 pt;Bold"/>
    <w:basedOn w:val="Bodytext28"/>
    <w:rPr>
      <w:rFonts w:ascii="Palatino Linotype" w:eastAsia="Palatino Linotype" w:hAnsi="Palatino Linotype" w:cs="Palatino Linotype"/>
      <w:b/>
      <w:bCs/>
      <w:i w:val="0"/>
      <w:iCs w:val="0"/>
      <w:smallCaps w:val="0"/>
      <w:strike w:val="0"/>
      <w:color w:val="000000"/>
      <w:spacing w:val="0"/>
      <w:w w:val="100"/>
      <w:position w:val="0"/>
      <w:sz w:val="16"/>
      <w:szCs w:val="16"/>
      <w:u w:val="none"/>
      <w:lang w:val="de-DE" w:eastAsia="de-DE" w:bidi="de-DE"/>
    </w:rPr>
  </w:style>
  <w:style w:type="character" w:customStyle="1" w:styleId="Bodytext288ptBoldSmallCaps">
    <w:name w:val="Body text (28) + 8 pt;Bold;Small Caps"/>
    <w:basedOn w:val="Bodytext28"/>
    <w:rPr>
      <w:rFonts w:ascii="Palatino Linotype" w:eastAsia="Palatino Linotype" w:hAnsi="Palatino Linotype" w:cs="Palatino Linotype"/>
      <w:b/>
      <w:bCs/>
      <w:i w:val="0"/>
      <w:iCs w:val="0"/>
      <w:smallCaps/>
      <w:strike w:val="0"/>
      <w:color w:val="000000"/>
      <w:spacing w:val="0"/>
      <w:w w:val="100"/>
      <w:position w:val="0"/>
      <w:sz w:val="16"/>
      <w:szCs w:val="16"/>
      <w:u w:val="none"/>
      <w:lang w:val="de-DE" w:eastAsia="de-DE" w:bidi="de-DE"/>
    </w:rPr>
  </w:style>
  <w:style w:type="character" w:customStyle="1" w:styleId="Headerorfooter37pt">
    <w:name w:val="Header or footer (3) + 7 pt"/>
    <w:basedOn w:val="Headerorfooter3"/>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Headerorfooter37ptSmallCaps">
    <w:name w:val="Header or footer (3) + 7 pt;Small Caps"/>
    <w:basedOn w:val="Headerorfooter3"/>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Headerorfooter38pt">
    <w:name w:val="Header or footer (3) + 8 pt"/>
    <w:basedOn w:val="Headerorfooter3"/>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de-DE" w:eastAsia="de-DE" w:bidi="de-DE"/>
    </w:rPr>
  </w:style>
  <w:style w:type="character" w:customStyle="1" w:styleId="Bodytext2TrebuchetMS5pt">
    <w:name w:val="Body text (2) + Trebuchet MS;5 pt"/>
    <w:basedOn w:val="Bodytext2"/>
    <w:rPr>
      <w:rFonts w:ascii="Trebuchet MS" w:eastAsia="Trebuchet MS" w:hAnsi="Trebuchet MS" w:cs="Trebuchet MS"/>
      <w:b w:val="0"/>
      <w:bCs w:val="0"/>
      <w:i w:val="0"/>
      <w:iCs w:val="0"/>
      <w:smallCaps w:val="0"/>
      <w:strike w:val="0"/>
      <w:color w:val="000000"/>
      <w:spacing w:val="0"/>
      <w:w w:val="100"/>
      <w:position w:val="0"/>
      <w:sz w:val="10"/>
      <w:szCs w:val="10"/>
      <w:u w:val="none"/>
      <w:lang w:val="de-DE" w:eastAsia="de-DE" w:bidi="de-DE"/>
    </w:rPr>
  </w:style>
  <w:style w:type="character" w:customStyle="1" w:styleId="Bodytext8TrebuchetMS5ptSmallCaps">
    <w:name w:val="Body text (8) + Trebuchet MS;5 pt;Small Caps"/>
    <w:basedOn w:val="Bodytext8"/>
    <w:rPr>
      <w:rFonts w:ascii="Trebuchet MS" w:eastAsia="Trebuchet MS" w:hAnsi="Trebuchet MS" w:cs="Trebuchet MS"/>
      <w:b w:val="0"/>
      <w:bCs w:val="0"/>
      <w:i/>
      <w:iCs/>
      <w:smallCaps/>
      <w:strike w:val="0"/>
      <w:color w:val="000000"/>
      <w:spacing w:val="0"/>
      <w:w w:val="100"/>
      <w:position w:val="0"/>
      <w:sz w:val="10"/>
      <w:szCs w:val="10"/>
      <w:u w:val="none"/>
      <w:lang w:val="de-DE" w:eastAsia="de-DE" w:bidi="de-DE"/>
    </w:rPr>
  </w:style>
  <w:style w:type="character" w:customStyle="1" w:styleId="Bodytext2SmallCaps">
    <w:name w:val="Body text (2) + Small Caps"/>
    <w:basedOn w:val="Bodytext2"/>
    <w:rPr>
      <w:rFonts w:ascii="Palatino Linotype" w:eastAsia="Palatino Linotype" w:hAnsi="Palatino Linotype" w:cs="Palatino Linotype"/>
      <w:b w:val="0"/>
      <w:bCs w:val="0"/>
      <w:i w:val="0"/>
      <w:iCs w:val="0"/>
      <w:smallCaps/>
      <w:strike w:val="0"/>
      <w:color w:val="000000"/>
      <w:spacing w:val="0"/>
      <w:w w:val="100"/>
      <w:position w:val="0"/>
      <w:sz w:val="18"/>
      <w:szCs w:val="18"/>
      <w:u w:val="none"/>
      <w:lang w:val="de-DE" w:eastAsia="de-DE" w:bidi="de-DE"/>
    </w:rPr>
  </w:style>
  <w:style w:type="character" w:customStyle="1" w:styleId="Bodytext12PalatinoLinotype4ptBoldItalicSpacing0pt">
    <w:name w:val="Body text (12) + Palatino Linotype;4 pt;Bold;Italic;Spacing 0 pt"/>
    <w:basedOn w:val="Bodytext12"/>
    <w:rPr>
      <w:rFonts w:ascii="Palatino Linotype" w:eastAsia="Palatino Linotype" w:hAnsi="Palatino Linotype" w:cs="Palatino Linotype"/>
      <w:b/>
      <w:bCs/>
      <w:i/>
      <w:iCs/>
      <w:smallCaps w:val="0"/>
      <w:strike w:val="0"/>
      <w:color w:val="000000"/>
      <w:spacing w:val="-10"/>
      <w:w w:val="100"/>
      <w:position w:val="0"/>
      <w:sz w:val="8"/>
      <w:szCs w:val="8"/>
      <w:u w:val="none"/>
      <w:lang w:val="de-DE" w:eastAsia="de-DE" w:bidi="de-DE"/>
    </w:rPr>
  </w:style>
  <w:style w:type="character" w:customStyle="1" w:styleId="Headerorfooter6">
    <w:name w:val="Header or footer (6)_"/>
    <w:basedOn w:val="Absatz-Standardschriftart"/>
    <w:link w:val="Headerorfooter60"/>
    <w:rPr>
      <w:rFonts w:ascii="Palatino Linotype" w:eastAsia="Palatino Linotype" w:hAnsi="Palatino Linotype" w:cs="Palatino Linotype"/>
      <w:b w:val="0"/>
      <w:bCs w:val="0"/>
      <w:i w:val="0"/>
      <w:iCs w:val="0"/>
      <w:smallCaps w:val="0"/>
      <w:strike w:val="0"/>
      <w:sz w:val="16"/>
      <w:szCs w:val="16"/>
      <w:u w:val="none"/>
    </w:rPr>
  </w:style>
  <w:style w:type="character" w:customStyle="1" w:styleId="Headerorfooter6Arial65ptItalicSpacing0pt">
    <w:name w:val="Header or footer (6) + Arial;6.5 pt;Italic;Spacing 0 pt"/>
    <w:basedOn w:val="Headerorfooter6"/>
    <w:rPr>
      <w:rFonts w:ascii="Arial" w:eastAsia="Arial" w:hAnsi="Arial" w:cs="Arial"/>
      <w:b w:val="0"/>
      <w:bCs w:val="0"/>
      <w:i/>
      <w:iCs/>
      <w:smallCaps w:val="0"/>
      <w:strike w:val="0"/>
      <w:color w:val="000000"/>
      <w:spacing w:val="-10"/>
      <w:w w:val="100"/>
      <w:position w:val="0"/>
      <w:sz w:val="13"/>
      <w:szCs w:val="13"/>
      <w:u w:val="none"/>
      <w:lang w:val="de-DE" w:eastAsia="de-DE" w:bidi="de-DE"/>
    </w:rPr>
  </w:style>
  <w:style w:type="character" w:customStyle="1" w:styleId="Headerorfooter6Georgia95ptSpacing0pt">
    <w:name w:val="Header or footer (6) + Georgia;9.5 pt;Spacing 0 pt"/>
    <w:basedOn w:val="Headerorfooter6"/>
    <w:rPr>
      <w:rFonts w:ascii="Georgia" w:eastAsia="Georgia" w:hAnsi="Georgia" w:cs="Georgia"/>
      <w:b w:val="0"/>
      <w:bCs w:val="0"/>
      <w:i w:val="0"/>
      <w:iCs w:val="0"/>
      <w:smallCaps w:val="0"/>
      <w:strike w:val="0"/>
      <w:color w:val="000000"/>
      <w:spacing w:val="-10"/>
      <w:w w:val="100"/>
      <w:position w:val="0"/>
      <w:sz w:val="19"/>
      <w:szCs w:val="19"/>
      <w:u w:val="none"/>
      <w:lang w:val="de-DE" w:eastAsia="de-DE" w:bidi="de-DE"/>
    </w:rPr>
  </w:style>
  <w:style w:type="character" w:customStyle="1" w:styleId="Headerorfooter6Georgia95ptSmallCapsSpacing0pt">
    <w:name w:val="Header or footer (6) + Georgia;9.5 pt;Small Caps;Spacing 0 pt"/>
    <w:basedOn w:val="Headerorfooter6"/>
    <w:rPr>
      <w:rFonts w:ascii="Georgia" w:eastAsia="Georgia" w:hAnsi="Georgia" w:cs="Georgia"/>
      <w:b w:val="0"/>
      <w:bCs w:val="0"/>
      <w:i w:val="0"/>
      <w:iCs w:val="0"/>
      <w:smallCaps/>
      <w:strike w:val="0"/>
      <w:color w:val="000000"/>
      <w:spacing w:val="-10"/>
      <w:w w:val="100"/>
      <w:position w:val="0"/>
      <w:sz w:val="19"/>
      <w:szCs w:val="19"/>
      <w:u w:val="none"/>
      <w:lang w:val="de-DE" w:eastAsia="de-DE" w:bidi="de-DE"/>
    </w:rPr>
  </w:style>
  <w:style w:type="character" w:customStyle="1" w:styleId="Headerorfooter6Verdana85ptBold">
    <w:name w:val="Header or footer (6) + Verdana;8.5 pt;Bold"/>
    <w:basedOn w:val="Headerorfooter6"/>
    <w:rPr>
      <w:rFonts w:ascii="Verdana" w:eastAsia="Verdana" w:hAnsi="Verdana" w:cs="Verdana"/>
      <w:b/>
      <w:bCs/>
      <w:i w:val="0"/>
      <w:iCs w:val="0"/>
      <w:smallCaps w:val="0"/>
      <w:strike w:val="0"/>
      <w:color w:val="000000"/>
      <w:spacing w:val="0"/>
      <w:w w:val="100"/>
      <w:position w:val="0"/>
      <w:sz w:val="17"/>
      <w:szCs w:val="17"/>
      <w:u w:val="none"/>
      <w:lang w:val="de-DE" w:eastAsia="de-DE" w:bidi="de-DE"/>
    </w:rPr>
  </w:style>
  <w:style w:type="character" w:customStyle="1" w:styleId="Headerorfooter675pt">
    <w:name w:val="Header or footer (6) + 7.5 pt"/>
    <w:basedOn w:val="Headerorfooter6"/>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29">
    <w:name w:val="Body text (29)_"/>
    <w:basedOn w:val="Absatz-Standardschriftart"/>
    <w:link w:val="Bodytext290"/>
    <w:rPr>
      <w:rFonts w:ascii="Palatino Linotype" w:eastAsia="Palatino Linotype" w:hAnsi="Palatino Linotype" w:cs="Palatino Linotype"/>
      <w:b/>
      <w:bCs/>
      <w:i w:val="0"/>
      <w:iCs w:val="0"/>
      <w:smallCaps w:val="0"/>
      <w:strike w:val="0"/>
      <w:spacing w:val="0"/>
      <w:sz w:val="16"/>
      <w:szCs w:val="16"/>
      <w:u w:val="none"/>
    </w:rPr>
  </w:style>
  <w:style w:type="character" w:customStyle="1" w:styleId="Bodytext29SmallCaps">
    <w:name w:val="Body text (29) + Small Caps"/>
    <w:basedOn w:val="Bodytext29"/>
    <w:rPr>
      <w:rFonts w:ascii="Palatino Linotype" w:eastAsia="Palatino Linotype" w:hAnsi="Palatino Linotype" w:cs="Palatino Linotype"/>
      <w:b/>
      <w:bCs/>
      <w:i w:val="0"/>
      <w:iCs w:val="0"/>
      <w:smallCaps/>
      <w:strike w:val="0"/>
      <w:color w:val="000000"/>
      <w:spacing w:val="0"/>
      <w:w w:val="100"/>
      <w:position w:val="0"/>
      <w:sz w:val="16"/>
      <w:szCs w:val="16"/>
      <w:u w:val="none"/>
      <w:lang w:val="de-DE" w:eastAsia="de-DE" w:bidi="de-DE"/>
    </w:rPr>
  </w:style>
  <w:style w:type="character" w:customStyle="1" w:styleId="Bodytext29Georgia85ptNotBold">
    <w:name w:val="Body text (29) + Georgia;8.5 pt;Not Bold"/>
    <w:basedOn w:val="Bodytext29"/>
    <w:rPr>
      <w:rFonts w:ascii="Georgia" w:eastAsia="Georgia" w:hAnsi="Georgia" w:cs="Georgia"/>
      <w:b/>
      <w:bCs/>
      <w:i w:val="0"/>
      <w:iCs w:val="0"/>
      <w:smallCaps w:val="0"/>
      <w:strike w:val="0"/>
      <w:color w:val="000000"/>
      <w:spacing w:val="0"/>
      <w:w w:val="100"/>
      <w:position w:val="0"/>
      <w:sz w:val="17"/>
      <w:szCs w:val="17"/>
      <w:u w:val="none"/>
      <w:lang w:val="de-DE" w:eastAsia="de-DE" w:bidi="de-DE"/>
    </w:rPr>
  </w:style>
  <w:style w:type="character" w:customStyle="1" w:styleId="Bodytext30">
    <w:name w:val="Body text (30)_"/>
    <w:basedOn w:val="Absatz-Standardschriftart"/>
    <w:link w:val="Bodytext300"/>
    <w:rPr>
      <w:rFonts w:ascii="Arial" w:eastAsia="Arial" w:hAnsi="Arial" w:cs="Arial"/>
      <w:b w:val="0"/>
      <w:bCs w:val="0"/>
      <w:i w:val="0"/>
      <w:iCs w:val="0"/>
      <w:smallCaps w:val="0"/>
      <w:strike w:val="0"/>
      <w:sz w:val="15"/>
      <w:szCs w:val="15"/>
      <w:u w:val="none"/>
    </w:rPr>
  </w:style>
  <w:style w:type="character" w:customStyle="1" w:styleId="Bodytext30Georgia">
    <w:name w:val="Body text (30) + Georgia"/>
    <w:basedOn w:val="Bodytext30"/>
    <w:rPr>
      <w:rFonts w:ascii="Georgia" w:eastAsia="Georgia" w:hAnsi="Georgia" w:cs="Georgia"/>
      <w:b/>
      <w:bCs/>
      <w:i w:val="0"/>
      <w:iCs w:val="0"/>
      <w:smallCaps w:val="0"/>
      <w:strike w:val="0"/>
      <w:color w:val="000000"/>
      <w:spacing w:val="0"/>
      <w:w w:val="100"/>
      <w:position w:val="0"/>
      <w:sz w:val="15"/>
      <w:szCs w:val="15"/>
      <w:u w:val="none"/>
      <w:lang w:val="de-DE" w:eastAsia="de-DE" w:bidi="de-DE"/>
    </w:rPr>
  </w:style>
  <w:style w:type="character" w:customStyle="1" w:styleId="Bodytext31">
    <w:name w:val="Body text (31)_"/>
    <w:basedOn w:val="Absatz-Standardschriftart"/>
    <w:link w:val="Bodytext310"/>
    <w:rPr>
      <w:rFonts w:ascii="Georgia" w:eastAsia="Georgia" w:hAnsi="Georgia" w:cs="Georgia"/>
      <w:b w:val="0"/>
      <w:bCs w:val="0"/>
      <w:i w:val="0"/>
      <w:iCs w:val="0"/>
      <w:smallCaps w:val="0"/>
      <w:strike w:val="0"/>
      <w:sz w:val="17"/>
      <w:szCs w:val="17"/>
      <w:u w:val="none"/>
    </w:rPr>
  </w:style>
  <w:style w:type="character" w:customStyle="1" w:styleId="Bodytext31SmallCaps">
    <w:name w:val="Body text (31) + Small Caps"/>
    <w:basedOn w:val="Bodytext31"/>
    <w:rPr>
      <w:rFonts w:ascii="Georgia" w:eastAsia="Georgia" w:hAnsi="Georgia" w:cs="Georgia"/>
      <w:b w:val="0"/>
      <w:bCs w:val="0"/>
      <w:i w:val="0"/>
      <w:iCs w:val="0"/>
      <w:smallCaps/>
      <w:strike w:val="0"/>
      <w:color w:val="000000"/>
      <w:spacing w:val="0"/>
      <w:w w:val="100"/>
      <w:position w:val="0"/>
      <w:sz w:val="17"/>
      <w:szCs w:val="17"/>
      <w:u w:val="none"/>
      <w:lang w:val="de-DE" w:eastAsia="de-DE" w:bidi="de-DE"/>
    </w:rPr>
  </w:style>
  <w:style w:type="character" w:customStyle="1" w:styleId="Bodytext2Spacing5pt">
    <w:name w:val="Body text (2) + Spacing 5 pt"/>
    <w:basedOn w:val="Bodytext2"/>
    <w:rPr>
      <w:rFonts w:ascii="Palatino Linotype" w:eastAsia="Palatino Linotype" w:hAnsi="Palatino Linotype" w:cs="Palatino Linotype"/>
      <w:b w:val="0"/>
      <w:bCs w:val="0"/>
      <w:i w:val="0"/>
      <w:iCs w:val="0"/>
      <w:smallCaps w:val="0"/>
      <w:strike w:val="0"/>
      <w:color w:val="000000"/>
      <w:spacing w:val="110"/>
      <w:w w:val="100"/>
      <w:position w:val="0"/>
      <w:sz w:val="18"/>
      <w:szCs w:val="18"/>
      <w:u w:val="none"/>
      <w:lang w:val="de-DE" w:eastAsia="de-DE" w:bidi="de-DE"/>
    </w:rPr>
  </w:style>
  <w:style w:type="character" w:customStyle="1" w:styleId="Bodytext31PalatinoLinotypeBoldItalic">
    <w:name w:val="Body text (31) + Palatino Linotype;Bold;Italic"/>
    <w:basedOn w:val="Bodytext31"/>
    <w:rPr>
      <w:rFonts w:ascii="Palatino Linotype" w:eastAsia="Palatino Linotype" w:hAnsi="Palatino Linotype" w:cs="Palatino Linotype"/>
      <w:b/>
      <w:bCs/>
      <w:i/>
      <w:iCs/>
      <w:smallCaps w:val="0"/>
      <w:strike w:val="0"/>
      <w:color w:val="000000"/>
      <w:spacing w:val="0"/>
      <w:w w:val="100"/>
      <w:position w:val="0"/>
      <w:sz w:val="17"/>
      <w:szCs w:val="17"/>
      <w:u w:val="none"/>
      <w:lang w:val="de-DE" w:eastAsia="de-DE" w:bidi="de-DE"/>
    </w:rPr>
  </w:style>
  <w:style w:type="character" w:customStyle="1" w:styleId="Bodytext32">
    <w:name w:val="Body text (32)_"/>
    <w:basedOn w:val="Absatz-Standardschriftart"/>
    <w:link w:val="Bodytext320"/>
    <w:rPr>
      <w:rFonts w:ascii="Impact" w:eastAsia="Impact" w:hAnsi="Impact" w:cs="Impact"/>
      <w:b w:val="0"/>
      <w:bCs w:val="0"/>
      <w:i w:val="0"/>
      <w:iCs w:val="0"/>
      <w:smallCaps w:val="0"/>
      <w:strike w:val="0"/>
      <w:sz w:val="16"/>
      <w:szCs w:val="16"/>
      <w:u w:val="none"/>
    </w:rPr>
  </w:style>
  <w:style w:type="character" w:customStyle="1" w:styleId="Bodytext32Corbel6pt">
    <w:name w:val="Body text (32) + Corbel;6 pt"/>
    <w:basedOn w:val="Bodytext32"/>
    <w:rPr>
      <w:rFonts w:ascii="Corbel" w:eastAsia="Corbel" w:hAnsi="Corbel" w:cs="Corbel"/>
      <w:b/>
      <w:bCs/>
      <w:i w:val="0"/>
      <w:iCs w:val="0"/>
      <w:smallCaps w:val="0"/>
      <w:strike w:val="0"/>
      <w:color w:val="000000"/>
      <w:spacing w:val="0"/>
      <w:w w:val="100"/>
      <w:position w:val="0"/>
      <w:sz w:val="12"/>
      <w:szCs w:val="12"/>
      <w:u w:val="none"/>
      <w:lang w:val="de-DE" w:eastAsia="de-DE" w:bidi="de-DE"/>
    </w:rPr>
  </w:style>
  <w:style w:type="character" w:customStyle="1" w:styleId="Bodytext33">
    <w:name w:val="Body text (33)_"/>
    <w:basedOn w:val="Absatz-Standardschriftart"/>
    <w:link w:val="Bodytext330"/>
    <w:rPr>
      <w:rFonts w:ascii="Palatino Linotype" w:eastAsia="Palatino Linotype" w:hAnsi="Palatino Linotype" w:cs="Palatino Linotype"/>
      <w:b/>
      <w:bCs/>
      <w:i/>
      <w:iCs/>
      <w:smallCaps w:val="0"/>
      <w:strike w:val="0"/>
      <w:spacing w:val="-10"/>
      <w:sz w:val="20"/>
      <w:szCs w:val="20"/>
      <w:u w:val="none"/>
    </w:rPr>
  </w:style>
  <w:style w:type="character" w:customStyle="1" w:styleId="Bodytext33ArialNotBoldNotItalicSpacing0pt">
    <w:name w:val="Body text (33) + Arial;Not Bold;Not Italic;Spacing 0 pt"/>
    <w:basedOn w:val="Bodytext33"/>
    <w:rPr>
      <w:rFonts w:ascii="Arial" w:eastAsia="Arial" w:hAnsi="Arial" w:cs="Arial"/>
      <w:b/>
      <w:bCs/>
      <w:i/>
      <w:iCs/>
      <w:smallCaps w:val="0"/>
      <w:strike w:val="0"/>
      <w:color w:val="000000"/>
      <w:spacing w:val="0"/>
      <w:w w:val="100"/>
      <w:position w:val="0"/>
      <w:sz w:val="20"/>
      <w:szCs w:val="20"/>
      <w:u w:val="none"/>
      <w:lang w:val="de-DE" w:eastAsia="de-DE" w:bidi="de-DE"/>
    </w:rPr>
  </w:style>
  <w:style w:type="character" w:customStyle="1" w:styleId="Bodytext33SmallCaps">
    <w:name w:val="Body text (33) + Small Caps"/>
    <w:basedOn w:val="Bodytext33"/>
    <w:rPr>
      <w:rFonts w:ascii="Palatino Linotype" w:eastAsia="Palatino Linotype" w:hAnsi="Palatino Linotype" w:cs="Palatino Linotype"/>
      <w:b/>
      <w:bCs/>
      <w:i/>
      <w:iCs/>
      <w:smallCaps/>
      <w:strike w:val="0"/>
      <w:color w:val="000000"/>
      <w:spacing w:val="-10"/>
      <w:w w:val="100"/>
      <w:position w:val="0"/>
      <w:sz w:val="20"/>
      <w:szCs w:val="20"/>
      <w:u w:val="none"/>
      <w:lang w:val="de-DE" w:eastAsia="de-DE" w:bidi="de-DE"/>
    </w:rPr>
  </w:style>
  <w:style w:type="character" w:customStyle="1" w:styleId="Bodytext67pt0">
    <w:name w:val="Body text (6) + 7 pt"/>
    <w:basedOn w:val="Bodytext6"/>
    <w:rPr>
      <w:rFonts w:ascii="Palatino Linotype" w:eastAsia="Palatino Linotype" w:hAnsi="Palatino Linotype" w:cs="Palatino Linotype"/>
      <w:b w:val="0"/>
      <w:bCs w:val="0"/>
      <w:i w:val="0"/>
      <w:iCs w:val="0"/>
      <w:smallCaps w:val="0"/>
      <w:strike w:val="0"/>
      <w:color w:val="000000"/>
      <w:spacing w:val="0"/>
      <w:w w:val="100"/>
      <w:position w:val="0"/>
      <w:sz w:val="14"/>
      <w:szCs w:val="14"/>
      <w:u w:val="none"/>
      <w:lang w:val="de-DE" w:eastAsia="de-DE" w:bidi="de-DE"/>
    </w:rPr>
  </w:style>
  <w:style w:type="character" w:customStyle="1" w:styleId="Bodytext65ptSmallCaps">
    <w:name w:val="Body text (6) + 5 pt;Small Caps"/>
    <w:basedOn w:val="Bodytext6"/>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style>
  <w:style w:type="character" w:customStyle="1" w:styleId="Bodytext34">
    <w:name w:val="Body text (34)_"/>
    <w:basedOn w:val="Absatz-Standardschriftart"/>
    <w:link w:val="Bodytext340"/>
    <w:rPr>
      <w:rFonts w:ascii="Palatino Linotype" w:eastAsia="Palatino Linotype" w:hAnsi="Palatino Linotype" w:cs="Palatino Linotype"/>
      <w:b w:val="0"/>
      <w:bCs w:val="0"/>
      <w:i w:val="0"/>
      <w:iCs w:val="0"/>
      <w:smallCaps w:val="0"/>
      <w:strike w:val="0"/>
      <w:sz w:val="14"/>
      <w:szCs w:val="14"/>
      <w:u w:val="none"/>
    </w:rPr>
  </w:style>
  <w:style w:type="character" w:customStyle="1" w:styleId="Bodytext34SmallCaps">
    <w:name w:val="Body text (34) + Small Caps"/>
    <w:basedOn w:val="Bodytext34"/>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348pt">
    <w:name w:val="Body text (34) + 8 pt"/>
    <w:basedOn w:val="Bodytext34"/>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de-DE" w:eastAsia="de-DE" w:bidi="de-DE"/>
    </w:rPr>
  </w:style>
  <w:style w:type="character" w:customStyle="1" w:styleId="Bodytext15SmallCaps">
    <w:name w:val="Body text (15) + Small Caps"/>
    <w:basedOn w:val="Bodytext15"/>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67ptSmallCaps0">
    <w:name w:val="Body text (6) + 7 pt;Small Caps"/>
    <w:basedOn w:val="Bodytext6"/>
    <w:rPr>
      <w:rFonts w:ascii="Palatino Linotype" w:eastAsia="Palatino Linotype" w:hAnsi="Palatino Linotype" w:cs="Palatino Linotype"/>
      <w:b w:val="0"/>
      <w:bCs w:val="0"/>
      <w:i w:val="0"/>
      <w:iCs w:val="0"/>
      <w:smallCaps/>
      <w:strike w:val="0"/>
      <w:color w:val="000000"/>
      <w:spacing w:val="0"/>
      <w:w w:val="100"/>
      <w:position w:val="0"/>
      <w:sz w:val="14"/>
      <w:szCs w:val="14"/>
      <w:u w:val="none"/>
      <w:lang w:val="de-DE" w:eastAsia="de-DE" w:bidi="de-DE"/>
    </w:rPr>
  </w:style>
  <w:style w:type="character" w:customStyle="1" w:styleId="Bodytext675pt0">
    <w:name w:val="Body text (6) + 7.5 pt"/>
    <w:basedOn w:val="Bodytext6"/>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de-DE" w:eastAsia="de-DE" w:bidi="de-DE"/>
    </w:rPr>
  </w:style>
  <w:style w:type="character" w:customStyle="1" w:styleId="Bodytext6Arial45pt">
    <w:name w:val="Body text (6) + Arial;4.5 pt"/>
    <w:basedOn w:val="Bodytext6"/>
    <w:rPr>
      <w:rFonts w:ascii="Arial" w:eastAsia="Arial" w:hAnsi="Arial" w:cs="Arial"/>
      <w:b w:val="0"/>
      <w:bCs w:val="0"/>
      <w:i w:val="0"/>
      <w:iCs w:val="0"/>
      <w:smallCaps w:val="0"/>
      <w:strike w:val="0"/>
      <w:color w:val="000000"/>
      <w:spacing w:val="0"/>
      <w:w w:val="100"/>
      <w:position w:val="0"/>
      <w:sz w:val="9"/>
      <w:szCs w:val="9"/>
      <w:u w:val="none"/>
      <w:lang w:val="de-DE" w:eastAsia="de-DE" w:bidi="de-DE"/>
    </w:rPr>
  </w:style>
  <w:style w:type="character" w:customStyle="1" w:styleId="Bodytext685ptSmallCaps">
    <w:name w:val="Body text (6) + 8.5 pt;Small Caps"/>
    <w:basedOn w:val="Bodytext6"/>
    <w:rPr>
      <w:rFonts w:ascii="Palatino Linotype" w:eastAsia="Palatino Linotype" w:hAnsi="Palatino Linotype" w:cs="Palatino Linotype"/>
      <w:b w:val="0"/>
      <w:bCs w:val="0"/>
      <w:i w:val="0"/>
      <w:iCs w:val="0"/>
      <w:smallCaps/>
      <w:strike w:val="0"/>
      <w:color w:val="000000"/>
      <w:spacing w:val="0"/>
      <w:w w:val="100"/>
      <w:position w:val="0"/>
      <w:sz w:val="17"/>
      <w:szCs w:val="17"/>
      <w:u w:val="none"/>
      <w:lang w:val="de-DE" w:eastAsia="de-DE" w:bidi="de-DE"/>
    </w:rPr>
  </w:style>
  <w:style w:type="character" w:customStyle="1" w:styleId="Bodytext685pt">
    <w:name w:val="Body text (6) + 8.5 pt"/>
    <w:basedOn w:val="Bodytext6"/>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de-DE" w:eastAsia="de-DE" w:bidi="de-DE"/>
    </w:rPr>
  </w:style>
  <w:style w:type="character" w:customStyle="1" w:styleId="Bodytext158pt">
    <w:name w:val="Body text (15) + 8 pt"/>
    <w:basedOn w:val="Bodytext15"/>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de-DE" w:eastAsia="de-DE" w:bidi="de-DE"/>
    </w:rPr>
  </w:style>
  <w:style w:type="character" w:customStyle="1" w:styleId="Bodytext6Arial75pt">
    <w:name w:val="Body text (6) + Arial;7.5 pt"/>
    <w:basedOn w:val="Bodytext6"/>
    <w:rPr>
      <w:rFonts w:ascii="Arial" w:eastAsia="Arial" w:hAnsi="Arial" w:cs="Arial"/>
      <w:b w:val="0"/>
      <w:bCs w:val="0"/>
      <w:i w:val="0"/>
      <w:iCs w:val="0"/>
      <w:smallCaps w:val="0"/>
      <w:strike w:val="0"/>
      <w:color w:val="000000"/>
      <w:spacing w:val="0"/>
      <w:w w:val="100"/>
      <w:position w:val="0"/>
      <w:sz w:val="15"/>
      <w:szCs w:val="15"/>
      <w:u w:val="none"/>
      <w:lang w:val="de-DE" w:eastAsia="de-DE" w:bidi="de-DE"/>
    </w:rPr>
  </w:style>
  <w:style w:type="character" w:customStyle="1" w:styleId="Bodytext665ptSmallCaps">
    <w:name w:val="Body text (6) + 6.5 pt;Small Caps"/>
    <w:basedOn w:val="Bodytext6"/>
    <w:rPr>
      <w:rFonts w:ascii="Palatino Linotype" w:eastAsia="Palatino Linotype" w:hAnsi="Palatino Linotype" w:cs="Palatino Linotype"/>
      <w:b w:val="0"/>
      <w:bCs w:val="0"/>
      <w:i w:val="0"/>
      <w:iCs w:val="0"/>
      <w:smallCaps/>
      <w:strike w:val="0"/>
      <w:color w:val="000000"/>
      <w:spacing w:val="0"/>
      <w:w w:val="100"/>
      <w:position w:val="0"/>
      <w:sz w:val="13"/>
      <w:szCs w:val="13"/>
      <w:u w:val="none"/>
      <w:lang w:val="de-DE" w:eastAsia="de-DE" w:bidi="de-DE"/>
    </w:rPr>
  </w:style>
  <w:style w:type="character" w:customStyle="1" w:styleId="Bodytext98ptNotBoldSmallCaps">
    <w:name w:val="Body text (9) + 8 pt;Not Bold;Small Caps"/>
    <w:basedOn w:val="Bodytext9"/>
    <w:rPr>
      <w:rFonts w:ascii="Palatino Linotype" w:eastAsia="Palatino Linotype" w:hAnsi="Palatino Linotype" w:cs="Palatino Linotype"/>
      <w:b/>
      <w:bCs/>
      <w:i w:val="0"/>
      <w:iCs w:val="0"/>
      <w:smallCaps/>
      <w:strike w:val="0"/>
      <w:color w:val="000000"/>
      <w:spacing w:val="0"/>
      <w:w w:val="100"/>
      <w:position w:val="0"/>
      <w:sz w:val="16"/>
      <w:szCs w:val="16"/>
      <w:u w:val="none"/>
      <w:lang w:val="de-DE" w:eastAsia="de-DE" w:bidi="de-DE"/>
    </w:rPr>
  </w:style>
  <w:style w:type="character" w:customStyle="1" w:styleId="Bodytext2Arial75ptSmallCaps">
    <w:name w:val="Body text (2) + Arial;7.5 pt;Small Caps"/>
    <w:basedOn w:val="Bodytext2"/>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Other">
    <w:name w:val="Other_"/>
    <w:basedOn w:val="Absatz-Standardschriftart"/>
    <w:link w:val="Other0"/>
    <w:rPr>
      <w:rFonts w:ascii="Palatino Linotype" w:eastAsia="Palatino Linotype" w:hAnsi="Palatino Linotype" w:cs="Palatino Linotype"/>
      <w:b w:val="0"/>
      <w:bCs w:val="0"/>
      <w:i w:val="0"/>
      <w:iCs w:val="0"/>
      <w:smallCaps w:val="0"/>
      <w:strike w:val="0"/>
      <w:sz w:val="18"/>
      <w:szCs w:val="18"/>
      <w:u w:val="none"/>
    </w:rPr>
  </w:style>
  <w:style w:type="character" w:customStyle="1" w:styleId="Other2">
    <w:name w:val="Other (2)_"/>
    <w:basedOn w:val="Absatz-Standardschriftart"/>
    <w:link w:val="Other20"/>
    <w:rPr>
      <w:rFonts w:ascii="Palatino Linotype" w:eastAsia="Palatino Linotype" w:hAnsi="Palatino Linotype" w:cs="Palatino Linotype"/>
      <w:b/>
      <w:bCs/>
      <w:i w:val="0"/>
      <w:iCs w:val="0"/>
      <w:smallCaps w:val="0"/>
      <w:strike w:val="0"/>
      <w:sz w:val="18"/>
      <w:szCs w:val="18"/>
      <w:u w:val="none"/>
    </w:rPr>
  </w:style>
  <w:style w:type="paragraph" w:customStyle="1" w:styleId="Footnote0">
    <w:name w:val="Footnote"/>
    <w:basedOn w:val="Standard"/>
    <w:link w:val="Footnote"/>
    <w:pPr>
      <w:shd w:val="clear" w:color="auto" w:fill="FFFFFF"/>
      <w:spacing w:line="187" w:lineRule="exact"/>
      <w:ind w:hanging="340"/>
      <w:jc w:val="both"/>
    </w:pPr>
    <w:rPr>
      <w:rFonts w:ascii="Palatino Linotype" w:eastAsia="Palatino Linotype" w:hAnsi="Palatino Linotype" w:cs="Palatino Linotype"/>
      <w:sz w:val="16"/>
      <w:szCs w:val="16"/>
    </w:rPr>
  </w:style>
  <w:style w:type="paragraph" w:customStyle="1" w:styleId="Footnote20">
    <w:name w:val="Footnote (2)"/>
    <w:basedOn w:val="Standard"/>
    <w:link w:val="Footnote2"/>
    <w:pPr>
      <w:shd w:val="clear" w:color="auto" w:fill="FFFFFF"/>
      <w:spacing w:line="192" w:lineRule="exact"/>
      <w:jc w:val="both"/>
    </w:pPr>
    <w:rPr>
      <w:rFonts w:ascii="Palatino Linotype" w:eastAsia="Palatino Linotype" w:hAnsi="Palatino Linotype" w:cs="Palatino Linotype"/>
      <w:i/>
      <w:iCs/>
      <w:sz w:val="15"/>
      <w:szCs w:val="15"/>
    </w:rPr>
  </w:style>
  <w:style w:type="paragraph" w:customStyle="1" w:styleId="Footnote30">
    <w:name w:val="Footnote (3)"/>
    <w:basedOn w:val="Standard"/>
    <w:link w:val="Footnote3"/>
    <w:pPr>
      <w:shd w:val="clear" w:color="auto" w:fill="FFFFFF"/>
      <w:spacing w:line="0" w:lineRule="atLeast"/>
    </w:pPr>
    <w:rPr>
      <w:rFonts w:ascii="Palatino Linotype" w:eastAsia="Palatino Linotype" w:hAnsi="Palatino Linotype" w:cs="Palatino Linotype"/>
      <w:sz w:val="14"/>
      <w:szCs w:val="14"/>
    </w:rPr>
  </w:style>
  <w:style w:type="paragraph" w:customStyle="1" w:styleId="Footnote40">
    <w:name w:val="Footnote (4)"/>
    <w:basedOn w:val="Standard"/>
    <w:link w:val="Footnote4"/>
    <w:pPr>
      <w:shd w:val="clear" w:color="auto" w:fill="FFFFFF"/>
      <w:spacing w:line="0" w:lineRule="atLeast"/>
      <w:jc w:val="both"/>
    </w:pPr>
    <w:rPr>
      <w:rFonts w:ascii="Palatino Linotype" w:eastAsia="Palatino Linotype" w:hAnsi="Palatino Linotype" w:cs="Palatino Linotype"/>
      <w:sz w:val="16"/>
      <w:szCs w:val="16"/>
    </w:rPr>
  </w:style>
  <w:style w:type="paragraph" w:customStyle="1" w:styleId="Bodytext40">
    <w:name w:val="Body text (4)"/>
    <w:basedOn w:val="Standard"/>
    <w:link w:val="Bodytext4"/>
    <w:pPr>
      <w:shd w:val="clear" w:color="auto" w:fill="FFFFFF"/>
      <w:spacing w:after="480" w:line="0" w:lineRule="atLeast"/>
      <w:jc w:val="center"/>
    </w:pPr>
    <w:rPr>
      <w:rFonts w:ascii="Palatino Linotype" w:eastAsia="Palatino Linotype" w:hAnsi="Palatino Linotype" w:cs="Palatino Linotype"/>
    </w:rPr>
  </w:style>
  <w:style w:type="paragraph" w:customStyle="1" w:styleId="Heading10">
    <w:name w:val="Heading #1"/>
    <w:basedOn w:val="Standard"/>
    <w:link w:val="Heading1"/>
    <w:pPr>
      <w:shd w:val="clear" w:color="auto" w:fill="FFFFFF"/>
      <w:spacing w:before="480" w:after="240" w:line="586" w:lineRule="exact"/>
      <w:jc w:val="center"/>
      <w:outlineLvl w:val="0"/>
    </w:pPr>
    <w:rPr>
      <w:rFonts w:ascii="Palatino Linotype" w:eastAsia="Palatino Linotype" w:hAnsi="Palatino Linotype" w:cs="Palatino Linotype"/>
      <w:b/>
      <w:bCs/>
      <w:sz w:val="46"/>
      <w:szCs w:val="46"/>
    </w:rPr>
  </w:style>
  <w:style w:type="paragraph" w:customStyle="1" w:styleId="Bodytext50">
    <w:name w:val="Body text (5)"/>
    <w:basedOn w:val="Standard"/>
    <w:link w:val="Bodytext5"/>
    <w:pPr>
      <w:shd w:val="clear" w:color="auto" w:fill="FFFFFF"/>
      <w:spacing w:before="240" w:line="341" w:lineRule="exact"/>
      <w:jc w:val="center"/>
    </w:pPr>
    <w:rPr>
      <w:rFonts w:ascii="Palatino Linotype" w:eastAsia="Palatino Linotype" w:hAnsi="Palatino Linotype" w:cs="Palatino Linotype"/>
      <w:b/>
      <w:bCs/>
      <w:sz w:val="26"/>
      <w:szCs w:val="26"/>
    </w:rPr>
  </w:style>
  <w:style w:type="paragraph" w:customStyle="1" w:styleId="Bodytext60">
    <w:name w:val="Body text (6)"/>
    <w:basedOn w:val="Standard"/>
    <w:link w:val="Bodytext6"/>
    <w:pPr>
      <w:shd w:val="clear" w:color="auto" w:fill="FFFFFF"/>
      <w:spacing w:line="202" w:lineRule="exact"/>
    </w:pPr>
    <w:rPr>
      <w:rFonts w:ascii="Palatino Linotype" w:eastAsia="Palatino Linotype" w:hAnsi="Palatino Linotype" w:cs="Palatino Linotype"/>
      <w:sz w:val="16"/>
      <w:szCs w:val="16"/>
    </w:rPr>
  </w:style>
  <w:style w:type="paragraph" w:customStyle="1" w:styleId="Bodytext20">
    <w:name w:val="Body text (2)"/>
    <w:basedOn w:val="Standard"/>
    <w:link w:val="Bodytext2"/>
    <w:pPr>
      <w:shd w:val="clear" w:color="auto" w:fill="FFFFFF"/>
      <w:spacing w:before="480" w:line="230" w:lineRule="exact"/>
      <w:jc w:val="both"/>
    </w:pPr>
    <w:rPr>
      <w:rFonts w:ascii="Palatino Linotype" w:eastAsia="Palatino Linotype" w:hAnsi="Palatino Linotype" w:cs="Palatino Linotype"/>
      <w:sz w:val="18"/>
      <w:szCs w:val="18"/>
    </w:rPr>
  </w:style>
  <w:style w:type="paragraph" w:customStyle="1" w:styleId="Heading30">
    <w:name w:val="Heading #3"/>
    <w:basedOn w:val="Standard"/>
    <w:link w:val="Heading3"/>
    <w:pPr>
      <w:shd w:val="clear" w:color="auto" w:fill="FFFFFF"/>
      <w:spacing w:after="480" w:line="0" w:lineRule="atLeast"/>
      <w:jc w:val="both"/>
      <w:outlineLvl w:val="2"/>
    </w:pPr>
    <w:rPr>
      <w:rFonts w:ascii="Palatino Linotype" w:eastAsia="Palatino Linotype" w:hAnsi="Palatino Linotype" w:cs="Palatino Linotype"/>
      <w:b/>
      <w:bCs/>
      <w:sz w:val="26"/>
      <w:szCs w:val="26"/>
    </w:rPr>
  </w:style>
  <w:style w:type="paragraph" w:customStyle="1" w:styleId="Headerorfooter0">
    <w:name w:val="Header or footer"/>
    <w:basedOn w:val="Standard"/>
    <w:link w:val="Headerorfooter"/>
    <w:pPr>
      <w:shd w:val="clear" w:color="auto" w:fill="FFFFFF"/>
      <w:spacing w:line="0" w:lineRule="atLeast"/>
    </w:pPr>
    <w:rPr>
      <w:rFonts w:ascii="Palatino Linotype" w:eastAsia="Palatino Linotype" w:hAnsi="Palatino Linotype" w:cs="Palatino Linotype"/>
      <w:spacing w:val="10"/>
      <w:sz w:val="17"/>
      <w:szCs w:val="17"/>
    </w:rPr>
  </w:style>
  <w:style w:type="paragraph" w:styleId="Verzeichnis3">
    <w:name w:val="toc 3"/>
    <w:basedOn w:val="Standard"/>
    <w:link w:val="Verzeichnis3Zchn"/>
    <w:autoRedefine/>
    <w:pPr>
      <w:shd w:val="clear" w:color="auto" w:fill="FFFFFF"/>
      <w:spacing w:line="230" w:lineRule="exact"/>
      <w:ind w:hanging="720"/>
      <w:jc w:val="both"/>
    </w:pPr>
    <w:rPr>
      <w:rFonts w:ascii="Palatino Linotype" w:eastAsia="Palatino Linotype" w:hAnsi="Palatino Linotype" w:cs="Palatino Linotype"/>
      <w:sz w:val="18"/>
      <w:szCs w:val="18"/>
    </w:rPr>
  </w:style>
  <w:style w:type="paragraph" w:customStyle="1" w:styleId="Tableofcontents0">
    <w:name w:val="Table of contents"/>
    <w:basedOn w:val="Standard"/>
    <w:link w:val="Tableofcontents"/>
    <w:pPr>
      <w:shd w:val="clear" w:color="auto" w:fill="FFFFFF"/>
      <w:spacing w:line="230" w:lineRule="exact"/>
      <w:jc w:val="both"/>
    </w:pPr>
    <w:rPr>
      <w:rFonts w:ascii="Palatino Linotype" w:eastAsia="Palatino Linotype" w:hAnsi="Palatino Linotype" w:cs="Palatino Linotype"/>
      <w:i/>
      <w:iCs/>
      <w:sz w:val="18"/>
      <w:szCs w:val="18"/>
    </w:rPr>
  </w:style>
  <w:style w:type="paragraph" w:customStyle="1" w:styleId="Tableofcontents30">
    <w:name w:val="Table of contents (3)"/>
    <w:basedOn w:val="Standard"/>
    <w:link w:val="Tableofcontents3"/>
    <w:pPr>
      <w:shd w:val="clear" w:color="auto" w:fill="FFFFFF"/>
      <w:spacing w:line="226" w:lineRule="exact"/>
      <w:jc w:val="both"/>
    </w:pPr>
    <w:rPr>
      <w:rFonts w:ascii="Palatino Linotype" w:eastAsia="Palatino Linotype" w:hAnsi="Palatino Linotype" w:cs="Palatino Linotype"/>
      <w:b/>
      <w:bCs/>
      <w:sz w:val="18"/>
      <w:szCs w:val="18"/>
    </w:rPr>
  </w:style>
  <w:style w:type="paragraph" w:customStyle="1" w:styleId="Bodytext70">
    <w:name w:val="Body text (7)"/>
    <w:basedOn w:val="Standard"/>
    <w:link w:val="Bodytext7"/>
    <w:pPr>
      <w:shd w:val="clear" w:color="auto" w:fill="FFFFFF"/>
      <w:spacing w:line="226" w:lineRule="exact"/>
      <w:jc w:val="both"/>
    </w:pPr>
    <w:rPr>
      <w:rFonts w:ascii="Palatino Linotype" w:eastAsia="Palatino Linotype" w:hAnsi="Palatino Linotype" w:cs="Palatino Linotype"/>
      <w:i/>
      <w:iCs/>
      <w:sz w:val="18"/>
      <w:szCs w:val="18"/>
    </w:rPr>
  </w:style>
  <w:style w:type="paragraph" w:customStyle="1" w:styleId="Bodytext80">
    <w:name w:val="Body text (8)"/>
    <w:basedOn w:val="Standard"/>
    <w:link w:val="Bodytext8"/>
    <w:pPr>
      <w:shd w:val="clear" w:color="auto" w:fill="FFFFFF"/>
      <w:spacing w:line="226" w:lineRule="exact"/>
      <w:jc w:val="both"/>
    </w:pPr>
    <w:rPr>
      <w:rFonts w:ascii="Palatino Linotype" w:eastAsia="Palatino Linotype" w:hAnsi="Palatino Linotype" w:cs="Palatino Linotype"/>
      <w:i/>
      <w:iCs/>
      <w:sz w:val="18"/>
      <w:szCs w:val="18"/>
    </w:rPr>
  </w:style>
  <w:style w:type="paragraph" w:customStyle="1" w:styleId="Bodytext90">
    <w:name w:val="Body text (9)"/>
    <w:basedOn w:val="Standard"/>
    <w:link w:val="Bodytext9"/>
    <w:pPr>
      <w:shd w:val="clear" w:color="auto" w:fill="FFFFFF"/>
      <w:spacing w:line="226" w:lineRule="exact"/>
      <w:jc w:val="both"/>
    </w:pPr>
    <w:rPr>
      <w:rFonts w:ascii="Palatino Linotype" w:eastAsia="Palatino Linotype" w:hAnsi="Palatino Linotype" w:cs="Palatino Linotype"/>
      <w:b/>
      <w:bCs/>
      <w:sz w:val="18"/>
      <w:szCs w:val="18"/>
    </w:rPr>
  </w:style>
  <w:style w:type="paragraph" w:customStyle="1" w:styleId="Tableofcontents40">
    <w:name w:val="Table of contents (4)"/>
    <w:basedOn w:val="Standard"/>
    <w:link w:val="Tableofcontents4"/>
    <w:pPr>
      <w:shd w:val="clear" w:color="auto" w:fill="FFFFFF"/>
      <w:spacing w:line="226" w:lineRule="exact"/>
      <w:jc w:val="both"/>
    </w:pPr>
    <w:rPr>
      <w:rFonts w:ascii="Palatino Linotype" w:eastAsia="Palatino Linotype" w:hAnsi="Palatino Linotype" w:cs="Palatino Linotype"/>
      <w:i/>
      <w:iCs/>
      <w:sz w:val="16"/>
      <w:szCs w:val="16"/>
    </w:rPr>
  </w:style>
  <w:style w:type="paragraph" w:customStyle="1" w:styleId="Tablecaption0">
    <w:name w:val="Table caption"/>
    <w:basedOn w:val="Standard"/>
    <w:link w:val="Tablecaption"/>
    <w:pPr>
      <w:shd w:val="clear" w:color="auto" w:fill="FFFFFF"/>
      <w:spacing w:line="0" w:lineRule="atLeast"/>
    </w:pPr>
    <w:rPr>
      <w:rFonts w:ascii="Palatino Linotype" w:eastAsia="Palatino Linotype" w:hAnsi="Palatino Linotype" w:cs="Palatino Linotype"/>
      <w:sz w:val="18"/>
      <w:szCs w:val="18"/>
    </w:rPr>
  </w:style>
  <w:style w:type="paragraph" w:customStyle="1" w:styleId="Heading40">
    <w:name w:val="Heading #4"/>
    <w:basedOn w:val="Standard"/>
    <w:link w:val="Heading4"/>
    <w:pPr>
      <w:shd w:val="clear" w:color="auto" w:fill="FFFFFF"/>
      <w:spacing w:after="240" w:line="0" w:lineRule="atLeast"/>
      <w:jc w:val="both"/>
      <w:outlineLvl w:val="3"/>
    </w:pPr>
    <w:rPr>
      <w:rFonts w:ascii="Palatino Linotype" w:eastAsia="Palatino Linotype" w:hAnsi="Palatino Linotype" w:cs="Palatino Linotype"/>
      <w:b/>
      <w:bCs/>
      <w:sz w:val="21"/>
      <w:szCs w:val="21"/>
    </w:rPr>
  </w:style>
  <w:style w:type="paragraph" w:customStyle="1" w:styleId="Heading50">
    <w:name w:val="Heading #5"/>
    <w:basedOn w:val="Standard"/>
    <w:link w:val="Heading5"/>
    <w:pPr>
      <w:shd w:val="clear" w:color="auto" w:fill="FFFFFF"/>
      <w:spacing w:line="466" w:lineRule="exact"/>
      <w:jc w:val="both"/>
      <w:outlineLvl w:val="4"/>
    </w:pPr>
    <w:rPr>
      <w:rFonts w:ascii="Palatino Linotype" w:eastAsia="Palatino Linotype" w:hAnsi="Palatino Linotype" w:cs="Palatino Linotype"/>
      <w:b/>
      <w:bCs/>
      <w:sz w:val="18"/>
      <w:szCs w:val="18"/>
    </w:rPr>
  </w:style>
  <w:style w:type="paragraph" w:customStyle="1" w:styleId="Bodytext11">
    <w:name w:val="Body text (11)"/>
    <w:basedOn w:val="Standard"/>
    <w:link w:val="Bodytext11Exact"/>
    <w:pPr>
      <w:shd w:val="clear" w:color="auto" w:fill="FFFFFF"/>
      <w:spacing w:after="60" w:line="0" w:lineRule="atLeast"/>
    </w:pPr>
    <w:rPr>
      <w:rFonts w:ascii="Palatino Linotype" w:eastAsia="Palatino Linotype" w:hAnsi="Palatino Linotype" w:cs="Palatino Linotype"/>
      <w:sz w:val="11"/>
      <w:szCs w:val="11"/>
    </w:rPr>
  </w:style>
  <w:style w:type="paragraph" w:customStyle="1" w:styleId="Picturecaption0">
    <w:name w:val="Picture caption"/>
    <w:basedOn w:val="Standard"/>
    <w:link w:val="Picturecaption"/>
    <w:pPr>
      <w:shd w:val="clear" w:color="auto" w:fill="FFFFFF"/>
      <w:spacing w:line="192" w:lineRule="exact"/>
    </w:pPr>
    <w:rPr>
      <w:rFonts w:ascii="Arial" w:eastAsia="Arial" w:hAnsi="Arial" w:cs="Arial"/>
      <w:sz w:val="15"/>
      <w:szCs w:val="15"/>
    </w:rPr>
  </w:style>
  <w:style w:type="paragraph" w:customStyle="1" w:styleId="Bodytext100">
    <w:name w:val="Body text (10)"/>
    <w:basedOn w:val="Standard"/>
    <w:link w:val="Bodytext10"/>
    <w:pPr>
      <w:shd w:val="clear" w:color="auto" w:fill="FFFFFF"/>
      <w:spacing w:before="180" w:line="226" w:lineRule="exact"/>
      <w:ind w:hanging="340"/>
      <w:jc w:val="both"/>
    </w:pPr>
    <w:rPr>
      <w:rFonts w:ascii="Palatino Linotype" w:eastAsia="Palatino Linotype" w:hAnsi="Palatino Linotype" w:cs="Palatino Linotype"/>
      <w:b/>
      <w:bCs/>
      <w:i/>
      <w:iCs/>
      <w:sz w:val="17"/>
      <w:szCs w:val="17"/>
    </w:rPr>
  </w:style>
  <w:style w:type="paragraph" w:customStyle="1" w:styleId="Bodytext120">
    <w:name w:val="Body text (12)"/>
    <w:basedOn w:val="Standard"/>
    <w:link w:val="Bodytext12"/>
    <w:pPr>
      <w:shd w:val="clear" w:color="auto" w:fill="FFFFFF"/>
      <w:spacing w:before="60" w:after="420" w:line="192" w:lineRule="exact"/>
      <w:jc w:val="both"/>
    </w:pPr>
    <w:rPr>
      <w:rFonts w:ascii="Arial" w:eastAsia="Arial" w:hAnsi="Arial" w:cs="Arial"/>
      <w:sz w:val="15"/>
      <w:szCs w:val="15"/>
    </w:rPr>
  </w:style>
  <w:style w:type="paragraph" w:customStyle="1" w:styleId="Bodytext13">
    <w:name w:val="Body text (13)"/>
    <w:basedOn w:val="Standard"/>
    <w:link w:val="Bodytext13Exact"/>
    <w:pPr>
      <w:shd w:val="clear" w:color="auto" w:fill="FFFFFF"/>
      <w:spacing w:line="0" w:lineRule="atLeast"/>
    </w:pPr>
    <w:rPr>
      <w:rFonts w:ascii="Palatino Linotype" w:eastAsia="Palatino Linotype" w:hAnsi="Palatino Linotype" w:cs="Palatino Linotype"/>
      <w:sz w:val="10"/>
      <w:szCs w:val="10"/>
    </w:rPr>
  </w:style>
  <w:style w:type="paragraph" w:customStyle="1" w:styleId="Bodytext14">
    <w:name w:val="Body text (14)"/>
    <w:basedOn w:val="Standard"/>
    <w:link w:val="Bodytext14Exact"/>
    <w:pPr>
      <w:shd w:val="clear" w:color="auto" w:fill="FFFFFF"/>
      <w:spacing w:line="0" w:lineRule="atLeast"/>
    </w:pPr>
    <w:rPr>
      <w:rFonts w:ascii="Arial" w:eastAsia="Arial" w:hAnsi="Arial" w:cs="Arial"/>
      <w:b/>
      <w:bCs/>
      <w:sz w:val="15"/>
      <w:szCs w:val="15"/>
    </w:rPr>
  </w:style>
  <w:style w:type="paragraph" w:customStyle="1" w:styleId="Headerorfooter30">
    <w:name w:val="Header or footer (3)"/>
    <w:basedOn w:val="Standard"/>
    <w:link w:val="Headerorfooter3"/>
    <w:pPr>
      <w:shd w:val="clear" w:color="auto" w:fill="FFFFFF"/>
      <w:spacing w:line="0" w:lineRule="atLeast"/>
    </w:pPr>
    <w:rPr>
      <w:rFonts w:ascii="Palatino Linotype" w:eastAsia="Palatino Linotype" w:hAnsi="Palatino Linotype" w:cs="Palatino Linotype"/>
      <w:sz w:val="15"/>
      <w:szCs w:val="15"/>
    </w:rPr>
  </w:style>
  <w:style w:type="paragraph" w:customStyle="1" w:styleId="Heading520">
    <w:name w:val="Heading #5 (2)"/>
    <w:basedOn w:val="Standard"/>
    <w:link w:val="Heading52"/>
    <w:pPr>
      <w:shd w:val="clear" w:color="auto" w:fill="FFFFFF"/>
      <w:spacing w:before="360" w:line="442" w:lineRule="exact"/>
      <w:ind w:hanging="320"/>
      <w:jc w:val="both"/>
      <w:outlineLvl w:val="4"/>
    </w:pPr>
    <w:rPr>
      <w:rFonts w:ascii="Palatino Linotype" w:eastAsia="Palatino Linotype" w:hAnsi="Palatino Linotype" w:cs="Palatino Linotype"/>
      <w:sz w:val="18"/>
      <w:szCs w:val="18"/>
    </w:rPr>
  </w:style>
  <w:style w:type="paragraph" w:customStyle="1" w:styleId="Bodytext150">
    <w:name w:val="Body text (15)"/>
    <w:basedOn w:val="Standard"/>
    <w:link w:val="Bodytext15"/>
    <w:pPr>
      <w:shd w:val="clear" w:color="auto" w:fill="FFFFFF"/>
      <w:spacing w:line="192" w:lineRule="exact"/>
      <w:jc w:val="both"/>
    </w:pPr>
    <w:rPr>
      <w:rFonts w:ascii="Palatino Linotype" w:eastAsia="Palatino Linotype" w:hAnsi="Palatino Linotype" w:cs="Palatino Linotype"/>
      <w:sz w:val="14"/>
      <w:szCs w:val="14"/>
    </w:rPr>
  </w:style>
  <w:style w:type="paragraph" w:customStyle="1" w:styleId="Bodytext160">
    <w:name w:val="Body text (16)"/>
    <w:basedOn w:val="Standard"/>
    <w:link w:val="Bodytext16"/>
    <w:pPr>
      <w:shd w:val="clear" w:color="auto" w:fill="FFFFFF"/>
      <w:spacing w:before="120" w:line="226" w:lineRule="exact"/>
      <w:jc w:val="both"/>
    </w:pPr>
    <w:rPr>
      <w:rFonts w:ascii="Palatino Linotype" w:eastAsia="Palatino Linotype" w:hAnsi="Palatino Linotype" w:cs="Palatino Linotype"/>
      <w:i/>
      <w:iCs/>
      <w:sz w:val="17"/>
      <w:szCs w:val="17"/>
    </w:rPr>
  </w:style>
  <w:style w:type="paragraph" w:customStyle="1" w:styleId="Bodytext17">
    <w:name w:val="Body text (17)"/>
    <w:basedOn w:val="Standard"/>
    <w:link w:val="Bodytext17Exact"/>
    <w:pPr>
      <w:shd w:val="clear" w:color="auto" w:fill="FFFFFF"/>
      <w:spacing w:line="0" w:lineRule="atLeast"/>
    </w:pPr>
    <w:rPr>
      <w:rFonts w:ascii="Times New Roman" w:eastAsia="Times New Roman" w:hAnsi="Times New Roman" w:cs="Times New Roman"/>
      <w:sz w:val="20"/>
      <w:szCs w:val="20"/>
    </w:rPr>
  </w:style>
  <w:style w:type="paragraph" w:customStyle="1" w:styleId="Bodytext18">
    <w:name w:val="Body text (18)"/>
    <w:basedOn w:val="Standard"/>
    <w:link w:val="Bodytext18Exact"/>
    <w:pPr>
      <w:shd w:val="clear" w:color="auto" w:fill="FFFFFF"/>
      <w:spacing w:line="0" w:lineRule="atLeast"/>
      <w:jc w:val="both"/>
    </w:pPr>
    <w:rPr>
      <w:rFonts w:ascii="Arial" w:eastAsia="Arial" w:hAnsi="Arial" w:cs="Arial"/>
      <w:sz w:val="16"/>
      <w:szCs w:val="16"/>
    </w:rPr>
  </w:style>
  <w:style w:type="paragraph" w:customStyle="1" w:styleId="Bodytext19">
    <w:name w:val="Body text (19)"/>
    <w:basedOn w:val="Standard"/>
    <w:link w:val="Bodytext19Exact"/>
    <w:pPr>
      <w:shd w:val="clear" w:color="auto" w:fill="FFFFFF"/>
      <w:spacing w:line="216" w:lineRule="exact"/>
      <w:jc w:val="both"/>
    </w:pPr>
    <w:rPr>
      <w:rFonts w:ascii="Arial" w:eastAsia="Arial" w:hAnsi="Arial" w:cs="Arial"/>
      <w:sz w:val="18"/>
      <w:szCs w:val="18"/>
    </w:rPr>
  </w:style>
  <w:style w:type="paragraph" w:customStyle="1" w:styleId="Bodytext200">
    <w:name w:val="Body text (20)"/>
    <w:basedOn w:val="Standard"/>
    <w:link w:val="Bodytext20Exact"/>
    <w:pPr>
      <w:shd w:val="clear" w:color="auto" w:fill="FFFFFF"/>
      <w:spacing w:line="216" w:lineRule="exact"/>
      <w:jc w:val="both"/>
    </w:pPr>
    <w:rPr>
      <w:rFonts w:ascii="Arial" w:eastAsia="Arial" w:hAnsi="Arial" w:cs="Arial"/>
      <w:sz w:val="19"/>
      <w:szCs w:val="19"/>
    </w:rPr>
  </w:style>
  <w:style w:type="paragraph" w:customStyle="1" w:styleId="Bodytext210">
    <w:name w:val="Body text (21)"/>
    <w:basedOn w:val="Standard"/>
    <w:link w:val="Bodytext21Exact"/>
    <w:pPr>
      <w:shd w:val="clear" w:color="auto" w:fill="FFFFFF"/>
      <w:spacing w:before="120" w:line="0" w:lineRule="atLeast"/>
    </w:pPr>
    <w:rPr>
      <w:rFonts w:ascii="Palatino Linotype" w:eastAsia="Palatino Linotype" w:hAnsi="Palatino Linotype" w:cs="Palatino Linotype"/>
      <w:spacing w:val="20"/>
      <w:sz w:val="15"/>
      <w:szCs w:val="15"/>
    </w:rPr>
  </w:style>
  <w:style w:type="paragraph" w:customStyle="1" w:styleId="Bodytext22">
    <w:name w:val="Body text (22)"/>
    <w:basedOn w:val="Standard"/>
    <w:link w:val="Bodytext22Exact"/>
    <w:pPr>
      <w:shd w:val="clear" w:color="auto" w:fill="FFFFFF"/>
      <w:spacing w:before="660" w:line="0" w:lineRule="atLeast"/>
      <w:jc w:val="both"/>
    </w:pPr>
    <w:rPr>
      <w:b/>
      <w:bCs/>
      <w:sz w:val="14"/>
      <w:szCs w:val="14"/>
    </w:rPr>
  </w:style>
  <w:style w:type="paragraph" w:customStyle="1" w:styleId="Bodytext23">
    <w:name w:val="Body text (23)"/>
    <w:basedOn w:val="Standard"/>
    <w:link w:val="Bodytext23Exact"/>
    <w:pPr>
      <w:shd w:val="clear" w:color="auto" w:fill="FFFFFF"/>
      <w:spacing w:after="360" w:line="0" w:lineRule="atLeast"/>
      <w:jc w:val="both"/>
    </w:pPr>
    <w:rPr>
      <w:rFonts w:ascii="Palatino Linotype" w:eastAsia="Palatino Linotype" w:hAnsi="Palatino Linotype" w:cs="Palatino Linotype"/>
      <w:sz w:val="18"/>
      <w:szCs w:val="18"/>
    </w:rPr>
  </w:style>
  <w:style w:type="paragraph" w:customStyle="1" w:styleId="Tablecaption20">
    <w:name w:val="Table caption (2)"/>
    <w:basedOn w:val="Standard"/>
    <w:link w:val="Tablecaption2"/>
    <w:pPr>
      <w:shd w:val="clear" w:color="auto" w:fill="FFFFFF"/>
      <w:spacing w:line="0" w:lineRule="atLeast"/>
    </w:pPr>
    <w:rPr>
      <w:rFonts w:ascii="Palatino Linotype" w:eastAsia="Palatino Linotype" w:hAnsi="Palatino Linotype" w:cs="Palatino Linotype"/>
      <w:b/>
      <w:bCs/>
      <w:i/>
      <w:iCs/>
      <w:sz w:val="17"/>
      <w:szCs w:val="17"/>
    </w:rPr>
  </w:style>
  <w:style w:type="paragraph" w:customStyle="1" w:styleId="Bodytext240">
    <w:name w:val="Body text (24)"/>
    <w:basedOn w:val="Standard"/>
    <w:link w:val="Bodytext24"/>
    <w:pPr>
      <w:shd w:val="clear" w:color="auto" w:fill="FFFFFF"/>
      <w:spacing w:before="300" w:after="60" w:line="0" w:lineRule="atLeast"/>
      <w:jc w:val="both"/>
    </w:pPr>
    <w:rPr>
      <w:rFonts w:ascii="Palatino Linotype" w:eastAsia="Palatino Linotype" w:hAnsi="Palatino Linotype" w:cs="Palatino Linotype"/>
      <w:sz w:val="16"/>
      <w:szCs w:val="16"/>
    </w:rPr>
  </w:style>
  <w:style w:type="paragraph" w:customStyle="1" w:styleId="Bodytext25">
    <w:name w:val="Body text (25)"/>
    <w:basedOn w:val="Standard"/>
    <w:link w:val="Bodytext25Exact"/>
    <w:pPr>
      <w:shd w:val="clear" w:color="auto" w:fill="FFFFFF"/>
      <w:spacing w:line="211" w:lineRule="exact"/>
      <w:jc w:val="right"/>
    </w:pPr>
    <w:rPr>
      <w:rFonts w:ascii="Palatino Linotype" w:eastAsia="Palatino Linotype" w:hAnsi="Palatino Linotype" w:cs="Palatino Linotype"/>
      <w:b/>
      <w:bCs/>
      <w:sz w:val="14"/>
      <w:szCs w:val="14"/>
    </w:rPr>
  </w:style>
  <w:style w:type="paragraph" w:customStyle="1" w:styleId="Heading22">
    <w:name w:val="Heading #2 (2)"/>
    <w:basedOn w:val="Standard"/>
    <w:link w:val="Heading22Exact"/>
    <w:pPr>
      <w:shd w:val="clear" w:color="auto" w:fill="FFFFFF"/>
      <w:spacing w:after="120" w:line="0" w:lineRule="atLeast"/>
      <w:outlineLvl w:val="1"/>
    </w:pPr>
    <w:rPr>
      <w:rFonts w:ascii="Palatino Linotype" w:eastAsia="Palatino Linotype" w:hAnsi="Palatino Linotype" w:cs="Palatino Linotype"/>
      <w:sz w:val="28"/>
      <w:szCs w:val="28"/>
    </w:rPr>
  </w:style>
  <w:style w:type="paragraph" w:customStyle="1" w:styleId="Heading2">
    <w:name w:val="Heading #2"/>
    <w:basedOn w:val="Standard"/>
    <w:link w:val="Heading2Exact"/>
    <w:pPr>
      <w:shd w:val="clear" w:color="auto" w:fill="FFFFFF"/>
      <w:spacing w:before="120" w:line="0" w:lineRule="atLeast"/>
      <w:outlineLvl w:val="1"/>
    </w:pPr>
    <w:rPr>
      <w:rFonts w:ascii="Arial" w:eastAsia="Arial" w:hAnsi="Arial" w:cs="Arial"/>
      <w:spacing w:val="-20"/>
    </w:rPr>
  </w:style>
  <w:style w:type="paragraph" w:customStyle="1" w:styleId="Bodytext260">
    <w:name w:val="Body text (26)"/>
    <w:basedOn w:val="Standard"/>
    <w:link w:val="Bodytext26"/>
    <w:pPr>
      <w:shd w:val="clear" w:color="auto" w:fill="FFFFFF"/>
      <w:spacing w:before="240" w:line="178" w:lineRule="exact"/>
    </w:pPr>
    <w:rPr>
      <w:rFonts w:ascii="Palatino Linotype" w:eastAsia="Palatino Linotype" w:hAnsi="Palatino Linotype" w:cs="Palatino Linotype"/>
      <w:sz w:val="13"/>
      <w:szCs w:val="13"/>
    </w:rPr>
  </w:style>
  <w:style w:type="paragraph" w:customStyle="1" w:styleId="Bodytext270">
    <w:name w:val="Body text (27)"/>
    <w:basedOn w:val="Standard"/>
    <w:link w:val="Bodytext27"/>
    <w:pPr>
      <w:shd w:val="clear" w:color="auto" w:fill="FFFFFF"/>
      <w:spacing w:after="240" w:line="0" w:lineRule="atLeast"/>
      <w:jc w:val="both"/>
    </w:pPr>
    <w:rPr>
      <w:rFonts w:ascii="Palatino Linotype" w:eastAsia="Palatino Linotype" w:hAnsi="Palatino Linotype" w:cs="Palatino Linotype"/>
      <w:sz w:val="14"/>
      <w:szCs w:val="14"/>
    </w:rPr>
  </w:style>
  <w:style w:type="paragraph" w:customStyle="1" w:styleId="Tablecaption30">
    <w:name w:val="Table caption (3)"/>
    <w:basedOn w:val="Standard"/>
    <w:link w:val="Tablecaption3"/>
    <w:pPr>
      <w:shd w:val="clear" w:color="auto" w:fill="FFFFFF"/>
      <w:spacing w:line="0" w:lineRule="atLeast"/>
      <w:jc w:val="both"/>
    </w:pPr>
    <w:rPr>
      <w:rFonts w:ascii="Palatino Linotype" w:eastAsia="Palatino Linotype" w:hAnsi="Palatino Linotype" w:cs="Palatino Linotype"/>
      <w:sz w:val="16"/>
      <w:szCs w:val="16"/>
    </w:rPr>
  </w:style>
  <w:style w:type="paragraph" w:customStyle="1" w:styleId="Bodytext280">
    <w:name w:val="Body text (28)"/>
    <w:basedOn w:val="Standard"/>
    <w:link w:val="Bodytext28"/>
    <w:pPr>
      <w:shd w:val="clear" w:color="auto" w:fill="FFFFFF"/>
      <w:spacing w:after="180" w:line="226" w:lineRule="exact"/>
      <w:ind w:firstLine="320"/>
      <w:jc w:val="both"/>
    </w:pPr>
    <w:rPr>
      <w:rFonts w:ascii="Palatino Linotype" w:eastAsia="Palatino Linotype" w:hAnsi="Palatino Linotype" w:cs="Palatino Linotype"/>
      <w:sz w:val="18"/>
      <w:szCs w:val="18"/>
    </w:rPr>
  </w:style>
  <w:style w:type="paragraph" w:customStyle="1" w:styleId="Headerorfooter60">
    <w:name w:val="Header or footer (6)"/>
    <w:basedOn w:val="Standard"/>
    <w:link w:val="Headerorfooter6"/>
    <w:pPr>
      <w:shd w:val="clear" w:color="auto" w:fill="FFFFFF"/>
      <w:spacing w:line="0" w:lineRule="atLeast"/>
    </w:pPr>
    <w:rPr>
      <w:rFonts w:ascii="Palatino Linotype" w:eastAsia="Palatino Linotype" w:hAnsi="Palatino Linotype" w:cs="Palatino Linotype"/>
      <w:sz w:val="16"/>
      <w:szCs w:val="16"/>
    </w:rPr>
  </w:style>
  <w:style w:type="paragraph" w:customStyle="1" w:styleId="Bodytext290">
    <w:name w:val="Body text (29)"/>
    <w:basedOn w:val="Standard"/>
    <w:link w:val="Bodytext29"/>
    <w:pPr>
      <w:shd w:val="clear" w:color="auto" w:fill="FFFFFF"/>
      <w:spacing w:before="120" w:after="120" w:line="0" w:lineRule="atLeast"/>
      <w:jc w:val="both"/>
    </w:pPr>
    <w:rPr>
      <w:rFonts w:ascii="Palatino Linotype" w:eastAsia="Palatino Linotype" w:hAnsi="Palatino Linotype" w:cs="Palatino Linotype"/>
      <w:b/>
      <w:bCs/>
      <w:sz w:val="16"/>
      <w:szCs w:val="16"/>
    </w:rPr>
  </w:style>
  <w:style w:type="paragraph" w:customStyle="1" w:styleId="Bodytext300">
    <w:name w:val="Body text (30)"/>
    <w:basedOn w:val="Standard"/>
    <w:link w:val="Bodytext30"/>
    <w:pPr>
      <w:shd w:val="clear" w:color="auto" w:fill="FFFFFF"/>
      <w:spacing w:line="154" w:lineRule="exact"/>
      <w:jc w:val="both"/>
    </w:pPr>
    <w:rPr>
      <w:rFonts w:ascii="Arial" w:eastAsia="Arial" w:hAnsi="Arial" w:cs="Arial"/>
      <w:sz w:val="15"/>
      <w:szCs w:val="15"/>
    </w:rPr>
  </w:style>
  <w:style w:type="paragraph" w:customStyle="1" w:styleId="Bodytext310">
    <w:name w:val="Body text (31)"/>
    <w:basedOn w:val="Standard"/>
    <w:link w:val="Bodytext31"/>
    <w:pPr>
      <w:shd w:val="clear" w:color="auto" w:fill="FFFFFF"/>
      <w:spacing w:after="120" w:line="154" w:lineRule="exact"/>
      <w:jc w:val="both"/>
    </w:pPr>
    <w:rPr>
      <w:rFonts w:ascii="Georgia" w:eastAsia="Georgia" w:hAnsi="Georgia" w:cs="Georgia"/>
      <w:sz w:val="17"/>
      <w:szCs w:val="17"/>
    </w:rPr>
  </w:style>
  <w:style w:type="paragraph" w:customStyle="1" w:styleId="Bodytext320">
    <w:name w:val="Body text (32)"/>
    <w:basedOn w:val="Standard"/>
    <w:link w:val="Bodytext32"/>
    <w:pPr>
      <w:shd w:val="clear" w:color="auto" w:fill="FFFFFF"/>
      <w:spacing w:line="298" w:lineRule="exact"/>
      <w:jc w:val="both"/>
    </w:pPr>
    <w:rPr>
      <w:rFonts w:ascii="Impact" w:eastAsia="Impact" w:hAnsi="Impact" w:cs="Impact"/>
      <w:sz w:val="16"/>
      <w:szCs w:val="16"/>
    </w:rPr>
  </w:style>
  <w:style w:type="paragraph" w:customStyle="1" w:styleId="Bodytext330">
    <w:name w:val="Body text (33)"/>
    <w:basedOn w:val="Standard"/>
    <w:link w:val="Bodytext33"/>
    <w:pPr>
      <w:shd w:val="clear" w:color="auto" w:fill="FFFFFF"/>
      <w:spacing w:line="298" w:lineRule="exact"/>
    </w:pPr>
    <w:rPr>
      <w:rFonts w:ascii="Palatino Linotype" w:eastAsia="Palatino Linotype" w:hAnsi="Palatino Linotype" w:cs="Palatino Linotype"/>
      <w:b/>
      <w:bCs/>
      <w:i/>
      <w:iCs/>
      <w:spacing w:val="-10"/>
      <w:sz w:val="20"/>
      <w:szCs w:val="20"/>
    </w:rPr>
  </w:style>
  <w:style w:type="paragraph" w:customStyle="1" w:styleId="Bodytext340">
    <w:name w:val="Body text (34)"/>
    <w:basedOn w:val="Standard"/>
    <w:link w:val="Bodytext34"/>
    <w:pPr>
      <w:shd w:val="clear" w:color="auto" w:fill="FFFFFF"/>
      <w:spacing w:line="187" w:lineRule="exact"/>
      <w:ind w:hanging="320"/>
      <w:jc w:val="both"/>
    </w:pPr>
    <w:rPr>
      <w:rFonts w:ascii="Palatino Linotype" w:eastAsia="Palatino Linotype" w:hAnsi="Palatino Linotype" w:cs="Palatino Linotype"/>
      <w:sz w:val="14"/>
      <w:szCs w:val="14"/>
    </w:rPr>
  </w:style>
  <w:style w:type="paragraph" w:customStyle="1" w:styleId="Other0">
    <w:name w:val="Other"/>
    <w:basedOn w:val="Standard"/>
    <w:link w:val="Other"/>
    <w:pPr>
      <w:shd w:val="clear" w:color="auto" w:fill="FFFFFF"/>
      <w:spacing w:line="226" w:lineRule="exact"/>
    </w:pPr>
    <w:rPr>
      <w:rFonts w:ascii="Palatino Linotype" w:eastAsia="Palatino Linotype" w:hAnsi="Palatino Linotype" w:cs="Palatino Linotype"/>
      <w:sz w:val="18"/>
      <w:szCs w:val="18"/>
    </w:rPr>
  </w:style>
  <w:style w:type="paragraph" w:customStyle="1" w:styleId="Other20">
    <w:name w:val="Other (2)"/>
    <w:basedOn w:val="Standard"/>
    <w:link w:val="Other2"/>
    <w:pPr>
      <w:shd w:val="clear" w:color="auto" w:fill="FFFFFF"/>
      <w:spacing w:before="420" w:after="300" w:line="0" w:lineRule="atLeast"/>
    </w:pPr>
    <w:rPr>
      <w:rFonts w:ascii="Palatino Linotype" w:eastAsia="Palatino Linotype" w:hAnsi="Palatino Linotype" w:cs="Palatino Linotype"/>
      <w:b/>
      <w:bCs/>
      <w:sz w:val="18"/>
      <w:szCs w:val="18"/>
    </w:rPr>
  </w:style>
  <w:style w:type="paragraph" w:styleId="Verzeichnis4">
    <w:name w:val="toc 4"/>
    <w:basedOn w:val="Standard"/>
    <w:autoRedefine/>
    <w:pPr>
      <w:shd w:val="clear" w:color="auto" w:fill="FFFFFF"/>
      <w:spacing w:line="230" w:lineRule="exact"/>
      <w:ind w:hanging="720"/>
      <w:jc w:val="both"/>
    </w:pPr>
    <w:rPr>
      <w:rFonts w:ascii="Palatino Linotype" w:eastAsia="Palatino Linotype" w:hAnsi="Palatino Linotype" w:cs="Palatino Linotype"/>
      <w:sz w:val="18"/>
      <w:szCs w:val="18"/>
    </w:rPr>
  </w:style>
  <w:style w:type="paragraph" w:styleId="Verzeichnis5">
    <w:name w:val="toc 5"/>
    <w:basedOn w:val="Standard"/>
    <w:autoRedefine/>
    <w:pPr>
      <w:shd w:val="clear" w:color="auto" w:fill="FFFFFF"/>
      <w:spacing w:line="230" w:lineRule="exact"/>
      <w:ind w:hanging="720"/>
      <w:jc w:val="both"/>
    </w:pPr>
    <w:rPr>
      <w:rFonts w:ascii="Palatino Linotype" w:eastAsia="Palatino Linotype" w:hAnsi="Palatino Linotype" w:cs="Palatino Linotyp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67.xml"/><Relationship Id="rId21" Type="http://schemas.openxmlformats.org/officeDocument/2006/relationships/footer" Target="footer12.xml"/><Relationship Id="rId42" Type="http://schemas.openxmlformats.org/officeDocument/2006/relationships/image" Target="media/image6.jpeg"/><Relationship Id="rId63" Type="http://schemas.openxmlformats.org/officeDocument/2006/relationships/image" Target="media/image10.jpeg"/><Relationship Id="rId84" Type="http://schemas.openxmlformats.org/officeDocument/2006/relationships/footer" Target="footer46.xml"/><Relationship Id="rId138" Type="http://schemas.openxmlformats.org/officeDocument/2006/relationships/image" Target="media/image14.jpeg" TargetMode="External"/><Relationship Id="rId159" Type="http://schemas.openxmlformats.org/officeDocument/2006/relationships/theme" Target="theme/theme1.xml"/><Relationship Id="rId107" Type="http://schemas.openxmlformats.org/officeDocument/2006/relationships/footer" Target="footer60.xml"/><Relationship Id="rId11" Type="http://schemas.openxmlformats.org/officeDocument/2006/relationships/footer" Target="footer2.xml"/><Relationship Id="rId32" Type="http://schemas.openxmlformats.org/officeDocument/2006/relationships/footer" Target="footer17.xml"/><Relationship Id="rId53" Type="http://schemas.openxmlformats.org/officeDocument/2006/relationships/image" Target="media/image9.jpeg"/><Relationship Id="rId74" Type="http://schemas.openxmlformats.org/officeDocument/2006/relationships/footer" Target="footer38.xml"/><Relationship Id="rId128" Type="http://schemas.openxmlformats.org/officeDocument/2006/relationships/header" Target="header26.xml"/><Relationship Id="rId149" Type="http://schemas.openxmlformats.org/officeDocument/2006/relationships/hyperlink" Target="http://www.icr.org" TargetMode="External"/><Relationship Id="rId5" Type="http://schemas.openxmlformats.org/officeDocument/2006/relationships/webSettings" Target="webSettings.xml"/><Relationship Id="rId95" Type="http://schemas.openxmlformats.org/officeDocument/2006/relationships/footer" Target="footer52.xml"/><Relationship Id="rId22" Type="http://schemas.openxmlformats.org/officeDocument/2006/relationships/header" Target="header1.xml"/><Relationship Id="rId43" Type="http://schemas.openxmlformats.org/officeDocument/2006/relationships/image" Target="media/image7.jpeg"/><Relationship Id="rId64" Type="http://schemas.openxmlformats.org/officeDocument/2006/relationships/image" Target="media/image10.jpeg" TargetMode="External"/><Relationship Id="rId118" Type="http://schemas.openxmlformats.org/officeDocument/2006/relationships/footer" Target="footer68.xml"/><Relationship Id="rId139" Type="http://schemas.openxmlformats.org/officeDocument/2006/relationships/footer" Target="footer83.xml"/><Relationship Id="rId80" Type="http://schemas.openxmlformats.org/officeDocument/2006/relationships/header" Target="header13.xml"/><Relationship Id="rId85" Type="http://schemas.openxmlformats.org/officeDocument/2006/relationships/header" Target="header14.xml"/><Relationship Id="rId150" Type="http://schemas.openxmlformats.org/officeDocument/2006/relationships/hyperlink" Target="http://www.icr.org" TargetMode="External"/><Relationship Id="rId155" Type="http://schemas.openxmlformats.org/officeDocument/2006/relationships/footer" Target="footer91.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18.xml"/><Relationship Id="rId38" Type="http://schemas.openxmlformats.org/officeDocument/2006/relationships/footer" Target="footer20.xml"/><Relationship Id="rId59" Type="http://schemas.openxmlformats.org/officeDocument/2006/relationships/footer" Target="footer32.xml"/><Relationship Id="rId103" Type="http://schemas.openxmlformats.org/officeDocument/2006/relationships/footer" Target="footer58.xml"/><Relationship Id="rId108" Type="http://schemas.openxmlformats.org/officeDocument/2006/relationships/header" Target="header21.xml"/><Relationship Id="rId124" Type="http://schemas.openxmlformats.org/officeDocument/2006/relationships/header" Target="header25.xml"/><Relationship Id="rId129" Type="http://schemas.openxmlformats.org/officeDocument/2006/relationships/footer" Target="footer76.xml"/><Relationship Id="rId54" Type="http://schemas.openxmlformats.org/officeDocument/2006/relationships/image" Target="media/image9.jpeg" TargetMode="External"/><Relationship Id="rId70" Type="http://schemas.openxmlformats.org/officeDocument/2006/relationships/footer" Target="footer36.xml"/><Relationship Id="rId75" Type="http://schemas.openxmlformats.org/officeDocument/2006/relationships/footer" Target="footer39.xml"/><Relationship Id="rId91" Type="http://schemas.openxmlformats.org/officeDocument/2006/relationships/header" Target="header17.xml"/><Relationship Id="rId96" Type="http://schemas.openxmlformats.org/officeDocument/2006/relationships/footer" Target="footer53.xml"/><Relationship Id="rId140" Type="http://schemas.openxmlformats.org/officeDocument/2006/relationships/footer" Target="footer84.xml"/><Relationship Id="rId145"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13.xml"/><Relationship Id="rId28" Type="http://schemas.openxmlformats.org/officeDocument/2006/relationships/footer" Target="footer14.xml"/><Relationship Id="rId49" Type="http://schemas.openxmlformats.org/officeDocument/2006/relationships/footer" Target="footer26.xml"/><Relationship Id="rId114" Type="http://schemas.openxmlformats.org/officeDocument/2006/relationships/footer" Target="footer65.xml"/><Relationship Id="rId119" Type="http://schemas.openxmlformats.org/officeDocument/2006/relationships/footer" Target="footer69.xml"/><Relationship Id="rId44" Type="http://schemas.openxmlformats.org/officeDocument/2006/relationships/image" Target="media/image8.jpeg"/><Relationship Id="rId60" Type="http://schemas.openxmlformats.org/officeDocument/2006/relationships/footer" Target="footer33.xml"/><Relationship Id="rId65" Type="http://schemas.openxmlformats.org/officeDocument/2006/relationships/image" Target="media/image11.jpeg"/><Relationship Id="rId81" Type="http://schemas.openxmlformats.org/officeDocument/2006/relationships/footer" Target="footer43.xml"/><Relationship Id="rId86" Type="http://schemas.openxmlformats.org/officeDocument/2006/relationships/header" Target="header15.xml"/><Relationship Id="rId130" Type="http://schemas.openxmlformats.org/officeDocument/2006/relationships/footer" Target="footer77.xml"/><Relationship Id="rId135" Type="http://schemas.openxmlformats.org/officeDocument/2006/relationships/header" Target="header27.xml"/><Relationship Id="rId151" Type="http://schemas.openxmlformats.org/officeDocument/2006/relationships/hyperlink" Target="http://www.icr.org" TargetMode="External"/><Relationship Id="rId156" Type="http://schemas.openxmlformats.org/officeDocument/2006/relationships/image" Target="media/image16.jpe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1.xml"/><Relationship Id="rId109" Type="http://schemas.openxmlformats.org/officeDocument/2006/relationships/footer" Target="footer61.xml"/><Relationship Id="rId34" Type="http://schemas.openxmlformats.org/officeDocument/2006/relationships/header" Target="header3.xml"/><Relationship Id="rId50" Type="http://schemas.openxmlformats.org/officeDocument/2006/relationships/footer" Target="footer27.xml"/><Relationship Id="rId55" Type="http://schemas.openxmlformats.org/officeDocument/2006/relationships/footer" Target="footer29.xml"/><Relationship Id="rId76" Type="http://schemas.openxmlformats.org/officeDocument/2006/relationships/header" Target="header12.xml"/><Relationship Id="rId97" Type="http://schemas.openxmlformats.org/officeDocument/2006/relationships/footer" Target="footer54.xml"/><Relationship Id="rId104" Type="http://schemas.openxmlformats.org/officeDocument/2006/relationships/image" Target="media/image13.jpeg"/><Relationship Id="rId120" Type="http://schemas.openxmlformats.org/officeDocument/2006/relationships/header" Target="header24.xml"/><Relationship Id="rId125" Type="http://schemas.openxmlformats.org/officeDocument/2006/relationships/footer" Target="footer73.xml"/><Relationship Id="rId141" Type="http://schemas.openxmlformats.org/officeDocument/2006/relationships/header" Target="header28.xml"/><Relationship Id="rId146" Type="http://schemas.openxmlformats.org/officeDocument/2006/relationships/footer" Target="footer88.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footer" Target="footer50.xm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image" Target="media/image2.jpeg"/><Relationship Id="rId40" Type="http://schemas.openxmlformats.org/officeDocument/2006/relationships/header" Target="header4.xml"/><Relationship Id="rId45" Type="http://schemas.openxmlformats.org/officeDocument/2006/relationships/footer" Target="footer23.xml"/><Relationship Id="rId66" Type="http://schemas.openxmlformats.org/officeDocument/2006/relationships/image" Target="media/image12.jpeg"/><Relationship Id="rId87" Type="http://schemas.openxmlformats.org/officeDocument/2006/relationships/footer" Target="footer47.xml"/><Relationship Id="rId110" Type="http://schemas.openxmlformats.org/officeDocument/2006/relationships/footer" Target="footer62.xml"/><Relationship Id="rId115" Type="http://schemas.openxmlformats.org/officeDocument/2006/relationships/footer" Target="footer66.xml"/><Relationship Id="rId131" Type="http://schemas.openxmlformats.org/officeDocument/2006/relationships/footer" Target="footer78.xml"/><Relationship Id="rId136" Type="http://schemas.openxmlformats.org/officeDocument/2006/relationships/footer" Target="footer82.xml"/><Relationship Id="rId157" Type="http://schemas.openxmlformats.org/officeDocument/2006/relationships/image" Target="media/image16.jpeg" TargetMode="External"/><Relationship Id="rId61" Type="http://schemas.openxmlformats.org/officeDocument/2006/relationships/header" Target="header8.xml"/><Relationship Id="rId82" Type="http://schemas.openxmlformats.org/officeDocument/2006/relationships/footer" Target="footer44.xml"/><Relationship Id="rId152" Type="http://schemas.openxmlformats.org/officeDocument/2006/relationships/footer" Target="footer89.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header" Target="header2.xml"/><Relationship Id="rId35" Type="http://schemas.openxmlformats.org/officeDocument/2006/relationships/footer" Target="footer19.xml"/><Relationship Id="rId56" Type="http://schemas.openxmlformats.org/officeDocument/2006/relationships/footer" Target="footer30.xml"/><Relationship Id="rId77" Type="http://schemas.openxmlformats.org/officeDocument/2006/relationships/footer" Target="footer40.xml"/><Relationship Id="rId100" Type="http://schemas.openxmlformats.org/officeDocument/2006/relationships/footer" Target="footer56.xml"/><Relationship Id="rId105" Type="http://schemas.openxmlformats.org/officeDocument/2006/relationships/image" Target="media/image13.jpeg" TargetMode="External"/><Relationship Id="rId126" Type="http://schemas.openxmlformats.org/officeDocument/2006/relationships/footer" Target="footer74.xml"/><Relationship Id="rId147"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footer" Target="footer37.xml"/><Relationship Id="rId93" Type="http://schemas.openxmlformats.org/officeDocument/2006/relationships/footer" Target="footer51.xml"/><Relationship Id="rId98" Type="http://schemas.openxmlformats.org/officeDocument/2006/relationships/header" Target="header19.xml"/><Relationship Id="rId121" Type="http://schemas.openxmlformats.org/officeDocument/2006/relationships/footer" Target="footer70.xml"/><Relationship Id="rId142" Type="http://schemas.openxmlformats.org/officeDocument/2006/relationships/footer" Target="footer85.xml"/><Relationship Id="rId3" Type="http://schemas.microsoft.com/office/2007/relationships/stylesWithEffects" Target="stylesWithEffects.xml"/><Relationship Id="rId25" Type="http://schemas.openxmlformats.org/officeDocument/2006/relationships/image" Target="media/image2.jpeg" TargetMode="External"/><Relationship Id="rId46" Type="http://schemas.openxmlformats.org/officeDocument/2006/relationships/footer" Target="footer24.xml"/><Relationship Id="rId67" Type="http://schemas.openxmlformats.org/officeDocument/2006/relationships/image" Target="media/image12.jpeg" TargetMode="External"/><Relationship Id="rId116" Type="http://schemas.openxmlformats.org/officeDocument/2006/relationships/header" Target="header23.xml"/><Relationship Id="rId137" Type="http://schemas.openxmlformats.org/officeDocument/2006/relationships/image" Target="media/image14.jpeg"/><Relationship Id="rId158" Type="http://schemas.openxmlformats.org/officeDocument/2006/relationships/fontTable" Target="fontTable.xml"/><Relationship Id="rId20" Type="http://schemas.openxmlformats.org/officeDocument/2006/relationships/footer" Target="footer11.xml"/><Relationship Id="rId41" Type="http://schemas.openxmlformats.org/officeDocument/2006/relationships/footer" Target="footer22.xml"/><Relationship Id="rId62" Type="http://schemas.openxmlformats.org/officeDocument/2006/relationships/footer" Target="footer34.xml"/><Relationship Id="rId83" Type="http://schemas.openxmlformats.org/officeDocument/2006/relationships/footer" Target="footer45.xml"/><Relationship Id="rId88" Type="http://schemas.openxmlformats.org/officeDocument/2006/relationships/footer" Target="footer48.xml"/><Relationship Id="rId111" Type="http://schemas.openxmlformats.org/officeDocument/2006/relationships/footer" Target="footer63.xml"/><Relationship Id="rId132" Type="http://schemas.openxmlformats.org/officeDocument/2006/relationships/footer" Target="footer79.xml"/><Relationship Id="rId153" Type="http://schemas.openxmlformats.org/officeDocument/2006/relationships/footer" Target="footer90.xml"/><Relationship Id="rId15" Type="http://schemas.openxmlformats.org/officeDocument/2006/relationships/footer" Target="footer6.xml"/><Relationship Id="rId36" Type="http://schemas.openxmlformats.org/officeDocument/2006/relationships/image" Target="media/image5.jpeg"/><Relationship Id="rId57" Type="http://schemas.openxmlformats.org/officeDocument/2006/relationships/header" Target="header7.xml"/><Relationship Id="rId106" Type="http://schemas.openxmlformats.org/officeDocument/2006/relationships/footer" Target="footer59.xml"/><Relationship Id="rId127" Type="http://schemas.openxmlformats.org/officeDocument/2006/relationships/footer" Target="footer75.xml"/><Relationship Id="rId10" Type="http://schemas.openxmlformats.org/officeDocument/2006/relationships/footer" Target="footer1.xml"/><Relationship Id="rId31" Type="http://schemas.openxmlformats.org/officeDocument/2006/relationships/footer" Target="footer16.xml"/><Relationship Id="rId52" Type="http://schemas.openxmlformats.org/officeDocument/2006/relationships/footer" Target="footer28.xml"/><Relationship Id="rId73" Type="http://schemas.openxmlformats.org/officeDocument/2006/relationships/header" Target="header11.xml"/><Relationship Id="rId78" Type="http://schemas.openxmlformats.org/officeDocument/2006/relationships/footer" Target="footer41.xml"/><Relationship Id="rId94" Type="http://schemas.openxmlformats.org/officeDocument/2006/relationships/header" Target="header18.xml"/><Relationship Id="rId99" Type="http://schemas.openxmlformats.org/officeDocument/2006/relationships/footer" Target="footer55.xml"/><Relationship Id="rId101" Type="http://schemas.openxmlformats.org/officeDocument/2006/relationships/footer" Target="footer57.xml"/><Relationship Id="rId122" Type="http://schemas.openxmlformats.org/officeDocument/2006/relationships/footer" Target="footer71.xml"/><Relationship Id="rId143" Type="http://schemas.openxmlformats.org/officeDocument/2006/relationships/footer" Target="footer86.xml"/><Relationship Id="rId148" Type="http://schemas.openxmlformats.org/officeDocument/2006/relationships/image" Target="media/image15.jpeg" TargetMode="External"/><Relationship Id="rId4" Type="http://schemas.openxmlformats.org/officeDocument/2006/relationships/settings" Target="settings.xml"/><Relationship Id="rId9" Type="http://schemas.openxmlformats.org/officeDocument/2006/relationships/image" Target="media/image1.jpeg" TargetMode="External"/><Relationship Id="rId26" Type="http://schemas.openxmlformats.org/officeDocument/2006/relationships/image" Target="media/image3.jpeg"/><Relationship Id="rId47" Type="http://schemas.openxmlformats.org/officeDocument/2006/relationships/header" Target="header5.xml"/><Relationship Id="rId68" Type="http://schemas.openxmlformats.org/officeDocument/2006/relationships/header" Target="header9.xml"/><Relationship Id="rId89" Type="http://schemas.openxmlformats.org/officeDocument/2006/relationships/footer" Target="footer49.xml"/><Relationship Id="rId112" Type="http://schemas.openxmlformats.org/officeDocument/2006/relationships/header" Target="header22.xml"/><Relationship Id="rId133" Type="http://schemas.openxmlformats.org/officeDocument/2006/relationships/footer" Target="footer80.xml"/><Relationship Id="rId154" Type="http://schemas.openxmlformats.org/officeDocument/2006/relationships/header" Target="header30.xml"/><Relationship Id="rId16" Type="http://schemas.openxmlformats.org/officeDocument/2006/relationships/footer" Target="footer7.xml"/><Relationship Id="rId37" Type="http://schemas.openxmlformats.org/officeDocument/2006/relationships/image" Target="media/image5.jpeg" TargetMode="External"/><Relationship Id="rId58" Type="http://schemas.openxmlformats.org/officeDocument/2006/relationships/footer" Target="footer31.xml"/><Relationship Id="rId79" Type="http://schemas.openxmlformats.org/officeDocument/2006/relationships/footer" Target="footer42.xml"/><Relationship Id="rId102" Type="http://schemas.openxmlformats.org/officeDocument/2006/relationships/header" Target="header20.xml"/><Relationship Id="rId123" Type="http://schemas.openxmlformats.org/officeDocument/2006/relationships/footer" Target="footer72.xml"/><Relationship Id="rId144" Type="http://schemas.openxmlformats.org/officeDocument/2006/relationships/footer" Target="footer87.xml"/><Relationship Id="rId90" Type="http://schemas.openxmlformats.org/officeDocument/2006/relationships/header" Target="header16.xml"/><Relationship Id="rId27" Type="http://schemas.openxmlformats.org/officeDocument/2006/relationships/image" Target="media/image4.jpeg"/><Relationship Id="rId48" Type="http://schemas.openxmlformats.org/officeDocument/2006/relationships/footer" Target="footer25.xml"/><Relationship Id="rId69" Type="http://schemas.openxmlformats.org/officeDocument/2006/relationships/footer" Target="footer35.xml"/><Relationship Id="rId113" Type="http://schemas.openxmlformats.org/officeDocument/2006/relationships/footer" Target="footer64.xml"/><Relationship Id="rId134" Type="http://schemas.openxmlformats.org/officeDocument/2006/relationships/footer" Target="footer81.xml"/></Relationships>
</file>

<file path=word/_rels/footnotes.xml.rels><?xml version="1.0" encoding="UTF-8" standalone="yes"?>
<Relationships xmlns="http://schemas.openxmlformats.org/package/2006/relationships"><Relationship Id="rId2" Type="http://schemas.openxmlformats.org/officeDocument/2006/relationships/hyperlink" Target="http://www.wydiff.ch" TargetMode="External"/><Relationship Id="rId1" Type="http://schemas.openxmlformats.org/officeDocument/2006/relationships/hyperlink" Target="mailto:editor@sil.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302</Pages>
  <Words>69714</Words>
  <Characters>439199</Characters>
  <Application>Microsoft Office Word</Application>
  <DocSecurity>0</DocSecurity>
  <Lines>3659</Lines>
  <Paragraphs>1015</Paragraphs>
  <ScaleCrop>false</ScaleCrop>
  <HeadingPairs>
    <vt:vector size="2" baseType="variant">
      <vt:variant>
        <vt:lpstr>Titel</vt:lpstr>
      </vt:variant>
      <vt:variant>
        <vt:i4>1</vt:i4>
      </vt:variant>
    </vt:vector>
  </HeadingPairs>
  <TitlesOfParts>
    <vt:vector size="1" baseType="lpstr">
      <vt:lpstr>Herkunft und Entwicklung der Sprachen</vt:lpstr>
    </vt:vector>
  </TitlesOfParts>
  <Company/>
  <LinksUpToDate>false</LinksUpToDate>
  <CharactersWithSpaces>507898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Herkunft und Entwicklung der Sprachen</dc:title>
  <dc:creator>Roger Liebi</dc:creator>
  <cp:lastModifiedBy>Me</cp:lastModifiedBy>
  <cp:revision>2</cp:revision>
  <dcterms:created xsi:type="dcterms:W3CDTF">2015-01-29T08:45:00Z</dcterms:created>
  <dcterms:modified xsi:type="dcterms:W3CDTF">2015-01-29T08:51:00Z</dcterms:modified>
</cp:coreProperties>
</file>